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江宁支行客户基金检视报告（中风险版）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2020-09-13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2015-05-27——2020-09-13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江宁支行客户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期间收益：36.32%(17.0万元)</w:t>
      </w:r>
    </w:p>
    <w:p>
      <w:r>
        <w:t>期间最大回撤：44.54%(8万元)</w:t>
      </w:r>
    </w:p>
    <w:p>
      <w:r>
        <w:t>期间风险收益比：0.82（即总收益/最大回撤）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持仓组合类别：中风险组合</w:t>
      </w:r>
    </w:p>
    <w:p>
      <w:r>
        <w:t>投资方法：每次申购均买入对应季度的中风险组合，买入后每持有12个月调整一次</w:t>
      </w:r>
    </w:p>
    <w:p>
      <w:r>
        <w:t>复现周期：</w:t>
      </w:r>
      <w:r>
        <w:t>2015-05-27——2020-09-13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江宁支行客户中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期间收益：70.03%(33.0万元)</w:t>
      </w:r>
      <w:r>
        <w:t>比原来提高了93.0%</w:t>
      </w:r>
    </w:p>
    <w:p>
      <w:r>
        <w:t>期间最大回撤：26.1%(5万元)</w:t>
      </w:r>
      <w:r>
        <w:t>比原来降低了41%</w:t>
      </w:r>
    </w:p>
    <w:p>
      <w:r>
        <w:t>期间风险收益比：2.68（即总收益/最大回撤）</w:t>
      </w:r>
      <w:r>
        <w:t>比原来提高了229.0%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组合类别：中风险公募基金组合</w:t>
      </w:r>
    </w:p>
    <w:p>
      <w:r>
        <w:t>组合更新时间：2020年3季度（组合明细如下图所示）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江宁支行客户中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001714工银文体产业股票——22万</w:t>
      </w:r>
    </w:p>
    <w:p>
      <w:r>
        <w:t>001875前海沪港深优势精选——45万</w:t>
      </w:r>
    </w:p>
    <w:p>
      <w:r>
        <w:t>485111工银瑞信双利债券——33万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