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江宁支行客户基金检视报告（高风险版）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2015-05-27——2020-09-13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期间收益：36.32%(17.0万元)</w:t>
      </w:r>
    </w:p>
    <w:p>
      <w:r>
        <w:t>期间最大回撤：44.54%(8万元)</w:t>
      </w:r>
    </w:p>
    <w:p>
      <w:r>
        <w:t>期间风险收益比：0.82（即总收益/最大回撤）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2015-05-27——2020-09-13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期间收益：78.36%(37.0万元)</w:t>
      </w:r>
      <w:r>
        <w:t>比原来提高了116.0%</w:t>
      </w:r>
    </w:p>
    <w:p>
      <w:r>
        <w:t>期间最大回撤：30.66%(5万元)</w:t>
      </w:r>
      <w:r>
        <w:t>比原来降低了31%</w:t>
      </w:r>
    </w:p>
    <w:p>
      <w:r>
        <w:t>期间风险收益比：2.56（即总收益/最大回撤）</w:t>
      </w:r>
      <w:r>
        <w:t>比原来提高了213.0%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001714工银文体产业股票——44万</w:t>
      </w:r>
    </w:p>
    <w:p>
      <w:r>
        <w:t>005827易方达蓝筹精选混合——50万</w:t>
      </w:r>
    </w:p>
    <w:p>
      <w:r>
        <w:t>519736交银新成长——11万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