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G理财与基金对比报告(中风险)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2020-10-28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2016-01-04——2020-10-28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期间收益：16.24%(20万元)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二、中风险组合公募基金投资对比复现</w:t>
      </w:r>
    </w:p>
    <w:p>
      <w:r>
        <w:t>持仓组合类别：中风险组合</w:t>
      </w:r>
    </w:p>
    <w:p>
      <w:r>
        <w:t>投资方法：每次申购均买入对应季度的中风险组合，买入后每持有11个月调整一次</w:t>
      </w:r>
    </w:p>
    <w:p>
      <w:r>
        <w:t>复现周期：</w:t>
      </w:r>
      <w:r>
        <w:t>2016-01-04——2020-10-28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期间收益：12.9%(17.0万元)</w:t>
      </w:r>
      <w:r/>
    </w:p>
    <w:p>
      <w:r>
        <w:t>组合最大回撤（可能面临的最大风险）：14.77%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001589天弘中证800C——15万</w:t>
      </w:r>
    </w:p>
    <w:p>
      <w:r>
        <w:t>164809工银中证500指数——15万</w:t>
      </w:r>
    </w:p>
    <w:p>
      <w:r>
        <w:t>005868平安MSCI中国A股国际ETF联接——15万</w:t>
      </w:r>
    </w:p>
    <w:p>
      <w:r>
        <w:t>005869平安MSCI中国A股国际ETF联接C——15万</w:t>
      </w:r>
    </w:p>
    <w:p>
      <w:r>
        <w:t>003130中信保诚稳利债券C——40万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