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G理财与基金对比报告(中风险)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2021-02-05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2016-01-04——2021-02-05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期间收益：16.24%(20万元)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二、中风险组合公募基金投资对比复现</w:t>
      </w:r>
    </w:p>
    <w:p>
      <w:r>
        <w:t>持仓组合类别：中风险组合</w:t>
      </w:r>
    </w:p>
    <w:p>
      <w:r>
        <w:t>投资方法：每次申购均买入对应季度的中风险组合，买入后每持有11个月调整一次</w:t>
      </w:r>
    </w:p>
    <w:p>
      <w:r>
        <w:t>复现周期：</w:t>
      </w:r>
      <w:r>
        <w:t>2016-01-04——2021-02-05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中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期间收益：12.84%(17万元)</w:t>
      </w:r>
      <w:r/>
    </w:p>
    <w:p>
      <w:r>
        <w:t>组合最大回撤（可能面临的最大风险）：14.77%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组合类别：中风险公募基金组合</w:t>
      </w:r>
    </w:p>
    <w:p>
      <w:r>
        <w:t>组合更新时间：2021年1季度（组合明细如下图所示）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中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519700交银主题——22万</w:t>
      </w:r>
    </w:p>
    <w:p>
      <w:r>
        <w:t>519712交银阿尔法——52万</w:t>
      </w:r>
    </w:p>
    <w:p>
      <w:r>
        <w:t>000171易方达裕丰——26万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