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2021-02-03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2015-05-18——2021-02-03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期间收益：10.76%(22万元)</w:t>
      </w:r>
    </w:p>
    <w:p>
      <w:r>
        <w:t>期间最大回撤：48.03%(20万元)</w:t>
      </w:r>
    </w:p>
    <w:p>
      <w:r>
        <w:t>期间风险收益比：0.22（即总收益/最大回撤）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投资方法：每次申购均买入对应季度的高风险组合，买入后每持有11个月调整一次</w:t>
      </w:r>
    </w:p>
    <w:p>
      <w:r>
        <w:t>复现周期：</w:t>
      </w:r>
      <w:r>
        <w:t>2015-05-18——2021-02-03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期间收益：72.53%(145万元)</w:t>
      </w:r>
      <w:r>
        <w:t>比原来提高了574%</w:t>
      </w:r>
    </w:p>
    <w:p>
      <w:r>
        <w:t>期间最大回撤：44.96%(20万元)</w:t>
      </w:r>
      <w:r>
        <w:t>比原来降低了6%</w:t>
      </w:r>
    </w:p>
    <w:p>
      <w:r>
        <w:t>期间风险收益比：1.61（即总收益/最大回撤）</w:t>
      </w:r>
      <w:r>
        <w:t>比原来提高了620%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组合更新时间：2021年1季度（组合明细如下图所示）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519712交银阿尔法——50万</w:t>
      </w:r>
    </w:p>
    <w:p>
      <w:r>
        <w:t>519736交银新成长——50万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