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期间收益：-58.71%(-117万元)</w:t>
      </w:r>
    </w:p>
    <w:p>
      <w:r>
        <w:t>期间最大回撤：40.35%(55万元)</w:t>
      </w:r>
    </w:p>
    <w:p>
      <w:r>
        <w:t>期间风险收益比：-1.46（即总收益/最大回撤）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期间收益：4.64%(9万元)</w:t>
      </w:r>
      <w:r>
        <w:t>比原来提高了8%</w:t>
      </w:r>
    </w:p>
    <w:p>
      <w:r>
        <w:t>期间最大回撤：4.81%(10万元)</w:t>
      </w:r>
      <w:r>
        <w:t>比原来降低了88%</w:t>
      </w:r>
    </w:p>
    <w:p>
      <w:r>
        <w:t>期间风险收益比：0.96（即总收益/最大回撤）</w:t>
      </w:r>
      <w:r>
        <w:t>比原来提高了166%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