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rPr>
          <w:rFonts w:ascii="Cambria" w:hAnsi="Cambria" w:eastAsia="Cambria"/>
          <w:color w:val="000000"/>
          <w:sz w:val="36"/>
        </w:rPr>
        <w:t>C基金检视报告（中风险版）</w:t>
      </w:r>
    </w:p>
    <w:p>
      <w:pPr>
        <w:pStyle w:val="Heading1"/>
      </w:pPr>
      <w:r>
        <w:rPr>
          <w:rFonts w:ascii="Cambria" w:hAnsi="Cambria" w:eastAsia="Cambria"/>
          <w:color w:val="000000"/>
        </w:rPr>
        <w:t>2020-10-28</w:t>
      </w:r>
    </w:p>
    <w:p>
      <w:pPr>
        <w:pStyle w:val="Heading1"/>
      </w:pPr>
      <w:r>
        <w:rPr>
          <w:rFonts w:ascii="Cambria" w:hAnsi="Cambria" w:eastAsia="Cambria"/>
          <w:color w:val="000000"/>
        </w:rPr>
        <w:t>一、真实历史交易复现：</w:t>
      </w:r>
    </w:p>
    <w:p>
      <w:r>
        <w:t>复现周期：</w:t>
      </w:r>
      <w:r>
        <w:t>2015-05-18——2020-10-28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t>期间收益：-1.72%(-3.0万元)</w:t>
      </w:r>
    </w:p>
    <w:p>
      <w:r>
        <w:t>期间最大回撤：48.03%(20万元)</w:t>
      </w:r>
    </w:p>
    <w:p>
      <w:r>
        <w:t>期间风险收益比：-0.04（即总收益/最大回撤）</w:t>
      </w:r>
    </w:p>
    <w:p/>
    <w:p>
      <w:pPr>
        <w:pStyle w:val="Heading1"/>
      </w:pPr>
      <w:r>
        <w:rPr>
          <w:rFonts w:ascii="Cambria" w:hAnsi="Cambria" w:eastAsia="Cambria"/>
          <w:color w:val="000000"/>
        </w:rPr>
        <w:t>二、组合化投资对比复现</w:t>
      </w:r>
    </w:p>
    <w:p>
      <w:r>
        <w:t>持仓组合类别：中风险组合</w:t>
      </w:r>
    </w:p>
    <w:p>
      <w:r>
        <w:t>投资方法：每次申购均买入对应季度的中风险组合，买入后每持有11个月调整一次</w:t>
      </w:r>
    </w:p>
    <w:p>
      <w:r>
        <w:t>复现周期：</w:t>
      </w:r>
      <w:r>
        <w:t>2015-05-18——2020-10-28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中风险风险组合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t>期间收益：26.53%(53.0万元)</w:t>
      </w:r>
      <w:r>
        <w:t>比原来提高了1542.0%</w:t>
      </w:r>
    </w:p>
    <w:p>
      <w:r>
        <w:t>期间最大回撤：32.22%(14万元)</w:t>
      </w:r>
      <w:r>
        <w:t>比原来降低了33%</w:t>
      </w:r>
    </w:p>
    <w:p>
      <w:r>
        <w:t>期间风险收益比：0.82（即总收益/最大回撤）</w:t>
      </w:r>
      <w:r>
        <w:t>比原来提高了2400.0%</w:t>
      </w:r>
    </w:p>
    <w:p/>
    <w:p>
      <w:pPr>
        <w:pStyle w:val="Heading1"/>
      </w:pPr>
      <w:r>
        <w:rPr>
          <w:rFonts w:ascii="Cambria" w:hAnsi="Cambria" w:eastAsia="Cambria"/>
          <w:color w:val="000000"/>
        </w:rPr>
        <w:t>三、推荐基金组合</w:t>
      </w:r>
    </w:p>
    <w:p>
      <w:r>
        <w:t>组合类别：中风险公募基金组合</w:t>
      </w:r>
    </w:p>
    <w:p>
      <w:r>
        <w:t>组合更新时间：2020年4季度（组合明细如下图所示）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中风险风险组合_pi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t>组合明细（以100万元计算）：</w:t>
      </w:r>
    </w:p>
    <w:p>
      <w:r>
        <w:t>001589天弘中证800C——15万</w:t>
      </w:r>
    </w:p>
    <w:p>
      <w:r>
        <w:t>164809工银中证500指数——15万</w:t>
      </w:r>
    </w:p>
    <w:p>
      <w:r>
        <w:t>005868平安MSCI中国A股国际ETF联接——15万</w:t>
      </w:r>
    </w:p>
    <w:p>
      <w:r>
        <w:t>005869平安MSCI中国A股国际ETF联接C——15万</w:t>
      </w:r>
    </w:p>
    <w:p>
      <w:r>
        <w:t>003130中信保诚稳利债券C——40万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color w:val="000000"/>
      <w:sz w:val="21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