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2020-10-27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期间收益：-2.27%(-5.0万元)</w:t>
      </w:r>
    </w:p>
    <w:p>
      <w:r>
        <w:t>期间最大回撤：48.03%(20万元)</w:t>
      </w:r>
    </w:p>
    <w:p>
      <w:r>
        <w:t>期间风险收益比：-0.05（即总收益/最大回撤）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期间收益：26.32%(53.0万元)</w:t>
      </w:r>
      <w:r>
        <w:t>比原来提高了1159.0%</w:t>
      </w:r>
    </w:p>
    <w:p>
      <w:r>
        <w:t>期间最大回撤：32.22%(14万元)</w:t>
      </w:r>
      <w:r>
        <w:t>比原来降低了33%</w:t>
      </w:r>
    </w:p>
    <w:p>
      <w:r>
        <w:t>期间风险收益比：0.82（即总收益/最大回撤）</w:t>
      </w:r>
      <w:r>
        <w:t>比原来提高了1827.0%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001589天弘中证800C——15万</w:t>
      </w:r>
    </w:p>
    <w:p>
      <w:r>
        <w:t>164809工银中证500指数——15万</w:t>
      </w:r>
    </w:p>
    <w:p>
      <w:r>
        <w:t>005868平安MSCI中国A股国际ETF联接——15万</w:t>
      </w:r>
    </w:p>
    <w:p>
      <w:r>
        <w:t>005869平安MSCI中国A股国际ETF联接C——15万</w:t>
      </w:r>
    </w:p>
    <w:p>
      <w:r>
        <w:t>003130中信保诚稳利债券C——40万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