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期间收益：-1.04%(-2.0万元)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2015-05-18——2020-10-25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期间收益：28.42%(57.0万元)</w:t>
      </w:r>
      <w:r>
        <w:t>比原来提高了2733.0%</w:t>
      </w:r>
    </w:p>
    <w:p>
      <w:r>
        <w:t>期间最大回撤：32.22%(14万元)</w:t>
      </w:r>
      <w:r>
        <w:t>比原来降低了33%</w:t>
      </w:r>
    </w:p>
    <w:p>
      <w:r>
        <w:t>期间风险收益比：0.88（即总收益/最大回撤）</w:t>
      </w:r>
      <w:r>
        <w:t>比原来提高了4165.0%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