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2020-10-28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期间收益：-1.72%(-3.0万元)</w:t>
      </w:r>
    </w:p>
    <w:p>
      <w:r>
        <w:t>期间最大回撤：48.03%(20万元)</w:t>
      </w:r>
    </w:p>
    <w:p>
      <w:r>
        <w:t>期间风险收益比：-0.04（即总收益/最大回撤）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期间收益：12.79%(24.0万元)</w:t>
      </w:r>
      <w:r>
        <w:t>比原来提高了701.0%</w:t>
      </w:r>
    </w:p>
    <w:p>
      <w:r>
        <w:t>期间最大回撤：13.04%(5万元)</w:t>
      </w:r>
      <w:r>
        <w:t>比原来降低了73%</w:t>
      </w:r>
    </w:p>
    <w:p>
      <w:r>
        <w:t>期间风险收益比：0.98（即总收益/最大回撤）</w:t>
      </w:r>
      <w:r>
        <w:t>比原来提高了2840.0%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