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2021-02-05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2015-05-18——2021-02-05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期间收益：9.69%(19万元)</w:t>
      </w:r>
    </w:p>
    <w:p>
      <w:r>
        <w:t>期间最大回撤：48.03%(20万元)</w:t>
      </w:r>
    </w:p>
    <w:p>
      <w:r>
        <w:t>期间风险收益比：0.2（即总收益/最大回撤）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2015-05-18——2021-02-05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期间收益：15.96%(31万元)</w:t>
      </w:r>
      <w:r>
        <w:t>比原来提高了63%</w:t>
      </w:r>
    </w:p>
    <w:p>
      <w:r>
        <w:t>期间最大回撤：13.04%(5万元)</w:t>
      </w:r>
      <w:r>
        <w:t>比原来降低了73%</w:t>
      </w:r>
    </w:p>
    <w:p>
      <w:r>
        <w:t>期间风险收益比：1.22（即总收益/最大回撤）</w:t>
      </w:r>
      <w:r>
        <w:t>比原来提高了507%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519069汇添富价值精选混合——1万</w:t>
      </w:r>
    </w:p>
    <w:p>
      <w:r>
        <w:t>519736交银新成长——11万</w:t>
      </w:r>
    </w:p>
    <w:p>
      <w:r>
        <w:t>000171易方达裕丰——88万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