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2020-10-27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期间收益：-2.27%(-5.0万元)</w:t>
      </w:r>
    </w:p>
    <w:p>
      <w:r>
        <w:t>期间最大回撤：48.03%(20万元)</w:t>
      </w:r>
    </w:p>
    <w:p>
      <w:r>
        <w:t>期间风险收益比：-0.05（即总收益/最大回撤）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2015-05-18——2020-10-27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期间收益：12.69%(24.0万元)</w:t>
      </w:r>
      <w:r>
        <w:t>比原来提高了527.0%</w:t>
      </w:r>
    </w:p>
    <w:p>
      <w:r>
        <w:t>期间最大回撤：13.04%(5万元)</w:t>
      </w:r>
      <w:r>
        <w:t>比原来降低了73%</w:t>
      </w:r>
    </w:p>
    <w:p>
      <w:r>
        <w:t>期间风险收益比：0.97（即总收益/最大回撤）</w:t>
      </w:r>
      <w:r>
        <w:t>比原来提高了2158.0%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006724深红利联接C——37万</w:t>
      </w:r>
    </w:p>
    <w:p>
      <w:r>
        <w:t>000070国投中高C——13万</w:t>
      </w:r>
    </w:p>
    <w:p>
      <w:r>
        <w:t>000131大成信用债C——13万</w:t>
      </w:r>
    </w:p>
    <w:p>
      <w:r>
        <w:t>008453兴全恒鑫债券C——24万</w:t>
      </w:r>
    </w:p>
    <w:p>
      <w:r>
        <w:t>004103信诚稳悦C——13万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