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C基金检视报告（低风险版）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2021-02-24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2015-05-18——2021-02-24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期间收益：13.62%(27万元)</w:t>
      </w:r>
    </w:p>
    <w:p>
      <w:r>
        <w:t>期间最大回撤：48.03%(20万元)</w:t>
      </w:r>
    </w:p>
    <w:p>
      <w:r>
        <w:t>期间风险收益比：0.28（即总收益/最大回撤）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持仓组合类别：低风险组合</w:t>
      </w:r>
    </w:p>
    <w:p>
      <w:r>
        <w:t>投资方法：每次申购均买入对应季度的低风险组合，买入后每持有7个月调整一次</w:t>
      </w:r>
    </w:p>
    <w:p>
      <w:r>
        <w:t>复现周期：</w:t>
      </w:r>
      <w:r>
        <w:t>2015-05-18——2021-02-24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低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期间收益：16.89%(33万元)</w:t>
      </w:r>
      <w:r>
        <w:t>比原来提高了22%</w:t>
      </w:r>
    </w:p>
    <w:p>
      <w:r>
        <w:t>期间最大回撤：13.04%(5万元)</w:t>
      </w:r>
      <w:r>
        <w:t>比原来降低了73%</w:t>
      </w:r>
    </w:p>
    <w:p>
      <w:r>
        <w:t>期间风险收益比：1.3（即总收益/最大回撤）</w:t>
      </w:r>
      <w:r>
        <w:t>比原来提高了357%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组合类别：低风险公募基金组合</w:t>
      </w:r>
    </w:p>
    <w:p>
      <w:r>
        <w:t>组合更新时间：2021年1季度（组合明细如下图所示）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低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519069汇添富价值精选混合——1万</w:t>
      </w:r>
    </w:p>
    <w:p>
      <w:r>
        <w:t>519736交银新成长——11万</w:t>
      </w:r>
    </w:p>
    <w:p>
      <w:r>
        <w:t>000171易方达裕丰——88万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