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2021-02-26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2015-05-18——2021-02-26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期间收益：11.38%(23万元)</w:t>
      </w:r>
    </w:p>
    <w:p>
      <w:r>
        <w:t>期间最大回撤：48.03%(20万元)</w:t>
      </w:r>
    </w:p>
    <w:p>
      <w:r>
        <w:t>期间风险收益比：0.24（即总收益/最大回撤）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2015-05-18——2021-02-26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期间收益：73.76%(148万元)</w:t>
      </w:r>
      <w:r>
        <w:t>比原来提高了548%</w:t>
      </w:r>
    </w:p>
    <w:p>
      <w:r>
        <w:t>期间最大回撤：44.96%(20万元)</w:t>
      </w:r>
      <w:r>
        <w:t>比原来降低了6%</w:t>
      </w:r>
    </w:p>
    <w:p>
      <w:r>
        <w:t>期间风险收益比：1.64（即总收益/最大回撤）</w:t>
      </w:r>
      <w:r>
        <w:t>比原来提高了593%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519712交银阿尔法——50万</w:t>
      </w:r>
    </w:p>
    <w:p>
      <w:r>
        <w:t>519736交银新成长——50万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