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2020-10-24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2015-05-18——2020-10-24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期间收益：-1.04%(-2.0万元)</w:t>
      </w:r>
    </w:p>
    <w:p>
      <w:r>
        <w:t>期间最大回撤：48.03%(20万元)</w:t>
      </w:r>
    </w:p>
    <w:p>
      <w:r>
        <w:t>期间风险收益比：-0.02（即总收益/最大回撤）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投资方法：每次申购均买入对应季度的高风险组合，买入后每持有11个月调整一次</w:t>
      </w:r>
    </w:p>
    <w:p>
      <w:r>
        <w:t>复现周期：</w:t>
      </w:r>
      <w:r>
        <w:t>2015-05-18——2020-10-24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期间收益：58.37%(117.0万元)</w:t>
      </w:r>
      <w:r>
        <w:t>比原来提高了5612.0%</w:t>
      </w:r>
    </w:p>
    <w:p>
      <w:r>
        <w:t>期间最大回撤：44.96%(20万元)</w:t>
      </w:r>
      <w:r>
        <w:t>比原来降低了6%</w:t>
      </w:r>
    </w:p>
    <w:p>
      <w:r>
        <w:t>期间风险收益比：1.3（即总收益/最大回撤）</w:t>
      </w:r>
      <w:r>
        <w:t>比原来提高了6083.0%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006215平安500ETF联接C——20万</w:t>
      </w:r>
    </w:p>
    <w:p>
      <w:r>
        <w:t>006705易方达MSCI中国A股国际通ETF联接C——20万</w:t>
      </w:r>
    </w:p>
    <w:p>
      <w:r>
        <w:t>006560华夏中证四川国改ETF联接——20万</w:t>
      </w:r>
    </w:p>
    <w:p>
      <w:r>
        <w:t>006561华夏中证四川国改ETF联接C——20万</w:t>
      </w:r>
    </w:p>
    <w:p>
      <w:r>
        <w:t>007096大成300C——20万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