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Cambria" w:hAnsi="Cambria" w:eastAsia="Cambria"/>
          <w:color w:val="000000"/>
          <w:sz w:val="36"/>
        </w:rPr>
        <w:t>C基金检视报告（高风险版）</w:t>
      </w:r>
    </w:p>
    <w:p>
      <w:pPr>
        <w:pStyle w:val="Heading1"/>
      </w:pPr>
      <w:r>
        <w:rPr>
          <w:rFonts w:ascii="Cambria" w:hAnsi="Cambria" w:eastAsia="Cambria"/>
          <w:color w:val="000000"/>
        </w:rPr>
        <w:t>2021-02-24</w:t>
      </w:r>
    </w:p>
    <w:p>
      <w:pPr>
        <w:pStyle w:val="Heading1"/>
      </w:pPr>
      <w:r>
        <w:rPr>
          <w:rFonts w:ascii="Cambria" w:hAnsi="Cambria" w:eastAsia="Cambria"/>
          <w:color w:val="000000"/>
        </w:rPr>
        <w:t>一、真实历史交易复现：</w:t>
      </w:r>
    </w:p>
    <w:p>
      <w:r>
        <w:t>复现周期：</w:t>
      </w:r>
      <w:r>
        <w:t>2015-05-18——2021-02-24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期间收益：13.62%(27万元)</w:t>
      </w:r>
    </w:p>
    <w:p>
      <w:r>
        <w:t>期间最大回撤：48.03%(20万元)</w:t>
      </w:r>
    </w:p>
    <w:p>
      <w:r>
        <w:t>期间风险收益比：0.28（即总收益/最大回撤）</w:t>
      </w:r>
    </w:p>
    <w:p/>
    <w:p>
      <w:pPr>
        <w:pStyle w:val="Heading1"/>
      </w:pPr>
      <w:r>
        <w:rPr>
          <w:rFonts w:ascii="Cambria" w:hAnsi="Cambria" w:eastAsia="Cambria"/>
          <w:color w:val="000000"/>
        </w:rPr>
        <w:t>二、组合化投资对比复现</w:t>
      </w:r>
    </w:p>
    <w:p>
      <w:r>
        <w:t>持仓组合类别：高风险组合</w:t>
      </w:r>
    </w:p>
    <w:p>
      <w:r>
        <w:t>投资方法：每次申购均买入对应季度的高风险组合，买入后每持有11个月调整一次</w:t>
      </w:r>
    </w:p>
    <w:p>
      <w:r>
        <w:t>复现周期：</w:t>
      </w:r>
      <w:r>
        <w:t>2015-05-18——2021-02-24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高风险风险组合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期间收益：78.18%(156万元)</w:t>
      </w:r>
      <w:r>
        <w:t>比原来提高了474%</w:t>
      </w:r>
    </w:p>
    <w:p>
      <w:r>
        <w:t>期间最大回撤：44.96%(20万元)</w:t>
      </w:r>
      <w:r>
        <w:t>比原来降低了6%</w:t>
      </w:r>
    </w:p>
    <w:p>
      <w:r>
        <w:t>期间风险收益比：1.74（即总收益/最大回撤）</w:t>
      </w:r>
      <w:r>
        <w:t>比原来提高了513%</w:t>
      </w:r>
    </w:p>
    <w:p/>
    <w:p>
      <w:pPr>
        <w:pStyle w:val="Heading1"/>
      </w:pPr>
      <w:r>
        <w:rPr>
          <w:rFonts w:ascii="Cambria" w:hAnsi="Cambria" w:eastAsia="Cambria"/>
          <w:color w:val="000000"/>
        </w:rPr>
        <w:t>三、推荐基金组合</w:t>
      </w:r>
    </w:p>
    <w:p>
      <w:r>
        <w:t>组合类别：高风险公募基金组合</w:t>
      </w:r>
    </w:p>
    <w:p>
      <w:r>
        <w:t>组合更新时间：2021年1季度（组合明细如下图所示）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高风险风险组合_pi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组合明细（以100万元计算）：</w:t>
      </w:r>
    </w:p>
    <w:p>
      <w:r>
        <w:t>519712交银阿尔法——50万</w:t>
      </w:r>
    </w:p>
    <w:p>
      <w:r>
        <w:t>519736交银新成长——50万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color w:val="000000"/>
      <w:sz w:val="21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