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Карта аудиторий и JTBD v1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Назначение документа</w:t>
      </w:r>
    </w:p>
    <w:p>
      <w:r>
        <w:t>Документ фиксирует первую рабочую карту аудиторий для лендинга v1. Он нужен не для окончательной рыночной истины, а для управляемого перехода к позиционированию и офферу.</w:t>
      </w:r>
    </w:p>
    <w:p>
      <w:pPr>
        <w:pStyle w:val="Heading1"/>
      </w:pPr>
      <w:r>
        <w:t>Основной сегмент</w:t>
      </w:r>
    </w:p>
    <w:p>
      <w:pPr>
        <w:ind w:left="283" w:hanging="170"/>
      </w:pPr>
      <w:r>
        <w:rPr>
          <w:b/>
        </w:rPr>
        <w:t xml:space="preserve">• </w:t>
      </w:r>
      <w:r>
        <w:t>Частные школы, прежде всего начальная школа.</w:t>
      </w:r>
    </w:p>
    <w:p>
      <w:pPr>
        <w:ind w:left="283" w:hanging="170"/>
      </w:pPr>
      <w:r>
        <w:rPr>
          <w:b/>
        </w:rPr>
        <w:t xml:space="preserve">• </w:t>
      </w:r>
      <w:r>
        <w:t>Географический фокус первой версии: Москва и Московская область.</w:t>
      </w:r>
    </w:p>
    <w:p>
      <w:pPr>
        <w:ind w:left="283" w:hanging="170"/>
      </w:pPr>
      <w:r>
        <w:rPr>
          <w:b/>
        </w:rPr>
        <w:t xml:space="preserve">• </w:t>
      </w:r>
      <w:r>
        <w:t>Ключевые участники решения: собственник, директор, руководитель школы, иногда педагогический инициатор.</w:t>
      </w:r>
    </w:p>
    <w:p>
      <w:pPr>
        <w:pStyle w:val="Heading1"/>
      </w:pPr>
      <w:r>
        <w:t>Сильная альтернатива</w:t>
      </w:r>
    </w:p>
    <w:p>
      <w:pPr>
        <w:ind w:left="283" w:hanging="170"/>
      </w:pPr>
      <w:r>
        <w:rPr>
          <w:b/>
        </w:rPr>
        <w:t xml:space="preserve">• </w:t>
      </w:r>
      <w:r>
        <w:t>Частные детские сады как близкий по логике сегмент, но не ядро первой версии лендинга.</w:t>
      </w:r>
    </w:p>
    <w:p>
      <w:pPr>
        <w:pStyle w:val="Heading1"/>
      </w:pPr>
      <w:r>
        <w:t>JTBD и логика спроса</w:t>
      </w:r>
    </w:p>
    <w:p>
      <w:pPr>
        <w:ind w:left="283" w:hanging="170"/>
      </w:pPr>
      <w:r>
        <w:rPr>
          <w:b/>
        </w:rPr>
        <w:t xml:space="preserve">• </w:t>
      </w:r>
      <w:r>
        <w:t>Найти решение, которое делает рекреацию работающей частью школьной среды, а не просто проходом.</w:t>
      </w:r>
    </w:p>
    <w:p>
      <w:pPr>
        <w:ind w:left="283" w:hanging="170"/>
      </w:pPr>
      <w:r>
        <w:rPr>
          <w:b/>
        </w:rPr>
        <w:t xml:space="preserve">• </w:t>
      </w:r>
      <w:r>
        <w:t>Дать детям возможность двигаться, переключаться и регулировать состояние в течение дня.</w:t>
      </w:r>
    </w:p>
    <w:p>
      <w:pPr>
        <w:ind w:left="283" w:hanging="170"/>
      </w:pPr>
      <w:r>
        <w:rPr>
          <w:b/>
        </w:rPr>
        <w:t xml:space="preserve">• </w:t>
      </w:r>
      <w:r>
        <w:t>Получить объект, который помогает школе отличаться в глазах родителей и усиливает качество среды.</w:t>
      </w:r>
    </w:p>
    <w:p>
      <w:pPr>
        <w:ind w:left="283" w:hanging="170"/>
      </w:pPr>
      <w:r>
        <w:rPr>
          <w:b/>
        </w:rPr>
        <w:t xml:space="preserve">• </w:t>
      </w:r>
      <w:r>
        <w:t>Найти решение, которое выглядит осмысленно и интегрировано в образовательное пространство, а не как случайный спортобъект.</w:t>
      </w:r>
    </w:p>
    <w:p>
      <w:pPr>
        <w:pStyle w:val="Heading1"/>
      </w:pPr>
      <w:r>
        <w:t>Боли и критерии выбора</w:t>
      </w:r>
    </w:p>
    <w:p>
      <w:pPr>
        <w:ind w:left="283" w:hanging="170"/>
      </w:pPr>
      <w:r>
        <w:rPr>
          <w:b/>
        </w:rPr>
        <w:t xml:space="preserve">• </w:t>
      </w:r>
      <w:r>
        <w:t>Перегрузка детей и недостаток осмысленного движения в течение школьного дня.</w:t>
      </w:r>
    </w:p>
    <w:p>
      <w:pPr>
        <w:ind w:left="283" w:hanging="170"/>
      </w:pPr>
      <w:r>
        <w:rPr>
          <w:b/>
        </w:rPr>
        <w:t xml:space="preserve">• </w:t>
      </w:r>
      <w:r>
        <w:t>Слабая работа рекреаций как среды, а не только как проходных зон.</w:t>
      </w:r>
    </w:p>
    <w:p>
      <w:pPr>
        <w:ind w:left="283" w:hanging="170"/>
      </w:pPr>
      <w:r>
        <w:rPr>
          <w:b/>
        </w:rPr>
        <w:t xml:space="preserve">• </w:t>
      </w:r>
      <w:r>
        <w:t>Осторожность по поводу безопасности, методической ценности и реальной логики использования.</w:t>
      </w:r>
    </w:p>
    <w:p>
      <w:pPr>
        <w:ind w:left="283" w:hanging="170"/>
      </w:pPr>
      <w:r>
        <w:rPr>
          <w:b/>
        </w:rPr>
        <w:t xml:space="preserve">• </w:t>
      </w:r>
      <w:r>
        <w:t>Чувствительность к цене, месту, ясности сценариев и качеству визуальной интеграции в школу.</w:t>
      </w:r>
    </w:p>
    <w:p>
      <w:pPr>
        <w:pStyle w:val="Heading1"/>
      </w:pPr>
      <w:r>
        <w:t>Ограничение документа</w:t>
      </w:r>
    </w:p>
    <w:p>
      <w:pPr>
        <w:ind w:left="283" w:hanging="170"/>
      </w:pPr>
      <w:r>
        <w:rPr>
          <w:b/>
        </w:rPr>
        <w:t xml:space="preserve">• </w:t>
      </w:r>
      <w:r>
        <w:t>Карта v1 достаточна для первой версии позиционирования, но не заменяет дальнейшую валидацию интервью и полевых проверок.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