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41414"/>
        </w:rPr>
        <w:t>Паспорт правды 2.0</w:t>
      </w:r>
    </w:p>
    <w:p>
      <w:pPr/>
      <w:r>
        <w:rPr>
          <w:i/>
        </w:rPr>
        <w:t>Проект: Комплекс Реутского 2.0</w:t>
        <w:br/>
        <w:t>Статус: документ для рабочего цикла v1</w:t>
      </w:r>
    </w:p>
    <w:p>
      <w:pPr>
        <w:pStyle w:val="Heading1"/>
      </w:pPr>
      <w:r>
        <w:t>Назначение документа</w:t>
      </w:r>
    </w:p>
    <w:p>
      <w:r>
        <w:t>Документ фиксирует фактическую рамку продукта для всех следующих этапов проекта. Его задача — отделить подтвержденное от предположений и не допустить смешения текущей версии Комплекса 2.0 с предыдущими поколениями и перспективными идеями.</w:t>
      </w:r>
    </w:p>
    <w:p>
      <w:pPr>
        <w:pStyle w:val="Heading1"/>
      </w:pPr>
      <w:r>
        <w:t>Что подтверждено</w:t>
      </w:r>
    </w:p>
    <w:p>
      <w:pPr>
        <w:ind w:left="283" w:hanging="170"/>
      </w:pPr>
      <w:r>
        <w:rPr>
          <w:b/>
        </w:rPr>
        <w:t xml:space="preserve">• </w:t>
      </w:r>
      <w:r>
        <w:t>Текущая версия продукта рассматривается как цельный двигательно-игровой / физкультурно-игровой комплекс в стандартной конфигурации, а не как уже готовая модульная линейка 1+2+3.</w:t>
      </w:r>
    </w:p>
    <w:p>
      <w:pPr>
        <w:ind w:left="283" w:hanging="170"/>
      </w:pPr>
      <w:r>
        <w:rPr>
          <w:b/>
        </w:rPr>
        <w:t xml:space="preserve">• </w:t>
      </w:r>
      <w:r>
        <w:t>Продукт подается не как обычный спортивный снаряд, а как среда для движения, игры, переключения состояния и самостоятельной активности внутри школьного дня.</w:t>
      </w:r>
    </w:p>
    <w:p>
      <w:pPr>
        <w:ind w:left="283" w:hanging="170"/>
      </w:pPr>
      <w:r>
        <w:rPr>
          <w:b/>
        </w:rPr>
        <w:t xml:space="preserve">• </w:t>
      </w:r>
      <w:r>
        <w:t>Комплекс должен рассматриваться как часть повседневой образовательной среды, а не как объект только для занятий по расписанию.</w:t>
      </w:r>
    </w:p>
    <w:p>
      <w:pPr>
        <w:ind w:left="283" w:hanging="170"/>
      </w:pPr>
      <w:r>
        <w:rPr>
          <w:b/>
        </w:rPr>
        <w:t xml:space="preserve">• </w:t>
      </w:r>
      <w:r>
        <w:t>В проекте нужно строго отделять текущую версию 2.0 от первого поколения и от перспективных расширений.</w:t>
      </w:r>
    </w:p>
    <w:p>
      <w:pPr>
        <w:pStyle w:val="Heading1"/>
      </w:pPr>
      <w:r>
        <w:t>Что является гипотезой или наследуемым опытом</w:t>
      </w:r>
    </w:p>
    <w:p>
      <w:pPr>
        <w:ind w:left="283" w:hanging="170"/>
      </w:pPr>
      <w:r>
        <w:rPr>
          <w:b/>
        </w:rPr>
        <w:t xml:space="preserve">• </w:t>
      </w:r>
      <w:r>
        <w:t>Широкие педагогические и поведенческие эффекты нельзя автоматически считать доказанными именно для версии 2.0.</w:t>
      </w:r>
    </w:p>
    <w:p>
      <w:pPr>
        <w:ind w:left="283" w:hanging="170"/>
      </w:pPr>
      <w:r>
        <w:rPr>
          <w:b/>
        </w:rPr>
        <w:t xml:space="preserve">• </w:t>
      </w:r>
      <w:r>
        <w:t>Материалы и наблюдения по комплексам первого поколения могут использоваться только как наследуемый опыт, а не как доказательная база по 2.0.</w:t>
      </w:r>
    </w:p>
    <w:p>
      <w:pPr>
        <w:ind w:left="283" w:hanging="170"/>
      </w:pPr>
      <w:r>
        <w:rPr>
          <w:b/>
        </w:rPr>
        <w:t xml:space="preserve">• </w:t>
      </w:r>
      <w:r>
        <w:t>Будущая модульность 1+2+3 и расширенная продуктовая система не должны попадать в ядро текущего оффера.</w:t>
      </w:r>
    </w:p>
    <w:p>
      <w:pPr>
        <w:pStyle w:val="Heading1"/>
      </w:pPr>
      <w:r>
        <w:t>Что остается открытым</w:t>
      </w:r>
    </w:p>
    <w:p>
      <w:pPr>
        <w:ind w:left="283" w:hanging="170"/>
      </w:pPr>
      <w:r>
        <w:rPr>
          <w:b/>
        </w:rPr>
        <w:t xml:space="preserve">• </w:t>
      </w:r>
      <w:r>
        <w:t>Подтвержденная безопасность версии 2.0.</w:t>
      </w:r>
    </w:p>
    <w:p>
      <w:pPr>
        <w:ind w:left="283" w:hanging="170"/>
      </w:pPr>
      <w:r>
        <w:rPr>
          <w:b/>
        </w:rPr>
        <w:t xml:space="preserve">• </w:t>
      </w:r>
      <w:r>
        <w:t>Точный возрастной диапазон.</w:t>
      </w:r>
    </w:p>
    <w:p>
      <w:pPr>
        <w:ind w:left="283" w:hanging="170"/>
      </w:pPr>
      <w:r>
        <w:rPr>
          <w:b/>
        </w:rPr>
        <w:t xml:space="preserve">• </w:t>
      </w:r>
      <w:r>
        <w:t>Нагрузки и допустимое количество детей одновременно.</w:t>
      </w:r>
    </w:p>
    <w:p>
      <w:pPr>
        <w:ind w:left="283" w:hanging="170"/>
      </w:pPr>
      <w:r>
        <w:rPr>
          <w:b/>
        </w:rPr>
        <w:t xml:space="preserve">• </w:t>
      </w:r>
      <w:r>
        <w:t>Требования к креплению и помещению.</w:t>
      </w:r>
    </w:p>
    <w:p>
      <w:pPr>
        <w:ind w:left="283" w:hanging="170"/>
      </w:pPr>
      <w:r>
        <w:rPr>
          <w:b/>
        </w:rPr>
        <w:t xml:space="preserve">• </w:t>
      </w:r>
      <w:r>
        <w:t>Нормативный и сертификационный статус.</w:t>
      </w:r>
    </w:p>
    <w:p>
      <w:pPr>
        <w:ind w:left="283" w:hanging="170"/>
      </w:pPr>
      <w:r>
        <w:rPr>
          <w:b/>
        </w:rPr>
        <w:t xml:space="preserve">• </w:t>
      </w:r>
      <w:r>
        <w:t>Точный состав базовой поставки и перечень опций.</w:t>
      </w:r>
    </w:p>
    <w:p>
      <w:pPr>
        <w:ind w:left="283" w:hanging="170"/>
      </w:pPr>
      <w:r>
        <w:rPr>
          <w:b/>
        </w:rPr>
        <w:t xml:space="preserve">• </w:t>
      </w:r>
      <w:r>
        <w:t>Цена, сроки, сервисный и гарантийный контур.</w:t>
      </w:r>
    </w:p>
    <w:p>
      <w:pPr>
        <w:pStyle w:val="Heading1"/>
      </w:pPr>
      <w:r>
        <w:t>Запреты на дальнейших этапах</w:t>
      </w:r>
    </w:p>
    <w:p>
      <w:pPr>
        <w:ind w:left="283" w:hanging="170"/>
      </w:pPr>
      <w:r>
        <w:rPr>
          <w:b/>
        </w:rPr>
        <w:t xml:space="preserve">• </w:t>
      </w:r>
      <w:r>
        <w:t>Нельзя выдавать открытые вопросы за факты.</w:t>
      </w:r>
    </w:p>
    <w:p>
      <w:pPr>
        <w:ind w:left="283" w:hanging="170"/>
      </w:pPr>
      <w:r>
        <w:rPr>
          <w:b/>
        </w:rPr>
        <w:t xml:space="preserve">• </w:t>
      </w:r>
      <w:r>
        <w:t>Нельзя смешивать 2.0 с предыдущими поколениями и перспективными решениями.</w:t>
      </w:r>
    </w:p>
    <w:p>
      <w:pPr>
        <w:ind w:left="283" w:hanging="170"/>
      </w:pPr>
      <w:r>
        <w:rPr>
          <w:b/>
        </w:rPr>
        <w:t xml:space="preserve">• </w:t>
      </w:r>
      <w:r>
        <w:t>Нельзя делать безопасность, возраст, сертификацию, модульность и доказанные эффекты 2.0 частью обещания без отдельного подтверждения.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Комплекс Реутского 2.0 —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