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Позиционирование и оффер v1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Назначение документа</w:t>
      </w:r>
    </w:p>
    <w:p>
      <w:r>
        <w:t>Документ собирает первую рабочую версию позиционирования и оффера на основе подтвержденной продуктовой рамки и карты аудиторий.</w:t>
      </w:r>
    </w:p>
    <w:p>
      <w:pPr>
        <w:pStyle w:val="Heading1"/>
      </w:pPr>
      <w:r>
        <w:t>Основное позиционирование</w:t>
      </w:r>
    </w:p>
    <w:p>
      <w:r>
        <w:t>Комплекс Реутского 2.0 — не просто объект в рекреации, а среда движения и переключения внутри школьного дня.</w:t>
      </w:r>
    </w:p>
    <w:p>
      <w:pPr>
        <w:pStyle w:val="Heading1"/>
      </w:pPr>
      <w:r>
        <w:t>Более острая офферная подача</w:t>
      </w:r>
    </w:p>
    <w:p>
      <w:r>
        <w:t>Комплекс превращает рекреацию из проходной зоны в работающую среду для движения, игры и восстановления.</w:t>
      </w:r>
    </w:p>
    <w:p>
      <w:pPr>
        <w:pStyle w:val="Heading1"/>
      </w:pPr>
      <w:r>
        <w:t>Для кого собрана первая версия</w:t>
      </w:r>
    </w:p>
    <w:p>
      <w:pPr>
        <w:ind w:left="283" w:hanging="170"/>
      </w:pPr>
      <w:r>
        <w:rPr>
          <w:b/>
        </w:rPr>
        <w:t xml:space="preserve">• </w:t>
      </w:r>
      <w:r>
        <w:t>Основной сегмент: частные школы, прежде всего начальная школа, Москва и МО.</w:t>
      </w:r>
    </w:p>
    <w:p>
      <w:pPr>
        <w:ind w:left="283" w:hanging="170"/>
      </w:pPr>
      <w:r>
        <w:rPr>
          <w:b/>
        </w:rPr>
        <w:t xml:space="preserve">• </w:t>
      </w:r>
      <w:r>
        <w:t>Сильная альтернатива: частные детские сады.</w:t>
      </w:r>
    </w:p>
    <w:p>
      <w:pPr>
        <w:pStyle w:val="Heading1"/>
      </w:pPr>
      <w:r>
        <w:t>На чем строится ценность</w:t>
      </w:r>
    </w:p>
    <w:p>
      <w:pPr>
        <w:ind w:left="283" w:hanging="170"/>
      </w:pPr>
      <w:r>
        <w:rPr>
          <w:b/>
        </w:rPr>
        <w:t xml:space="preserve">• </w:t>
      </w:r>
      <w:r>
        <w:t>Движение становится частью повседневой школьной жизни, а не выносится только в расписание.</w:t>
      </w:r>
    </w:p>
    <w:p>
      <w:pPr>
        <w:ind w:left="283" w:hanging="170"/>
      </w:pPr>
      <w:r>
        <w:rPr>
          <w:b/>
        </w:rPr>
        <w:t xml:space="preserve">• </w:t>
      </w:r>
      <w:r>
        <w:t>Пространство начинает работать на смену состояния, игру, самостоятельную активность и общение.</w:t>
      </w:r>
    </w:p>
    <w:p>
      <w:pPr>
        <w:ind w:left="283" w:hanging="170"/>
      </w:pPr>
      <w:r>
        <w:rPr>
          <w:b/>
        </w:rPr>
        <w:t xml:space="preserve">• </w:t>
      </w:r>
      <w:r>
        <w:t>Школа получает более осмысленную и отличимую среду, понятную взрослому, принимающему решение.</w:t>
      </w:r>
    </w:p>
    <w:p>
      <w:pPr>
        <w:pStyle w:val="Heading1"/>
      </w:pPr>
      <w:r>
        <w:t>Честные ограничения коммуникации</w:t>
      </w:r>
    </w:p>
    <w:p>
      <w:pPr>
        <w:ind w:left="283" w:hanging="170"/>
      </w:pPr>
      <w:r>
        <w:rPr>
          <w:b/>
        </w:rPr>
        <w:t xml:space="preserve">• </w:t>
      </w:r>
      <w:r>
        <w:t>Нельзя делать ядром оффера модульность 1+2+3.</w:t>
      </w:r>
    </w:p>
    <w:p>
      <w:pPr>
        <w:ind w:left="283" w:hanging="170"/>
      </w:pPr>
      <w:r>
        <w:rPr>
          <w:b/>
        </w:rPr>
        <w:t xml:space="preserve">• </w:t>
      </w:r>
      <w:r>
        <w:t>Нельзя обещать как факт доказанную безопасность, точный возраст, точное число детей, сертификацию и подтвержденные эффекты именно 2.0.</w:t>
      </w:r>
    </w:p>
    <w:p>
      <w:pPr>
        <w:ind w:left="283" w:hanging="170"/>
      </w:pPr>
      <w:r>
        <w:rPr>
          <w:b/>
        </w:rPr>
        <w:t xml:space="preserve">• </w:t>
      </w:r>
      <w:r>
        <w:t>Нельзя смешивать доказательства 1.0 и 2.0.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