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41414"/>
        </w:rPr>
        <w:t>Техреализация и QA v1 — финальная каноническая версия</w:t>
      </w:r>
    </w:p>
    <w:p>
      <w:pPr/>
      <w:r>
        <w:rPr>
          <w:i/>
        </w:rPr>
        <w:t>Проект: Комплекс Реутского 2.0</w:t>
        <w:br/>
        <w:t>Статус: документ для рабочего цикла v1</w:t>
      </w:r>
    </w:p>
    <w:p>
      <w:pPr>
        <w:pStyle w:val="Heading1"/>
      </w:pPr>
      <w:r>
        <w:t>Назначение документа</w:t>
      </w:r>
    </w:p>
    <w:p>
      <w:r>
        <w:t>Документ фиксирует правила технической реализации лендинга v1 и критерии QA. Его задача — перевести замороженную версию в сборку без смыслового дрейфа.</w:t>
      </w:r>
    </w:p>
    <w:p>
      <w:pPr>
        <w:pStyle w:val="Heading1"/>
      </w:pPr>
      <w:r>
        <w:t>Что нужно собрать</w:t>
      </w:r>
    </w:p>
    <w:p>
      <w:pPr>
        <w:ind w:left="283" w:hanging="170"/>
      </w:pPr>
      <w:r>
        <w:rPr>
          <w:b/>
        </w:rPr>
        <w:t xml:space="preserve">• </w:t>
      </w:r>
      <w:r>
        <w:t>Лендинг v1 с экранами 1–8 в утвержденной последовательности.</w:t>
      </w:r>
    </w:p>
    <w:p>
      <w:pPr>
        <w:ind w:left="283" w:hanging="170"/>
      </w:pPr>
      <w:r>
        <w:rPr>
          <w:b/>
        </w:rPr>
        <w:t xml:space="preserve">• </w:t>
      </w:r>
      <w:r>
        <w:t>Desktop и mobile-версию.</w:t>
      </w:r>
    </w:p>
    <w:p>
      <w:pPr>
        <w:ind w:left="283" w:hanging="170"/>
      </w:pPr>
      <w:r>
        <w:rPr>
          <w:b/>
        </w:rPr>
        <w:t xml:space="preserve">• </w:t>
      </w:r>
      <w:r>
        <w:t>CTA, состояния формы и базовые интерфейсные состояния.</w:t>
      </w:r>
    </w:p>
    <w:p>
      <w:pPr>
        <w:ind w:left="283" w:hanging="170"/>
      </w:pPr>
      <w:r>
        <w:rPr>
          <w:b/>
        </w:rPr>
        <w:t xml:space="preserve">• </w:t>
      </w:r>
      <w:r>
        <w:t>Логику экранов без изменения маршрута чтения.</w:t>
      </w:r>
    </w:p>
    <w:p>
      <w:pPr>
        <w:pStyle w:val="Heading1"/>
      </w:pPr>
      <w:r>
        <w:t>Что нельзя менять на этапе реализации</w:t>
      </w:r>
    </w:p>
    <w:p>
      <w:pPr>
        <w:ind w:left="283" w:hanging="170"/>
      </w:pPr>
      <w:r>
        <w:rPr>
          <w:b/>
        </w:rPr>
        <w:t xml:space="preserve">• </w:t>
      </w:r>
      <w:r>
        <w:t>Стратегию, сегмент, позиционирование, состав экранов, порядок блоков и логику CTA.</w:t>
      </w:r>
    </w:p>
    <w:p>
      <w:pPr>
        <w:ind w:left="283" w:hanging="170"/>
      </w:pPr>
      <w:r>
        <w:rPr>
          <w:b/>
        </w:rPr>
        <w:t xml:space="preserve">• </w:t>
      </w:r>
      <w:r>
        <w:t>Характер продукта: нельзя превращать его в обычный спорткомплекс, аттракцион или каталог элементов.</w:t>
      </w:r>
    </w:p>
    <w:p>
      <w:pPr>
        <w:ind w:left="283" w:hanging="170"/>
      </w:pPr>
      <w:r>
        <w:rPr>
          <w:b/>
        </w:rPr>
        <w:t xml:space="preserve">• </w:t>
      </w:r>
      <w:r>
        <w:t>Тексты по смыслу — допустима только техническая адаптация под интерфейс.</w:t>
      </w:r>
    </w:p>
    <w:p>
      <w:pPr>
        <w:ind w:left="283" w:hanging="170"/>
      </w:pPr>
      <w:r>
        <w:rPr>
          <w:b/>
        </w:rPr>
        <w:t xml:space="preserve">• </w:t>
      </w:r>
      <w:r>
        <w:t>Нельзя добавлять неподтвержденные обещания: безопасность 2.0, возраст, число детей, модульность, сертификация, комплектность, цену, сроки и доказанные эффекты 2.0.</w:t>
      </w:r>
    </w:p>
    <w:p>
      <w:pPr>
        <w:pStyle w:val="Heading1"/>
      </w:pPr>
      <w:r>
        <w:t>QA-подход</w:t>
      </w:r>
    </w:p>
    <w:p>
      <w:pPr>
        <w:ind w:left="283" w:hanging="170"/>
      </w:pPr>
      <w:r>
        <w:rPr>
          <w:b/>
        </w:rPr>
        <w:t xml:space="preserve">• </w:t>
      </w:r>
      <w:r>
        <w:t>Проверять не только визуальную корректность, но и сохранность смысла.</w:t>
      </w:r>
    </w:p>
    <w:p>
      <w:pPr>
        <w:ind w:left="283" w:hanging="170"/>
      </w:pPr>
      <w:r>
        <w:rPr>
          <w:b/>
        </w:rPr>
        <w:t xml:space="preserve">• </w:t>
      </w:r>
      <w:r>
        <w:t>Отдельно фиксировать редакторские шероховатости, не превращая их в повод пересобрать стратегию.</w:t>
      </w:r>
    </w:p>
    <w:p>
      <w:pPr>
        <w:ind w:left="283" w:hanging="170"/>
      </w:pPr>
      <w:r>
        <w:rPr>
          <w:b/>
        </w:rPr>
        <w:t xml:space="preserve">• </w:t>
      </w:r>
      <w:r>
        <w:t>Любые спорные места относить к одной из трех категорий: собрано корректно / есть технические ограничения / требуется подтверждение заказчика.</w:t>
      </w:r>
    </w:p>
    <w:p>
      <w:pPr>
        <w:pStyle w:val="Heading1"/>
      </w:pPr>
      <w:r>
        <w:t>Результат этапа</w:t>
      </w:r>
    </w:p>
    <w:p>
      <w:r>
        <w:t>Собранная версия лендинга v1, список реализованных экранов и состояний, а также QA-список в трех категориях.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Комплекс Реутского 2.0 —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