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2"/>
        </w:rPr>
        <w:t>Анализ рисков и обоснование страховой защиты</w:t>
      </w:r>
    </w:p>
    <w:p>
      <w:pPr>
        <w:spacing w:after="40"/>
        <w:jc w:val="center"/>
      </w:pPr>
      <w:r>
        <w:rPr>
          <w:b/>
          <w:i w:val="0"/>
          <w:sz w:val="28"/>
        </w:rPr>
        <w:t>ПАО «ГМК «Норильский никель»</w:t>
      </w:r>
    </w:p>
    <w:p>
      <w:pPr>
        <w:spacing w:after="240"/>
        <w:jc w:val="center"/>
      </w:pPr>
      <w:r>
        <w:rPr>
          <w:b w:val="0"/>
          <w:i/>
          <w:sz w:val="22"/>
        </w:rPr>
        <w:t>Аналитическая записка по дисциплине «Риск-менеджмент» (ДЗ № 3 «Страховая защита предприятия»)</w:t>
      </w:r>
    </w:p>
    <w:p>
      <w:pPr>
        <w:pStyle w:val="Heading1"/>
      </w:pPr>
      <w:r>
        <w:rPr>
          <w:rFonts w:ascii="Times New Roman" w:hAnsi="Times New Roman"/>
          <w:color w:val="101010"/>
        </w:rPr>
        <w:t>1. Базовая информация о компании</w:t>
      </w:r>
    </w:p>
    <w:p>
      <w:pPr>
        <w:spacing w:after="120"/>
      </w:pPr>
      <w:r>
        <w:rPr>
          <w:b w:val="0"/>
          <w:i w:val="0"/>
          <w:sz w:val="22"/>
        </w:rPr>
        <w:t>ПАО «ГМК «Норильский никель» (далее — Норникель) — крупнейший в мире производитель палладия и рафинированного никеля, а также крупный производитель платины, меди, кобальта и других цветных металлов. Основные производственные активы расположены в Норильском промышленном районе и на Кольском полуострове — в труднодоступных арктических зонах со сложной логистикой и экстремальными климатическими условиями. Это формирует повышенный профиль операционно-промышленных и экологических рисков и удорожает восстановление активов после страховых событий.</w:t>
      </w:r>
    </w:p>
    <w:p>
      <w:pPr>
        <w:spacing w:after="120"/>
      </w:pPr>
      <w:r>
        <w:rPr>
          <w:b w:val="0"/>
          <w:i w:val="0"/>
          <w:sz w:val="22"/>
        </w:rPr>
        <w:t>По итогам 2024 года среднесписочная численность персонала Группы составила 78,7 тыс. человек, средняя месячная зарплата — около 207 тыс. руб. (в 2,1 раза выше среднероссийского уровня). Совокупные активы выросли на 11,4% и достигли 2,356 трлн руб., из которых основные средства — 1,55 трлн руб. Дебиторская задолженность в течение 2024 года оставалась повышенной из-за затруднений с трансграничными платежами (в 1П2024 она выросла на 35%, до ~93 млрд руб.).</w:t>
      </w:r>
    </w:p>
    <w:p>
      <w:pPr>
        <w:spacing w:after="120"/>
      </w:pPr>
      <w:r>
        <w:rPr>
          <w:b w:val="0"/>
          <w:i w:val="0"/>
          <w:sz w:val="22"/>
        </w:rPr>
        <w:t>Финансовые результаты 2024 года ухудшились на фоне падения цен на металлы, экспортных пошлин и высокой ключевой ставки (таблица 1.1).</w:t>
      </w:r>
    </w:p>
    <w:p>
      <w:pPr>
        <w:spacing w:after="40"/>
      </w:pPr>
      <w:r>
        <w:rPr>
          <w:b w:val="0"/>
          <w:i/>
          <w:sz w:val="20"/>
        </w:rPr>
        <w:t>Таблица 1.1 — Ключевые финансовые показатели Норникеля (МСФО)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Показатель (МСФО)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2023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Выручка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$12,5 млрд (≈1 150 млрд руб.*)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$14,4 млрд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EBITDA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$5,2 млрд (≈478 млрд руб.*)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$6,9 млрд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Чистая прибыль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169 млрд руб. ($1,8 млрд)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251,8 млрд руб.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Активы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2,356 трлн руб. (+11,4%)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2,115 трлн руб.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Основные средства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1,55 трлн руб.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Чистый долг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$8,6 млрд (≈791 млрд руб.*)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$8,1 млрд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Чистый долг / EBITDA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1,7x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1,2x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Дебиторская задолженность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~93 млрд руб. (1П2024)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Среднесписочная численность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78,7 тыс. чел.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~80 тыс. чел.</w:t>
            </w:r>
          </w:p>
        </w:tc>
      </w:tr>
    </w:tbl>
    <w:p>
      <w:pPr>
        <w:spacing w:after="200"/>
      </w:pPr>
      <w:r>
        <w:rPr>
          <w:b w:val="0"/>
          <w:i/>
          <w:sz w:val="18"/>
        </w:rPr>
        <w:t>* Здесь и далее долларовые показатели переведены по справочному курсу ~92 руб./$ для сопоставимости с рублёвыми оценками ущерба и страховых сумм.</w:t>
      </w:r>
    </w:p>
    <w:p>
      <w:pPr>
        <w:pStyle w:val="Heading1"/>
      </w:pPr>
      <w:r>
        <w:rPr>
          <w:rFonts w:ascii="Times New Roman" w:hAnsi="Times New Roman"/>
          <w:color w:val="101010"/>
        </w:rPr>
        <w:t>2. Перечень основных рисков компании</w:t>
      </w:r>
    </w:p>
    <w:p>
      <w:pPr>
        <w:spacing w:after="120"/>
      </w:pPr>
      <w:r>
        <w:rPr>
          <w:b w:val="0"/>
          <w:i w:val="0"/>
          <w:sz w:val="22"/>
        </w:rPr>
        <w:t>Профиль рисков Норникеля формируется отраслевой спецификой (опасное металлургическое производство в Арктике) и текущей макросредой РФ. По «Барометру рисков Allianz 2026» для крупного бизнеса (&gt;$500 млн выручки) первые места занимают киберпреступления, искусственный интеллект, перерыв в деятельности и нарушение цепочек поставок, изменения регулирования; для России дополнительно остры кредитные/платёжные и санкционные риски. Ключевые категории рисков Норникеля:</w:t>
      </w:r>
    </w:p>
    <w:p>
      <w:pPr>
        <w:spacing w:after="40"/>
      </w:pPr>
      <w:r>
        <w:rPr>
          <w:b/>
          <w:i w:val="0"/>
          <w:sz w:val="22"/>
        </w:rPr>
        <w:t>Операционные и промышленные риски</w:t>
      </w:r>
    </w:p>
    <w:p>
      <w:pPr>
        <w:pStyle w:val="ListBullet"/>
        <w:spacing w:after="40"/>
      </w:pPr>
      <w:r>
        <w:rPr>
          <w:b/>
          <w:sz w:val="22"/>
        </w:rPr>
        <w:t xml:space="preserve">Аварии и техногенные катастрофы </w:t>
      </w:r>
      <w:r>
        <w:rPr>
          <w:sz w:val="22"/>
        </w:rPr>
        <w:t>— разгерметизация резервуаров, отказ оборудования, пожары, взрывы. Реализованный кейс: разлив 21 тыс. тонн дизтоплива на ТЭЦ-3 в мае 2020 г.</w:t>
      </w:r>
    </w:p>
    <w:p>
      <w:pPr>
        <w:pStyle w:val="ListBullet"/>
        <w:spacing w:after="40"/>
      </w:pPr>
      <w:r>
        <w:rPr>
          <w:b/>
          <w:sz w:val="22"/>
        </w:rPr>
        <w:t xml:space="preserve">Экологический ущерб </w:t>
      </w:r>
      <w:r>
        <w:rPr>
          <w:sz w:val="22"/>
        </w:rPr>
        <w:t>— загрязнение водных объектов и почв с риском многомиллиардных компенсаций по решениям Росприроднадзора и судов.</w:t>
      </w:r>
    </w:p>
    <w:p>
      <w:pPr>
        <w:pStyle w:val="ListBullet"/>
        <w:spacing w:after="40"/>
      </w:pPr>
      <w:r>
        <w:rPr>
          <w:b/>
          <w:sz w:val="22"/>
        </w:rPr>
        <w:t xml:space="preserve">Повреждение имущества и перерыв в производстве (BI) </w:t>
      </w:r>
      <w:r>
        <w:rPr>
          <w:sz w:val="22"/>
        </w:rPr>
        <w:t>— остановка ключевых переделов ведёт к потере выручки и постоянным расходам.</w:t>
      </w:r>
    </w:p>
    <w:p>
      <w:pPr>
        <w:spacing w:after="40"/>
      </w:pPr>
      <w:r>
        <w:rPr>
          <w:b/>
          <w:i w:val="0"/>
          <w:sz w:val="22"/>
        </w:rPr>
        <w:t>Финансовые и рыночные риски</w:t>
      </w:r>
    </w:p>
    <w:p>
      <w:pPr>
        <w:pStyle w:val="ListBullet"/>
        <w:spacing w:after="40"/>
      </w:pPr>
      <w:r>
        <w:rPr>
          <w:b/>
          <w:sz w:val="22"/>
        </w:rPr>
        <w:t xml:space="preserve">Кредитный и процентный риск </w:t>
      </w:r>
      <w:r>
        <w:rPr>
          <w:sz w:val="22"/>
        </w:rPr>
        <w:t>— чистый долг $8,6 млрд, Чистый долг/EBITDA вырос до 1,7x; часть долга — в рублях по плавающей ставке при высокой ключевой ставке ЦБ.</w:t>
      </w:r>
    </w:p>
    <w:p>
      <w:pPr>
        <w:pStyle w:val="ListBullet"/>
        <w:spacing w:after="40"/>
      </w:pPr>
      <w:r>
        <w:rPr>
          <w:b/>
          <w:sz w:val="22"/>
        </w:rPr>
        <w:t xml:space="preserve">Валютный и ценовой (рыночный) риск </w:t>
      </w:r>
      <w:r>
        <w:rPr>
          <w:sz w:val="22"/>
        </w:rPr>
        <w:t>— зависимость выручки от мировых цен на никель, медь и МПГ и от курса рубля (выручка 2024 г. снизилась на 13%).</w:t>
      </w:r>
    </w:p>
    <w:p>
      <w:pPr>
        <w:pStyle w:val="ListBullet"/>
        <w:spacing w:after="40"/>
      </w:pPr>
      <w:r>
        <w:rPr>
          <w:b/>
          <w:sz w:val="22"/>
        </w:rPr>
        <w:t xml:space="preserve">Риск дебиторской задолженности и расчётов </w:t>
      </w:r>
      <w:r>
        <w:rPr>
          <w:sz w:val="22"/>
        </w:rPr>
        <w:t>— затруднения трансграничных платежей удлиняют оборот капитала.</w:t>
      </w:r>
    </w:p>
    <w:p>
      <w:pPr>
        <w:spacing w:after="40"/>
      </w:pPr>
      <w:r>
        <w:rPr>
          <w:b/>
          <w:i w:val="0"/>
          <w:sz w:val="22"/>
        </w:rPr>
        <w:t>Внешние и стратегические риски</w:t>
      </w:r>
    </w:p>
    <w:p>
      <w:pPr>
        <w:pStyle w:val="ListBullet"/>
        <w:spacing w:after="40"/>
      </w:pPr>
      <w:r>
        <w:rPr>
          <w:b/>
          <w:sz w:val="22"/>
        </w:rPr>
        <w:t xml:space="preserve">Санкционные и геополитические риски </w:t>
      </w:r>
      <w:r>
        <w:rPr>
          <w:sz w:val="22"/>
        </w:rPr>
        <w:t>— в 2024 г. ряд структур Группы попал в SDN-лист; перестройка логистики и каналов сбыта.</w:t>
      </w:r>
    </w:p>
    <w:p>
      <w:pPr>
        <w:pStyle w:val="ListBullet"/>
        <w:spacing w:after="40"/>
      </w:pPr>
      <w:r>
        <w:rPr>
          <w:b/>
          <w:sz w:val="22"/>
        </w:rPr>
        <w:t xml:space="preserve">Киберугрозы </w:t>
      </w:r>
      <w:r>
        <w:rPr>
          <w:sz w:val="22"/>
        </w:rPr>
        <w:t>— рост числа атак на промышленные предприятия с реальными сбоями ИТ-систем.</w:t>
      </w:r>
    </w:p>
    <w:p>
      <w:pPr>
        <w:pStyle w:val="ListBullet"/>
        <w:spacing w:after="40"/>
      </w:pPr>
      <w:r>
        <w:rPr>
          <w:b/>
          <w:sz w:val="22"/>
        </w:rPr>
        <w:t xml:space="preserve">Регуляторные и налоговые риски </w:t>
      </w:r>
      <w:r>
        <w:rPr>
          <w:sz w:val="22"/>
        </w:rPr>
        <w:t>— рост фискальной нагрузки, ужесточение экологического регулирования, ESG-требования.</w:t>
      </w:r>
    </w:p>
    <w:p>
      <w:pPr>
        <w:pStyle w:val="Heading1"/>
      </w:pPr>
      <w:r>
        <w:rPr>
          <w:rFonts w:ascii="Times New Roman" w:hAnsi="Times New Roman"/>
          <w:color w:val="101010"/>
        </w:rPr>
        <w:t>3. Карта (матрица) рисков 3×3</w:t>
      </w:r>
    </w:p>
    <w:p>
      <w:pPr>
        <w:spacing w:after="120"/>
      </w:pPr>
      <w:r>
        <w:rPr>
          <w:b w:val="0"/>
          <w:i w:val="0"/>
          <w:sz w:val="22"/>
        </w:rPr>
        <w:t>Для выбора метода управления каждым риском построена карта рисков «вероятность × ущерб». Это базовый инструмент риск-менеджмента: он показывает, какие риски следует удерживать (самострахование), какие — снижать превентивными мерами, какие — передавать страховщику, а какие — хеджировать. Оси калиброваны по отчётности Норникеля за 2024 г.</w:t>
      </w:r>
    </w:p>
    <w:p>
      <w:pPr>
        <w:spacing w:after="40"/>
      </w:pPr>
      <w:r>
        <w:rPr>
          <w:b/>
          <w:i w:val="0"/>
          <w:sz w:val="22"/>
        </w:rPr>
        <w:t>Шкала вероятности (частота наступления в год):</w:t>
      </w:r>
    </w:p>
    <w:p>
      <w:pPr>
        <w:pStyle w:val="ListBullet"/>
        <w:spacing w:after="40"/>
      </w:pPr>
      <w:r>
        <w:rPr>
          <w:sz w:val="22"/>
        </w:rPr>
        <w:t>Низкая — менее 1% в год;</w:t>
      </w:r>
    </w:p>
    <w:p>
      <w:pPr>
        <w:pStyle w:val="ListBullet"/>
        <w:spacing w:after="40"/>
      </w:pPr>
      <w:r>
        <w:rPr>
          <w:sz w:val="22"/>
        </w:rPr>
        <w:t>Средняя — 1–10% в год;</w:t>
      </w:r>
    </w:p>
    <w:p>
      <w:pPr>
        <w:pStyle w:val="ListBullet"/>
        <w:spacing w:after="40"/>
      </w:pPr>
      <w:r>
        <w:rPr>
          <w:sz w:val="22"/>
        </w:rPr>
        <w:t>Высокая — более 10% в год.</w:t>
      </w:r>
    </w:p>
    <w:p>
      <w:pPr>
        <w:spacing w:after="40"/>
      </w:pPr>
      <w:r>
        <w:rPr>
          <w:b/>
          <w:i w:val="0"/>
          <w:sz w:val="22"/>
        </w:rPr>
        <w:t>Шкала ущерба (в абсолюте и в % от чистой прибыли 169 млрд руб. / активов 2,356 трлн руб.):</w:t>
      </w:r>
    </w:p>
    <w:p>
      <w:pPr>
        <w:pStyle w:val="ListBullet"/>
        <w:spacing w:after="40"/>
      </w:pPr>
      <w:r>
        <w:rPr>
          <w:sz w:val="22"/>
        </w:rPr>
        <w:t>Низкий — до 5 млрд руб. (&lt;3% чистой прибыли);</w:t>
      </w:r>
    </w:p>
    <w:p>
      <w:pPr>
        <w:pStyle w:val="ListBullet"/>
        <w:spacing w:after="40"/>
      </w:pPr>
      <w:r>
        <w:rPr>
          <w:sz w:val="22"/>
        </w:rPr>
        <w:t>Средний — 5–50 млрд руб. (3–30% чистой прибыли);</w:t>
      </w:r>
    </w:p>
    <w:p>
      <w:pPr>
        <w:pStyle w:val="ListBullet"/>
        <w:spacing w:after="40"/>
      </w:pPr>
      <w:r>
        <w:rPr>
          <w:sz w:val="22"/>
        </w:rPr>
        <w:t>Высокий — более 50 млрд руб. (&gt;30% чистой прибыли).</w:t>
      </w:r>
    </w:p>
    <w:p>
      <w:pPr>
        <w:spacing w:after="40"/>
      </w:pPr>
      <w:r>
        <w:rPr>
          <w:b/>
          <w:i w:val="0"/>
          <w:sz w:val="22"/>
        </w:rPr>
        <w:t>Зоны управления риском (легенда):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Зелёная — удержание / самострахование</w:t>
            </w:r>
          </w:p>
        </w:tc>
        <w:tc>
          <w:tcPr>
            <w:tcW w:type="dxa" w:w="2160"/>
            <w:shd w:val="clear" w:color="auto" w:fill="FFEB9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Жёлтая — снижение / контроль (превенция + страхование)</w:t>
            </w:r>
          </w:p>
        </w:tc>
        <w:tc>
          <w:tcPr>
            <w:tcW w:type="dxa" w:w="2160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Красная — страхование / передача риска</w:t>
            </w:r>
          </w:p>
        </w:tc>
        <w:tc>
          <w:tcPr>
            <w:tcW w:type="dxa" w:w="216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Синяя — хеджирование / диверсификация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 w:val="0"/>
          <w:i/>
          <w:sz w:val="20"/>
        </w:rPr>
        <w:t>Таблица 3.1 — Карта рисков ПАО «ГМК «Норильский никель»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Вероятность ↓ / Ущерб →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Низкий</w:t>
            </w:r>
            <w:r>
              <w:br/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(&lt;5 млрд руб.)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Средний</w:t>
            </w:r>
            <w:r>
              <w:br/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(5–50 млрд руб.)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Высокий</w:t>
            </w:r>
            <w:r>
              <w:br/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(&gt;50 млрд руб.)</w:t>
            </w:r>
          </w:p>
        </w:tc>
      </w:tr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Высокая</w:t>
            </w:r>
            <w:r>
              <w:br/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(&gt;10%)</w:t>
            </w:r>
          </w:p>
        </w:tc>
        <w:tc>
          <w:tcPr>
            <w:tcW w:type="dxa" w:w="2160"/>
            <w:shd w:val="clear" w:color="auto" w:fill="C6EFCE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Мелкие поломки, локальные заливы и возгорания</w:t>
            </w:r>
            <w:r>
              <w:br/>
            </w:r>
            <w:r>
              <w:rPr>
                <w:rFonts w:ascii="Times New Roman" w:hAnsi="Times New Roman"/>
                <w:b w:val="0"/>
                <w:sz w:val="15"/>
              </w:rPr>
              <w:t>[ЗЕЛЁНАЯ — удержание/самострахование]</w:t>
            </w:r>
          </w:p>
        </w:tc>
        <w:tc>
          <w:tcPr>
            <w:tcW w:type="dxa" w:w="2160"/>
            <w:shd w:val="clear" w:color="auto" w:fill="FFEB9C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Кибератака (P=15–20%; MFL 5–20)</w:t>
            </w:r>
            <w:r>
              <w:br/>
            </w:r>
            <w:r>
              <w:rPr>
                <w:rFonts w:ascii="Times New Roman" w:hAnsi="Times New Roman"/>
                <w:b w:val="0"/>
                <w:sz w:val="15"/>
              </w:rPr>
              <w:t>[ЖЁЛТАЯ — контроль + страхование].</w:t>
            </w:r>
            <w:r>
              <w:br/>
            </w:r>
            <w:r>
              <w:rPr>
                <w:rFonts w:ascii="Times New Roman" w:hAnsi="Times New Roman"/>
                <w:b w:val="0"/>
                <w:sz w:val="15"/>
              </w:rPr>
              <w:t>Текущие колебания курса/ставки/цен</w:t>
            </w:r>
            <w:r>
              <w:br/>
            </w:r>
            <w:r>
              <w:rPr>
                <w:rFonts w:ascii="Times New Roman" w:hAnsi="Times New Roman"/>
                <w:b w:val="0"/>
                <w:sz w:val="15"/>
              </w:rPr>
              <w:t>[СИНЯЯ — хеджирование]</w:t>
            </w:r>
          </w:p>
        </w:tc>
        <w:tc>
          <w:tcPr>
            <w:tcW w:type="dxa" w:w="2160"/>
            <w:shd w:val="clear" w:color="auto" w:fill="DDEBF7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Ценовой риск (падение цен на металлы) и санкционный риск</w:t>
            </w:r>
            <w:r>
              <w:br/>
            </w:r>
            <w:r>
              <w:rPr>
                <w:rFonts w:ascii="Times New Roman" w:hAnsi="Times New Roman"/>
                <w:b w:val="0"/>
                <w:sz w:val="15"/>
              </w:rPr>
              <w:t>[СИНЯЯ — хеджирование/диверсификация]</w:t>
            </w:r>
          </w:p>
        </w:tc>
      </w:tr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Средняя</w:t>
            </w:r>
            <w:r>
              <w:br/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(1–10%)</w:t>
            </w:r>
          </w:p>
        </w:tc>
        <w:tc>
          <w:tcPr>
            <w:tcW w:type="dxa" w:w="2160"/>
            <w:shd w:val="clear" w:color="auto" w:fill="FFEB9C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D&amp;O — ответственность менеджмента (MFL 1–5)</w:t>
            </w:r>
            <w:r>
              <w:br/>
            </w:r>
            <w:r>
              <w:rPr>
                <w:rFonts w:ascii="Times New Roman" w:hAnsi="Times New Roman"/>
                <w:b w:val="0"/>
                <w:sz w:val="15"/>
              </w:rPr>
              <w:t>[ЖЁЛТАЯ — страхование, умеренный приоритет]</w:t>
            </w:r>
          </w:p>
        </w:tc>
        <w:tc>
          <w:tcPr>
            <w:tcW w:type="dxa" w:w="2160"/>
            <w:shd w:val="clear" w:color="auto" w:fill="FCE4D6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Частичное повреждение имущества (PML 15–50);</w:t>
            </w:r>
            <w:r>
              <w:br/>
            </w:r>
            <w:r>
              <w:rPr>
                <w:rFonts w:ascii="Times New Roman" w:hAnsi="Times New Roman"/>
                <w:b w:val="0"/>
                <w:sz w:val="15"/>
              </w:rPr>
              <w:t>дефолт контрагентов (дебиторка ~93)</w:t>
            </w:r>
            <w:r>
              <w:br/>
            </w:r>
            <w:r>
              <w:rPr>
                <w:rFonts w:ascii="Times New Roman" w:hAnsi="Times New Roman"/>
                <w:b w:val="0"/>
                <w:sz w:val="15"/>
              </w:rPr>
              <w:t>[ЖЁЛТАЯ/КРАСНАЯ — страхование]</w:t>
            </w:r>
          </w:p>
        </w:tc>
        <w:tc>
          <w:tcPr>
            <w:tcW w:type="dxa" w:w="2160"/>
            <w:shd w:val="clear" w:color="auto" w:fill="FFC7CE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Промышленная авария (P=2–5%; MFL 100–400);</w:t>
            </w:r>
            <w:r>
              <w:br/>
            </w:r>
            <w:r>
              <w:rPr>
                <w:rFonts w:ascii="Times New Roman" w:hAnsi="Times New Roman"/>
                <w:b w:val="0"/>
                <w:sz w:val="15"/>
              </w:rPr>
              <w:t>перерыв BI (~144); крупное повреждение имущества (MFL 155–465)</w:t>
            </w:r>
            <w:r>
              <w:br/>
            </w:r>
            <w:r>
              <w:rPr>
                <w:rFonts w:ascii="Times New Roman" w:hAnsi="Times New Roman"/>
                <w:b w:val="0"/>
                <w:sz w:val="15"/>
              </w:rPr>
              <w:t>[КРАСНАЯ — СТРАХОВАНИЕ]</w:t>
            </w:r>
          </w:p>
        </w:tc>
      </w:tr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Низкая</w:t>
            </w:r>
            <w:r>
              <w:br/>
            </w:r>
            <w:r>
              <w:rPr>
                <w:rFonts w:ascii="Times New Roman" w:hAnsi="Times New Roman"/>
                <w:b/>
                <w:color w:val="FFFFFF"/>
                <w:sz w:val="16"/>
              </w:rPr>
              <w:t>(&lt;1%)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160"/>
            <w:shd w:val="clear" w:color="auto" w:fill="FFC7CE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Экологическая катастрофа (P&lt;1%; MFL 100–400; кейс-2020 ≈340)</w:t>
            </w:r>
            <w:r>
              <w:br/>
            </w:r>
            <w:r>
              <w:rPr>
                <w:rFonts w:ascii="Times New Roman" w:hAnsi="Times New Roman"/>
                <w:b w:val="0"/>
                <w:sz w:val="15"/>
              </w:rPr>
              <w:t>[КРАСНАЯ — СТРАХОВАНИЕ]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i w:val="0"/>
          <w:sz w:val="22"/>
        </w:rPr>
        <w:t>Выводы по карте рисков:</w:t>
      </w:r>
    </w:p>
    <w:p>
      <w:pPr>
        <w:pStyle w:val="ListBullet"/>
        <w:spacing w:after="40"/>
      </w:pPr>
      <w:r>
        <w:rPr>
          <w:sz w:val="22"/>
        </w:rPr>
        <w:t>В красную зону (приоритет — страхование) попадают: промышленная авария/техногенная катастрофа, экологическая катастрофа, крупное повреждение имущества и оборудования, перерыв в производстве (BI). Это редкие, но катастрофические по ущербу события — классический объект передачи риска страховщику.</w:t>
      </w:r>
    </w:p>
    <w:p>
      <w:pPr>
        <w:pStyle w:val="ListBullet"/>
        <w:spacing w:after="40"/>
      </w:pPr>
      <w:r>
        <w:rPr>
          <w:sz w:val="22"/>
        </w:rPr>
        <w:t>В жёлтую зону (контроль + страхование) попадают кибератака (высокая частота, средний ущерб) и D&amp;O (средняя частота, ограниченный ущерб): страхование дополняет превентивные меры.</w:t>
      </w:r>
    </w:p>
    <w:p>
      <w:pPr>
        <w:pStyle w:val="ListBullet"/>
        <w:spacing w:after="40"/>
      </w:pPr>
      <w:r>
        <w:rPr>
          <w:sz w:val="22"/>
        </w:rPr>
        <w:t>В зелёную зону (удержание/самострахование) попадают частые мелкие убытки (поломки, локальные заливы) — дешевле покрыть из резервного фонда и агрегатной/безусловной франшизы, чем страховать.</w:t>
      </w:r>
    </w:p>
    <w:p>
      <w:pPr>
        <w:pStyle w:val="ListBullet"/>
        <w:spacing w:after="40"/>
      </w:pPr>
      <w:r>
        <w:rPr>
          <w:sz w:val="22"/>
        </w:rPr>
        <w:t>В синюю зону (хеджирование/диверсификация) попадают финансовые и рыночные риски: ценовой, валютный, процентный, кредитный и санкционный. Они системны, затрагивают всех участников рынка одновременно и не отвечают критериям страхуемости (случайность для отдельного страхователя, измеримость, некатастрофичность) — поэтому страхование для них неприменимо или неэффективно.</w:t>
      </w:r>
    </w:p>
    <w:p>
      <w:pPr>
        <w:pStyle w:val="Heading1"/>
      </w:pPr>
      <w:r>
        <w:rPr>
          <w:rFonts w:ascii="Times New Roman" w:hAnsi="Times New Roman"/>
          <w:color w:val="101010"/>
        </w:rPr>
        <w:t>4. Количественная оценка стоимости рисков (в рублях)</w:t>
      </w:r>
    </w:p>
    <w:p>
      <w:pPr>
        <w:spacing w:after="40"/>
      </w:pPr>
      <w:r>
        <w:rPr>
          <w:b w:val="0"/>
          <w:i w:val="0"/>
          <w:sz w:val="22"/>
        </w:rPr>
        <w:t>Стоимость риска оценивается двумя показателями (терминология риск-менеджмента и сюрвея):</w:t>
      </w:r>
    </w:p>
    <w:p>
      <w:pPr>
        <w:pStyle w:val="ListBullet"/>
        <w:spacing w:after="40"/>
      </w:pPr>
      <w:r>
        <w:rPr>
          <w:sz w:val="22"/>
        </w:rPr>
        <w:t>Ожидаемый годовой убыток (PML, probable maximum loss в годовом выражении) = Вероятность × Тяжесть убытка — служит ориентиром «справедливой» рисковой нетто-премии;</w:t>
      </w:r>
    </w:p>
    <w:p>
      <w:pPr>
        <w:pStyle w:val="ListBullet"/>
        <w:spacing w:after="40"/>
      </w:pPr>
      <w:r>
        <w:rPr>
          <w:sz w:val="22"/>
        </w:rPr>
        <w:t>Максимально возможный убыток (MFL, maximum foreseeable loss) — наихудший реалистичный сценарий; на него ориентируется страховая сумма (лимит), чтобы избежать недострахования.</w:t>
      </w:r>
    </w:p>
    <w:p>
      <w:pPr>
        <w:spacing w:after="120"/>
      </w:pPr>
      <w:r>
        <w:rPr>
          <w:b w:val="0"/>
          <w:i w:val="0"/>
          <w:sz w:val="22"/>
        </w:rPr>
        <w:t>Исходные данные взяты из отчётности 2024 г.: чистая прибыль 169 млрд руб.; выручка ≈1 150 млрд руб.; EBITDA ≈478 млрд руб.; основные средства 1,55 трлн руб.; активы 2,356 трлн руб.; дебиторская задолженность ~93 млрд руб.; чистый долг ≈791 млрд руб.</w:t>
      </w:r>
    </w:p>
    <w:p>
      <w:pPr>
        <w:spacing w:after="40"/>
      </w:pPr>
      <w:r>
        <w:rPr>
          <w:b/>
          <w:i w:val="0"/>
          <w:sz w:val="22"/>
        </w:rPr>
        <w:t>Риск 1 — Промышленная авария / экология.</w:t>
      </w:r>
    </w:p>
    <w:p>
      <w:pPr>
        <w:spacing w:after="80"/>
      </w:pPr>
      <w:r>
        <w:rPr>
          <w:b w:val="0"/>
          <w:i w:val="0"/>
          <w:sz w:val="22"/>
        </w:rPr>
        <w:t>Ориентир тяжести — кейс 2020 г.: экологический штраф 146,2 млрд руб. (рекорд РФ) + резерв ~$2,1 млрд (≈193 млрд руб.) ≈ 340 млрд руб. совокупного ущерба. MFL = 100–400 млрд руб. в зависимости от масштаба. Вероятность крупной аварии по отраслевой статистике ~2–5% в год. PML = 0,03 × 200 млрд руб. ≈ 6 млрд руб./год (усреднённо).</w:t>
      </w:r>
    </w:p>
    <w:p>
      <w:pPr>
        <w:spacing w:after="40"/>
      </w:pPr>
      <w:r>
        <w:rPr>
          <w:b/>
          <w:i w:val="0"/>
          <w:sz w:val="22"/>
        </w:rPr>
        <w:t>Риск 2 — Имущество и оборудование.</w:t>
      </w:r>
    </w:p>
    <w:p>
      <w:pPr>
        <w:spacing w:after="80"/>
      </w:pPr>
      <w:r>
        <w:rPr>
          <w:b w:val="0"/>
          <w:i w:val="0"/>
          <w:sz w:val="22"/>
        </w:rPr>
        <w:t>Стоимость имущества (основные средства) = 1,55 трлн руб. Покрываемые опасности: пожар, взрыв, удар молнии, падение летательного аппарата (набор FLExA), повреждение водой, обрушение, наводнение, поломка машин. MFL (повреждение 10–30% ключевых активов) = 155–465 млрд руб. PML с учётом систем защиты = 15–50 млрд руб./год.</w:t>
      </w:r>
    </w:p>
    <w:p>
      <w:pPr>
        <w:spacing w:after="40"/>
      </w:pPr>
      <w:r>
        <w:rPr>
          <w:b/>
          <w:i w:val="0"/>
          <w:sz w:val="22"/>
        </w:rPr>
        <w:t>Риск 3 — Перерыв в производстве (BI).</w:t>
      </w:r>
    </w:p>
    <w:p>
      <w:pPr>
        <w:spacing w:after="80"/>
      </w:pPr>
      <w:r>
        <w:rPr>
          <w:b w:val="0"/>
          <w:i w:val="0"/>
          <w:sz w:val="22"/>
        </w:rPr>
        <w:t>Потеря выручки за месяц простоя = 1 150 млрд / 12 ≈ 96 млрд руб./мес. Постоянные расходы (ФОТ, амортизация, проценты) ≈ 50% выручки ≈ 48 млрд руб./мес. MFL при остановке ключевого передела на 3 месяца ≈ 144 млрд руб. (упущенная прибыль + продолжающиеся постоянные расходы). PML ≈ 15 млрд руб./год.</w:t>
      </w:r>
    </w:p>
    <w:p>
      <w:pPr>
        <w:spacing w:after="40"/>
      </w:pPr>
      <w:r>
        <w:rPr>
          <w:b/>
          <w:i w:val="0"/>
          <w:sz w:val="22"/>
        </w:rPr>
        <w:t>Риск 4 — Кибератака.</w:t>
      </w:r>
    </w:p>
    <w:p>
      <w:pPr>
        <w:spacing w:after="80"/>
      </w:pPr>
      <w:r>
        <w:rPr>
          <w:b w:val="0"/>
          <w:i w:val="0"/>
          <w:sz w:val="22"/>
        </w:rPr>
        <w:t>Статистика РФ-2025: средний ущерб крупной компании 0,5–2 млрд руб.; совокупный ущерб экономики от кибератак ≈1,5 трлн руб. MFL для Норникеля (остановка ИТ и АСУ ТП на ~2 недели + восстановление) = 5–20 млрд руб. Вероятность для крупной цели = 15–20%/год. PML ≈ 1–2 млрд руб./год.</w:t>
      </w:r>
    </w:p>
    <w:p>
      <w:pPr>
        <w:spacing w:after="40"/>
      </w:pPr>
      <w:r>
        <w:rPr>
          <w:b/>
          <w:i w:val="0"/>
          <w:sz w:val="22"/>
        </w:rPr>
        <w:t>Риск 5 — D&amp;O (ответственность менеджмента).</w:t>
      </w:r>
    </w:p>
    <w:p>
      <w:pPr>
        <w:spacing w:after="80"/>
      </w:pPr>
      <w:r>
        <w:rPr>
          <w:b w:val="0"/>
          <w:i w:val="0"/>
          <w:sz w:val="22"/>
        </w:rPr>
        <w:t>Потенциальные иски: акционеры, регуляторы, экологические иски к менеджменту. MFL = 1–5 млрд руб. (судебные издержки + штрафы + компенсации). PML ≈ 0,1–0,5 млрд руб./год.</w:t>
      </w:r>
    </w:p>
    <w:p>
      <w:pPr>
        <w:spacing w:after="40"/>
      </w:pPr>
      <w:r>
        <w:rPr>
          <w:b w:val="0"/>
          <w:i/>
          <w:sz w:val="20"/>
        </w:rPr>
        <w:t>Таблица 4.1 — Сводная количественная оценка страхуемых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MFL, млрд руб.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PML, млрд руб./год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Приоритет страхования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Авария / экология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100–400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~6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Высший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Имущество и оборудование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155–465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15–50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Высокий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Перерыв в производстве (BI)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~144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~15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Высокий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Кибератака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5–20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1–2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Растущий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D&amp;O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1–5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0,1–0,5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Умеренный</w:t>
            </w:r>
          </w:p>
        </w:tc>
      </w:tr>
    </w:tbl>
    <w:p>
      <w:pPr>
        <w:spacing w:after="200"/>
      </w:pPr>
      <w:r>
        <w:rPr>
          <w:b w:val="0"/>
          <w:i w:val="0"/>
          <w:sz w:val="22"/>
        </w:rPr>
        <w:t>Совокупный ожидаемый годовой убыток (Σ PML) по страхуемым рискам ≈ 37–74 млрд руб./год (6 + (15–50) + 15 + (1–2) + (0,1–0,5)) — это та величина потерь, которую компания статистически «оплачивает» ежегодно, удерживая риски на себе. Оптимальная страховая программа (раздел 7) стоит существенно меньше и при этом снимает катастрофические «хвосты» MFL.</w:t>
      </w:r>
    </w:p>
    <w:p>
      <w:pPr>
        <w:pStyle w:val="Heading1"/>
      </w:pPr>
      <w:r>
        <w:rPr>
          <w:rFonts w:ascii="Times New Roman" w:hAnsi="Times New Roman"/>
          <w:color w:val="101010"/>
        </w:rPr>
        <w:t>5. Расчёт конкретных видов страхования и премий</w:t>
      </w:r>
    </w:p>
    <w:p>
      <w:pPr>
        <w:spacing w:after="120"/>
      </w:pPr>
      <w:r>
        <w:rPr>
          <w:b w:val="0"/>
          <w:i w:val="0"/>
          <w:sz w:val="22"/>
        </w:rPr>
        <w:t>Премия рассчитывается как Страховая сумма (лимит) × Тариф. Тарифы приведены по диапазонам российского рынка 2025–2026 гг. (СОГАЗ, Ингосстрах, ВСК, АльфаСтрахование), с учётом удорожания после ухода западных перестраховщиков и обязательной цессии 50% в РНПК.</w:t>
      </w:r>
    </w:p>
    <w:p>
      <w:pPr>
        <w:pStyle w:val="Heading2"/>
      </w:pPr>
      <w:r>
        <w:rPr>
          <w:rFonts w:ascii="Times New Roman" w:hAnsi="Times New Roman"/>
          <w:color w:val="101010"/>
        </w:rPr>
        <w:t>5.1. Обязательное страхование ОПО (225-ФЗ / ст. 18 п. 18 видов страхования)</w:t>
      </w:r>
    </w:p>
    <w:p>
      <w:pPr>
        <w:spacing w:after="40"/>
      </w:pPr>
      <w:r>
        <w:rPr>
          <w:b w:val="0"/>
          <w:i w:val="0"/>
          <w:sz w:val="22"/>
        </w:rPr>
        <w:t>Норникель эксплуатирует опасные производственные объекты I класса опасности (ТЭЦ, трубопроводы, резервуары, рудники, металлургические переделы) — страхование гражданской ответственности владельца ОПО обязательно. Это вменённый по закону вид: без полиса эксплуатация объектов неправомерна. Страховая сумма зависит от максимального количества пострадавших; для особо опасных объектов достигает 1 млрд руб. на объект, тариф для I класса — в верхней части диапазона 0,5–3%.</w:t>
      </w:r>
    </w:p>
    <w:p>
      <w:pPr>
        <w:spacing w:after="80"/>
      </w:pPr>
      <w:r>
        <w:rPr>
          <w:b w:val="0"/>
          <w:i w:val="0"/>
          <w:sz w:val="22"/>
        </w:rPr>
        <w:t>Ориентировочный расчёт: 50 объектов × страховая сумма 500 млн руб. × тариф 2% = 500 млн руб./год (нижняя граница; при большем числе и более высоком классе — до 1–2 млрд руб./год). Важно: полис ОСОПО покрывает вред жизни, здоровью и имуществу третьих лиц, но НЕ покрывает экологический ущерб самой компании — для этого нужен отдельный полис экологической ответственности (см. 5.3).</w:t>
      </w:r>
    </w:p>
    <w:p>
      <w:pPr>
        <w:pStyle w:val="Heading2"/>
      </w:pPr>
      <w:r>
        <w:rPr>
          <w:rFonts w:ascii="Times New Roman" w:hAnsi="Times New Roman"/>
          <w:color w:val="101010"/>
        </w:rPr>
        <w:t>5.2. Добровольное страхование имущества + BI</w:t>
      </w:r>
    </w:p>
    <w:p>
      <w:pPr>
        <w:spacing w:after="40"/>
      </w:pPr>
      <w:r>
        <w:rPr>
          <w:b w:val="0"/>
          <w:i w:val="0"/>
          <w:sz w:val="22"/>
        </w:rPr>
        <w:t>Варианты страховой суммы (доля от основных средств 1,55 трлн руб.):</w:t>
      </w:r>
    </w:p>
    <w:p>
      <w:pPr>
        <w:pStyle w:val="ListBullet"/>
        <w:spacing w:after="40"/>
      </w:pPr>
      <w:r>
        <w:rPr>
          <w:sz w:val="22"/>
        </w:rPr>
        <w:t>Минимальный: 20% ОС = 310 млрд руб.;</w:t>
      </w:r>
    </w:p>
    <w:p>
      <w:pPr>
        <w:pStyle w:val="ListBullet"/>
        <w:spacing w:after="40"/>
      </w:pPr>
      <w:r>
        <w:rPr>
          <w:sz w:val="22"/>
        </w:rPr>
        <w:t>Оптимальный: 50% ОС = 775 млрд руб.;</w:t>
      </w:r>
    </w:p>
    <w:p>
      <w:pPr>
        <w:pStyle w:val="ListBullet"/>
        <w:spacing w:after="40"/>
      </w:pPr>
      <w:r>
        <w:rPr>
          <w:sz w:val="22"/>
        </w:rPr>
        <w:t>Максимальный: 70% ОС = 1 085 млрд руб.</w:t>
      </w:r>
    </w:p>
    <w:p>
      <w:pPr>
        <w:spacing w:after="40"/>
      </w:pPr>
      <w:r>
        <w:rPr>
          <w:b w:val="0"/>
          <w:i w:val="0"/>
          <w:sz w:val="22"/>
        </w:rPr>
        <w:t>Рыночные тарифы РФ (2025–2026): имущество «от всех рисков» 0,15–0,40% годовых; BI как дополнение +0,10–0,30%. Расчёт оптимального варианта (страховая сумма 775 млрд руб.):</w:t>
      </w:r>
    </w:p>
    <w:p>
      <w:pPr>
        <w:pStyle w:val="ListBullet"/>
        <w:spacing w:after="40"/>
      </w:pPr>
      <w:r>
        <w:rPr>
          <w:sz w:val="22"/>
        </w:rPr>
        <w:t>Имущество: 775 млрд × 0,25% = 1 937 млн руб./год (≈1,94 млрд руб.);</w:t>
      </w:r>
    </w:p>
    <w:p>
      <w:pPr>
        <w:pStyle w:val="ListBullet"/>
        <w:spacing w:after="40"/>
      </w:pPr>
      <w:r>
        <w:rPr>
          <w:sz w:val="22"/>
        </w:rPr>
        <w:t>BI: 775 млрд × 0,15% = 1 162 млн руб./год (≈1,16 млрд руб.);</w:t>
      </w:r>
    </w:p>
    <w:p>
      <w:pPr>
        <w:pStyle w:val="ListBullet"/>
        <w:spacing w:after="40"/>
      </w:pPr>
      <w:r>
        <w:rPr>
          <w:sz w:val="22"/>
        </w:rPr>
        <w:t>Итого имущество + BI ≈ 3,1 млрд руб./год.</w:t>
      </w:r>
    </w:p>
    <w:p>
      <w:pPr>
        <w:spacing w:after="80"/>
      </w:pPr>
      <w:r>
        <w:rPr>
          <w:b w:val="0"/>
          <w:i w:val="0"/>
          <w:sz w:val="22"/>
        </w:rPr>
        <w:t>Важно (риск недострахования). По правилам имущественного страхования при страховой сумме ниже страховой стоимости возмещение выплачивается пропорционально: Q = T × S / W, где T — ущерб, S — страховая сумма, W — страховая стоимость. Поэтому страховую сумму следует приближать к MFL ключевых активов, иначе при крупном убытке компания получит лишь долю возмещения (как в учебном кейсе: оборудование стоимостью 100 млн застраховано на 50 млн → при ущербе 50 млн выплата 25 млн).</w:t>
      </w:r>
    </w:p>
    <w:p>
      <w:pPr>
        <w:pStyle w:val="Heading2"/>
      </w:pPr>
      <w:r>
        <w:rPr>
          <w:rFonts w:ascii="Times New Roman" w:hAnsi="Times New Roman"/>
          <w:color w:val="101010"/>
        </w:rPr>
        <w:t>5.3. Экологическая ответственность</w:t>
      </w:r>
    </w:p>
    <w:p>
      <w:pPr>
        <w:spacing w:after="80"/>
      </w:pPr>
      <w:r>
        <w:rPr>
          <w:b w:val="0"/>
          <w:i w:val="0"/>
          <w:sz w:val="22"/>
        </w:rPr>
        <w:t>Рыночные лимиты (СОГАЗ, Ингосстрах) — от 1 до 20 млрд руб.; тариф 0,5–2%. Расчёт при лимите 10 млрд руб. и тарифе 1%: 10 млрд × 1% = 100 млн руб./год; при лимите 20 млрд руб. → 200 млн руб./год.</w:t>
      </w:r>
    </w:p>
    <w:p>
      <w:pPr>
        <w:pStyle w:val="Heading2"/>
      </w:pPr>
      <w:r>
        <w:rPr>
          <w:rFonts w:ascii="Times New Roman" w:hAnsi="Times New Roman"/>
          <w:color w:val="101010"/>
        </w:rPr>
        <w:t>5.4. Киберстрахование</w:t>
      </w:r>
    </w:p>
    <w:p>
      <w:pPr>
        <w:spacing w:after="80"/>
      </w:pPr>
      <w:r>
        <w:rPr>
          <w:b w:val="0"/>
          <w:i w:val="0"/>
          <w:sz w:val="22"/>
        </w:rPr>
        <w:t>Рыночные лимиты 0,5–10 млрд руб.; тариф 1–5%. Расчёт при лимите 5 млрд руб. и тарифе 2%: 5 млрд × 2% = 100 млн руб./год. (Подробное описание покрытия и исключений — раздел 6.)</w:t>
      </w:r>
    </w:p>
    <w:p>
      <w:pPr>
        <w:pStyle w:val="Heading2"/>
      </w:pPr>
      <w:r>
        <w:rPr>
          <w:rFonts w:ascii="Times New Roman" w:hAnsi="Times New Roman"/>
          <w:color w:val="101010"/>
        </w:rPr>
        <w:t>5.5. D&amp;O (ответственность директоров и должностных лиц)</w:t>
      </w:r>
    </w:p>
    <w:p>
      <w:pPr>
        <w:spacing w:after="80"/>
      </w:pPr>
      <w:r>
        <w:rPr>
          <w:b w:val="0"/>
          <w:i w:val="0"/>
          <w:sz w:val="22"/>
        </w:rPr>
        <w:t>Лимиты 1–5 млрд руб.; тариф 0,5–1,5% (после ухода западных перестраховщиков — в верхней части диапазона). Расчёт при лимите 3 млрд руб. и тарифе 1%: 3 млрд × 1% = 30 млн руб./год.</w:t>
      </w:r>
    </w:p>
    <w:p>
      <w:pPr>
        <w:spacing w:after="40"/>
      </w:pPr>
      <w:r>
        <w:rPr>
          <w:b w:val="0"/>
          <w:i/>
          <w:sz w:val="20"/>
        </w:rPr>
        <w:t>Таблица 5.1 — Премии по двум сценариям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Вид страхования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Минимальный сценарий, млн руб./год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Оптимальный сценарий, млн руб./год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ОПО (обязательное)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500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Имущество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500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1 940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BI (перерыв)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1 160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Экология (лимит 10 млрд)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Кибер (лимит 5 млрд)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D&amp;O (лимит 3 млрд)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ИТОГО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500 млн руб.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≈3 830 млн руб. (3,83 млрд руб.)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Доля от чистой прибыли (169 млрд руб.): минимальный сценарий — 0,3%; оптимальный — 2,3%. Для Норникеля оптимальный сценарий финансово посилен и существенно снижает катастрофические риски.</w:t>
      </w:r>
    </w:p>
    <w:p>
      <w:pPr>
        <w:spacing w:after="200"/>
      </w:pPr>
      <w:r>
        <w:rPr>
          <w:b w:val="0"/>
          <w:i w:val="0"/>
          <w:sz w:val="22"/>
        </w:rPr>
        <w:t>Снижение премии без потери защиты. По лекционному материалу стоимость полиса можно снизить за счёт инструментов собственного участия: безусловной франшизы (премия ниже, чем при условной, при сопоставимом удержании), агрегатной франшизы (компания сама покрывает мелкие частые убытки в пределах годового лимита) и временной франшизы по BI (период простоя в днях, не покрываемый страховщиком, — чем он больше, тем ниже тариф). Это переносит «зелёную зону» мелких убытков на самострахование, оставляя страховщику только катастрофические «хвосты».</w:t>
      </w:r>
    </w:p>
    <w:p>
      <w:pPr>
        <w:pStyle w:val="Heading1"/>
      </w:pPr>
      <w:r>
        <w:rPr>
          <w:rFonts w:ascii="Times New Roman" w:hAnsi="Times New Roman"/>
          <w:color w:val="101010"/>
        </w:rPr>
        <w:t>6. Детальное описание киберстрахования</w:t>
      </w:r>
    </w:p>
    <w:p>
      <w:pPr>
        <w:pStyle w:val="Heading2"/>
      </w:pPr>
      <w:r>
        <w:rPr>
          <w:rFonts w:ascii="Times New Roman" w:hAnsi="Times New Roman"/>
          <w:color w:val="101010"/>
        </w:rPr>
        <w:t>6.1. Что покрывает киберполис (практика РФ 2025–2026)</w:t>
      </w:r>
    </w:p>
    <w:p>
      <w:pPr>
        <w:spacing w:after="40"/>
        <w:ind w:left="360" w:hanging="360"/>
      </w:pPr>
      <w:r>
        <w:rPr>
          <w:b/>
          <w:sz w:val="22"/>
        </w:rPr>
        <w:t xml:space="preserve">1. </w:t>
      </w:r>
      <w:r>
        <w:rPr>
          <w:b/>
          <w:sz w:val="22"/>
        </w:rPr>
        <w:t xml:space="preserve">Расходы на расследование инцидента. </w:t>
      </w:r>
      <w:r>
        <w:rPr>
          <w:sz w:val="22"/>
        </w:rPr>
        <w:t>IT-форензика: выявление причины и оценка ущерба — обычно до 50 млн руб. на случай.</w:t>
      </w:r>
    </w:p>
    <w:p>
      <w:pPr>
        <w:spacing w:after="40"/>
        <w:ind w:left="360" w:hanging="360"/>
      </w:pPr>
      <w:r>
        <w:rPr>
          <w:b/>
          <w:sz w:val="22"/>
        </w:rPr>
        <w:t xml:space="preserve">2. </w:t>
      </w:r>
      <w:r>
        <w:rPr>
          <w:b/>
          <w:sz w:val="22"/>
        </w:rPr>
        <w:t xml:space="preserve">Восстановление данных и систем (IT-восстановление) — </w:t>
      </w:r>
      <w:r>
        <w:rPr>
          <w:sz w:val="22"/>
        </w:rPr>
        <w:t>включено отдельным подлимитом.</w:t>
      </w:r>
    </w:p>
    <w:p>
      <w:pPr>
        <w:spacing w:after="40"/>
        <w:ind w:left="360" w:hanging="360"/>
      </w:pPr>
      <w:r>
        <w:rPr>
          <w:b/>
          <w:sz w:val="22"/>
        </w:rPr>
        <w:t xml:space="preserve">3. </w:t>
      </w:r>
      <w:r>
        <w:rPr>
          <w:b/>
          <w:sz w:val="22"/>
        </w:rPr>
        <w:t xml:space="preserve">Упущенная выгода от простоя ИТ и производственных систем (BI по ИТ) — </w:t>
      </w:r>
      <w:r>
        <w:rPr>
          <w:sz w:val="22"/>
        </w:rPr>
        <w:t>как правило до 60–80% лимита.</w:t>
      </w:r>
    </w:p>
    <w:p>
      <w:pPr>
        <w:spacing w:after="40"/>
        <w:ind w:left="360" w:hanging="360"/>
      </w:pPr>
      <w:r>
        <w:rPr>
          <w:b/>
          <w:sz w:val="22"/>
        </w:rPr>
        <w:t xml:space="preserve">4. </w:t>
      </w:r>
      <w:r>
        <w:rPr>
          <w:b/>
          <w:sz w:val="22"/>
        </w:rPr>
        <w:t xml:space="preserve">Кризисные коммуникации и юридическое сопровождение: </w:t>
      </w:r>
      <w:r>
        <w:rPr>
          <w:sz w:val="22"/>
        </w:rPr>
        <w:t>юристы, уведомление клиентов, PR-мероприятия.</w:t>
      </w:r>
    </w:p>
    <w:p>
      <w:pPr>
        <w:spacing w:after="40"/>
        <w:ind w:left="360" w:hanging="360"/>
      </w:pPr>
      <w:r>
        <w:rPr>
          <w:b/>
          <w:sz w:val="22"/>
        </w:rPr>
        <w:t xml:space="preserve">5. </w:t>
      </w:r>
      <w:r>
        <w:rPr>
          <w:b/>
          <w:sz w:val="22"/>
        </w:rPr>
        <w:t xml:space="preserve">Выкуп при вымогательстве (ransomware) — </w:t>
      </w:r>
      <w:r>
        <w:rPr>
          <w:sz w:val="22"/>
        </w:rPr>
        <w:t>если это не противоречит законодательству РФ.</w:t>
      </w:r>
    </w:p>
    <w:p>
      <w:pPr>
        <w:spacing w:after="40"/>
        <w:ind w:left="360" w:hanging="360"/>
      </w:pPr>
      <w:r>
        <w:rPr>
          <w:b/>
          <w:sz w:val="22"/>
        </w:rPr>
        <w:t xml:space="preserve">6. </w:t>
      </w:r>
      <w:r>
        <w:rPr>
          <w:b/>
          <w:sz w:val="22"/>
        </w:rPr>
        <w:t xml:space="preserve">Расходы на восстановление репутации — </w:t>
      </w:r>
      <w:r>
        <w:rPr>
          <w:sz w:val="22"/>
        </w:rPr>
        <w:t>ограниченно, например до 10% лимита.</w:t>
      </w:r>
    </w:p>
    <w:p>
      <w:pPr>
        <w:pStyle w:val="Heading2"/>
      </w:pPr>
      <w:r>
        <w:rPr>
          <w:rFonts w:ascii="Times New Roman" w:hAnsi="Times New Roman"/>
          <w:color w:val="101010"/>
        </w:rPr>
        <w:t>6.2. Стандартные исключения киберполиса</w:t>
      </w:r>
    </w:p>
    <w:p>
      <w:pPr>
        <w:pStyle w:val="ListBullet"/>
        <w:spacing w:after="40"/>
      </w:pPr>
      <w:r>
        <w:rPr>
          <w:sz w:val="22"/>
        </w:rPr>
        <w:t>Акт войны и кибератаки со стороны государств — почти не страхуются (см. судебный прецедент 2024 г.: отказ в выплате IT-компании из-за оговорки «военные действия и кибератаки со стороны государств»).</w:t>
      </w:r>
    </w:p>
    <w:p>
      <w:pPr>
        <w:pStyle w:val="ListBullet"/>
        <w:spacing w:after="40"/>
      </w:pPr>
      <w:r>
        <w:rPr>
          <w:sz w:val="22"/>
        </w:rPr>
        <w:t>Санкционные риски (атака из недружественных стран) — возможен отказ или «заморозка» выплаты по санкционной оговорке.</w:t>
      </w:r>
    </w:p>
    <w:p>
      <w:pPr>
        <w:pStyle w:val="ListBullet"/>
        <w:spacing w:after="40"/>
      </w:pPr>
      <w:r>
        <w:rPr>
          <w:sz w:val="22"/>
        </w:rPr>
        <w:t>Умысел сотрудников — страхуется только по расширенному покрытию с дополнительной проверкой (ст. 963 ГК РФ освобождает страховщика от выплаты при умысле страхователя).</w:t>
      </w:r>
    </w:p>
    <w:p>
      <w:pPr>
        <w:pStyle w:val="ListBullet"/>
        <w:spacing w:after="40"/>
      </w:pPr>
      <w:r>
        <w:rPr>
          <w:sz w:val="22"/>
        </w:rPr>
        <w:t>Несоблюдение требований 152-ФЗ, 187-ФЗ и приказов ФСТЭК — при доказанном нарушении выплата снижается или следует отказ.</w:t>
      </w:r>
    </w:p>
    <w:p>
      <w:pPr>
        <w:pStyle w:val="Heading2"/>
      </w:pPr>
      <w:r>
        <w:rPr>
          <w:rFonts w:ascii="Times New Roman" w:hAnsi="Times New Roman"/>
          <w:color w:val="101010"/>
        </w:rPr>
        <w:t>6.3. Распределение ответственности</w:t>
      </w:r>
    </w:p>
    <w:p>
      <w:pPr>
        <w:spacing w:after="40"/>
      </w:pPr>
      <w:r>
        <w:rPr>
          <w:b w:val="0"/>
          <w:i w:val="0"/>
          <w:sz w:val="22"/>
        </w:rPr>
        <w:t>Ответственность страховщика: выплатить возмещение при наступлении страхового случая, организовать расследование через партнёров, предоставить юристов и IT-специалистов (опционально).</w:t>
      </w:r>
    </w:p>
    <w:p>
      <w:pPr>
        <w:spacing w:after="40"/>
      </w:pPr>
      <w:r>
        <w:rPr>
          <w:b/>
          <w:i w:val="0"/>
          <w:sz w:val="22"/>
        </w:rPr>
        <w:t>Ответственность Норникеля (страхователя):</w:t>
      </w:r>
    </w:p>
    <w:p>
      <w:pPr>
        <w:pStyle w:val="ListBullet"/>
        <w:spacing w:after="40"/>
      </w:pPr>
      <w:r>
        <w:rPr>
          <w:sz w:val="22"/>
        </w:rPr>
        <w:t>обеспечить базовую информационную безопасность (антивирусы, файрволы, резервное копирование, обучение персонала);</w:t>
      </w:r>
    </w:p>
    <w:p>
      <w:pPr>
        <w:pStyle w:val="ListBullet"/>
        <w:spacing w:after="40"/>
      </w:pPr>
      <w:r>
        <w:rPr>
          <w:sz w:val="22"/>
        </w:rPr>
        <w:t>соблюдать законодательство (152-ФЗ, 187-ФЗ, требования ЦБ и ФСТЭК);</w:t>
      </w:r>
    </w:p>
    <w:p>
      <w:pPr>
        <w:pStyle w:val="ListBullet"/>
        <w:spacing w:after="40"/>
      </w:pPr>
      <w:r>
        <w:rPr>
          <w:sz w:val="22"/>
        </w:rPr>
        <w:t>своевременно уведомлять страховщика об инциденте (обычно в течение 24–72 часов; нарушение срока — частая причина отказа, как в кейсе позднего уведомления о заливе склада);</w:t>
      </w:r>
    </w:p>
    <w:p>
      <w:pPr>
        <w:pStyle w:val="ListBullet"/>
        <w:spacing w:after="40"/>
      </w:pPr>
      <w:r>
        <w:rPr>
          <w:sz w:val="22"/>
        </w:rPr>
        <w:t>не создавать умышленных условий для наступления страхового случая.</w:t>
      </w:r>
    </w:p>
    <w:p>
      <w:pPr>
        <w:spacing w:after="200"/>
      </w:pPr>
      <w:r>
        <w:rPr>
          <w:b w:val="0"/>
          <w:i w:val="0"/>
          <w:sz w:val="22"/>
        </w:rPr>
        <w:t>Ключевой принцип: страхование не отменяет обязанности компании инвестировать в собственную кибербезопасность. При отсутствии базовой защиты страховщик вправе отказать или снизить выплату пропорционально. Страхование закрывает остаточный риск, который нельзя устранить только техническими мерами.</w:t>
      </w:r>
    </w:p>
    <w:p>
      <w:pPr>
        <w:pStyle w:val="Heading1"/>
      </w:pPr>
      <w:r>
        <w:rPr>
          <w:rFonts w:ascii="Times New Roman" w:hAnsi="Times New Roman"/>
          <w:color w:val="101010"/>
        </w:rPr>
        <w:t>7. Сравнение сценариев и выбор программы страхования</w:t>
      </w:r>
    </w:p>
    <w:p>
      <w:pPr>
        <w:spacing w:after="120"/>
      </w:pPr>
      <w:r>
        <w:rPr>
          <w:b w:val="0"/>
          <w:i w:val="0"/>
          <w:sz w:val="22"/>
        </w:rPr>
        <w:t>В соответствии с методикой моделирования страховой защиты (минимальный — нормативный — оптимальный уровень) рассмотрены три сценария.</w:t>
      </w:r>
    </w:p>
    <w:p>
      <w:pPr>
        <w:spacing w:after="40"/>
      </w:pPr>
      <w:r>
        <w:rPr>
          <w:b w:val="0"/>
          <w:i/>
          <w:sz w:val="20"/>
        </w:rPr>
        <w:t>Таблица 7.1 — Сравнение сценариев страховой защиты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Сценарий А (базовый)</w:t>
            </w:r>
          </w:p>
        </w:tc>
        <w:tc>
          <w:tcPr>
            <w:tcW w:type="dxa" w:w="2154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Сценарий Б (оптимальный)</w:t>
            </w:r>
          </w:p>
        </w:tc>
        <w:tc>
          <w:tcPr>
            <w:tcW w:type="dxa" w:w="2154"/>
            <w:shd w:val="clear" w:color="auto" w:fill="1F3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Сценарий В (максимальный)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ОПО (обязательное)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✅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✅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Имущество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20% ОС (310 млрд)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50% ОС (775 млрд)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70% ОС (1 085 млрд)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BI (перерыв)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❌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✅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Экология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❌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✅ (до 10 млрд)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✅ (до 20 млрд)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Кибер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❌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✅ (до 5 млрд)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✅ (до 10 млрд)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D&amp;O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❌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✅ (до 3 млрд)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✅ (до 5 млрд)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Годовая премия (оценка)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500 млн руб.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3,8 млрд руб.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~6–7 млрд руб.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% от чистой прибыли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0,3%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2,3%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3,5–4,1%</w:t>
            </w:r>
          </w:p>
        </w:tc>
      </w:tr>
    </w:tbl>
    <w:p>
      <w:pPr>
        <w:spacing w:after="40"/>
      </w:pPr>
      <w:r>
        <w:rPr>
          <w:b/>
          <w:i w:val="0"/>
          <w:sz w:val="22"/>
        </w:rPr>
        <w:t>Рекомендация: Сценарий Б (оптимальный).</w:t>
      </w:r>
    </w:p>
    <w:p>
      <w:pPr>
        <w:spacing w:after="40"/>
      </w:pPr>
      <w:r>
        <w:rPr>
          <w:b/>
          <w:i w:val="0"/>
          <w:sz w:val="22"/>
        </w:rPr>
        <w:t>Обоснование:</w:t>
      </w:r>
    </w:p>
    <w:p>
      <w:pPr>
        <w:spacing w:after="40"/>
        <w:ind w:left="360" w:hanging="360"/>
      </w:pPr>
      <w:r>
        <w:rPr>
          <w:b/>
          <w:sz w:val="22"/>
        </w:rPr>
        <w:t xml:space="preserve">1. </w:t>
      </w:r>
      <w:r>
        <w:rPr>
          <w:sz w:val="22"/>
        </w:rPr>
        <w:t>Соотношение цена/качество: 2,3% чистой прибыли — экономически оправданная плата за передачу катастрофических рисков.</w:t>
      </w:r>
    </w:p>
    <w:p>
      <w:pPr>
        <w:spacing w:after="40"/>
        <w:ind w:left="360" w:hanging="360"/>
      </w:pPr>
      <w:r>
        <w:rPr>
          <w:b/>
          <w:sz w:val="22"/>
        </w:rPr>
        <w:t xml:space="preserve">2. </w:t>
      </w:r>
      <w:r>
        <w:rPr>
          <w:sz w:val="22"/>
        </w:rPr>
        <w:t>Кейс-2020 показал, что вынужденное самоудержание экологического риска обошлось в сумму, сопоставимую с годовой прибылью (≈340 млрд руб. ущерба против 169 млрд руб. прибыли). Полис экологической ответственности стоит 100–200 млн руб. — в тысячи раз дешевле потенциального убытка.</w:t>
      </w:r>
    </w:p>
    <w:p>
      <w:pPr>
        <w:spacing w:after="40"/>
        <w:ind w:left="360" w:hanging="360"/>
      </w:pPr>
      <w:r>
        <w:rPr>
          <w:b/>
          <w:sz w:val="22"/>
        </w:rPr>
        <w:t xml:space="preserve">3. </w:t>
      </w:r>
      <w:r>
        <w:rPr>
          <w:sz w:val="22"/>
        </w:rPr>
        <w:t>BI критически важно: простой даже на месяц = потеря ~96 млрд руб. выручки. Страхование BI за ≈1,16 млрд руб./год окупается уже при одной остановке за десятилетия эксплуатации. Сравнимый кейс — пожар на складе Wildberries (2023): из 15 млрд руб. убытка страховщики возместили ≈100%, в т. ч. 3,1 млрд руб. по BI.</w:t>
      </w:r>
    </w:p>
    <w:p>
      <w:pPr>
        <w:spacing w:after="40"/>
        <w:ind w:left="360" w:hanging="360"/>
      </w:pPr>
      <w:r>
        <w:rPr>
          <w:b/>
          <w:sz w:val="22"/>
        </w:rPr>
        <w:t xml:space="preserve">4. </w:t>
      </w:r>
      <w:r>
        <w:rPr>
          <w:sz w:val="22"/>
        </w:rPr>
        <w:t>Киберриски растут (кибер — риск № 1 в «Барометре-2026»): включение киберстрахования за ~100 млн руб./год — разумный компромисс при покрытии 5 млрд руб.</w:t>
      </w:r>
    </w:p>
    <w:p>
      <w:pPr>
        <w:spacing w:after="40"/>
        <w:ind w:left="360" w:hanging="360"/>
      </w:pPr>
      <w:r>
        <w:rPr>
          <w:b/>
          <w:sz w:val="22"/>
        </w:rPr>
        <w:t xml:space="preserve">5. </w:t>
      </w:r>
      <w:r>
        <w:rPr>
          <w:sz w:val="22"/>
        </w:rPr>
        <w:t>D&amp;O защищает менеджмент в условиях высокой санкционной и регуляторной нагрузки (за ~30 млн руб./год).</w:t>
      </w:r>
    </w:p>
    <w:p>
      <w:pPr>
        <w:spacing w:after="40"/>
      </w:pPr>
      <w:r>
        <w:rPr>
          <w:b/>
          <w:i w:val="0"/>
          <w:sz w:val="22"/>
        </w:rPr>
        <w:t>Что остаётся не застрахованным (управляется иными методами):</w:t>
      </w:r>
    </w:p>
    <w:p>
      <w:pPr>
        <w:pStyle w:val="ListBullet"/>
        <w:spacing w:after="40"/>
      </w:pPr>
      <w:r>
        <w:rPr>
          <w:sz w:val="22"/>
        </w:rPr>
        <w:t>падение цен на металлы → хеджирование через биржевые контракты;</w:t>
      </w:r>
    </w:p>
    <w:p>
      <w:pPr>
        <w:pStyle w:val="ListBullet"/>
        <w:spacing w:after="40"/>
      </w:pPr>
      <w:r>
        <w:rPr>
          <w:sz w:val="22"/>
        </w:rPr>
        <w:t>валютный риск → управление валютной структурой долга и выручки;</w:t>
      </w:r>
    </w:p>
    <w:p>
      <w:pPr>
        <w:pStyle w:val="ListBullet"/>
        <w:spacing w:after="40"/>
      </w:pPr>
      <w:r>
        <w:rPr>
          <w:sz w:val="22"/>
        </w:rPr>
        <w:t>процентный риск → рефинансирование, фиксация ставок;</w:t>
      </w:r>
    </w:p>
    <w:p>
      <w:pPr>
        <w:pStyle w:val="ListBullet"/>
        <w:spacing w:after="40"/>
      </w:pPr>
      <w:r>
        <w:rPr>
          <w:sz w:val="22"/>
        </w:rPr>
        <w:t>санкционные риски → диверсификация рынков сбыта и логистики, формирование резервов.</w:t>
      </w:r>
    </w:p>
    <w:p>
      <w:pPr>
        <w:spacing w:after="80"/>
      </w:pPr>
      <w:r>
        <w:rPr>
          <w:b w:val="0"/>
          <w:i w:val="0"/>
          <w:sz w:val="22"/>
        </w:rPr>
        <w:t>Эти риски относятся к «синей зоне» карты рисков: они системны и не отвечают критериям страхуемости, поэтому передача их страховщику неэффективна.</w:t>
      </w:r>
    </w:p>
    <w:p>
      <w:pPr>
        <w:spacing w:after="40"/>
      </w:pPr>
      <w:r>
        <w:rPr>
          <w:b/>
          <w:i w:val="0"/>
          <w:sz w:val="22"/>
        </w:rPr>
        <w:t>Бюджетная рекомендация:</w:t>
      </w:r>
    </w:p>
    <w:p>
      <w:pPr>
        <w:pStyle w:val="ListBullet"/>
        <w:spacing w:after="40"/>
      </w:pPr>
      <w:r>
        <w:rPr>
          <w:sz w:val="22"/>
        </w:rPr>
        <w:t>минимальный обязательный бюджет — 500 млн руб./год (ОПО + минимальное имущество);</w:t>
      </w:r>
    </w:p>
    <w:p>
      <w:pPr>
        <w:pStyle w:val="ListBullet"/>
        <w:spacing w:after="40"/>
      </w:pPr>
      <w:r>
        <w:rPr>
          <w:sz w:val="22"/>
        </w:rPr>
        <w:t>рекомендованный бюджет — 3,8 млрд руб./год (2,3% чистой прибыли);</w:t>
      </w:r>
    </w:p>
    <w:p>
      <w:pPr>
        <w:pStyle w:val="ListBullet"/>
        <w:spacing w:after="40"/>
      </w:pPr>
      <w:r>
        <w:rPr>
          <w:sz w:val="22"/>
        </w:rPr>
        <w:t>максимальный бюджет — до 7 млрд руб./год (целесообразен только при очень высоком аппетите к риску).</w:t>
      </w:r>
    </w:p>
    <w:p>
      <w:pPr>
        <w:spacing w:after="40"/>
      </w:pPr>
      <w:r>
        <w:rPr>
          <w:b/>
          <w:i w:val="0"/>
          <w:sz w:val="22"/>
        </w:rPr>
        <w:t>Особенность размещения крупных рисков в РФ.</w:t>
      </w:r>
    </w:p>
    <w:p>
      <w:pPr>
        <w:spacing w:after="200"/>
      </w:pPr>
      <w:r>
        <w:rPr>
          <w:b w:val="0"/>
          <w:i w:val="0"/>
          <w:sz w:val="22"/>
        </w:rPr>
        <w:t>Страховые суммы уровня MFL Норникеля (сотни млрд руб.) превышают собственное удержание любого отдельного страховщика, поэтому риск размещается через перестрахование. После 2022 г. западные ёмкости недоступны: действует обязательная цессия не менее 50% в РНПК (капитал увеличен до 300 млрд руб., гарантии ЦБ — до 750 млрд руб.), на которую приходится ~83,7% перестрахования рынка. Это повышает надёжность покрытия крупных рисков, но удлиняет сроки урегулирования и требует учитывать оговорки и исключения РНПК, которые страховщики ретранслируют в договорах с Норникелем.</w:t>
      </w:r>
    </w:p>
    <w:p>
      <w:pPr>
        <w:pStyle w:val="Heading1"/>
      </w:pPr>
      <w:r>
        <w:rPr>
          <w:rFonts w:ascii="Times New Roman" w:hAnsi="Times New Roman"/>
          <w:color w:val="101010"/>
        </w:rPr>
        <w:t>8. Итоговый вывод</w:t>
      </w:r>
    </w:p>
    <w:p>
      <w:pPr>
        <w:spacing w:after="200"/>
      </w:pPr>
      <w:r>
        <w:rPr>
          <w:b w:val="0"/>
          <w:i w:val="0"/>
          <w:sz w:val="22"/>
        </w:rPr>
        <w:t>Для ПАО «ГМК «Норильский никель» страхование является приоритетным методом управления рисками с низкой вероятностью и катастрофическим ущербом: промышленные аварии, экологические инциденты, перерыв в производстве, кибератаки и ответственность менеджмента. Рекомендуется оптимальная программа страхования с годовой премией ≈3,8 млрд руб. (2,3% чистой прибыли), включающая: обязательное ОСОПО, добровольное страхование имущества (50% от основных средств, ≈775 млрд руб.), BI, экологическую ответственность (лимит 10 млрд руб.), киберстрахование (лимит 5 млрд руб.) и D&amp;O (лимит 3 млрд руб.). Страховую сумму по имуществу следует держать на уровне MFL и применять безусловную/агрегатную и временную (по BI) франшизы, чтобы снизить премию без риска недострахования. Финансовые и рыночные риски (ценовые, валютные, процентные, кредитные, санкционные) управляются методами хеджирования, диверсификации и формирования резервов, так как страхование для них неприменимо или неэффективно. Предложенная программа обеспечивает финансовую устойчивость Норникеля без неоправданного увеличения расходов (менее 2,5% от чистой прибыли), переводя катастрофические «хвосты» рисков в предсказуемый страховой платёж.</w:t>
      </w:r>
    </w:p>
    <w:p>
      <w:pPr>
        <w:pStyle w:val="Heading1"/>
      </w:pPr>
      <w:r>
        <w:rPr>
          <w:rFonts w:ascii="Times New Roman" w:hAnsi="Times New Roman"/>
          <w:color w:val="101010"/>
        </w:rPr>
        <w:t>Источники</w:t>
      </w:r>
    </w:p>
    <w:p>
      <w:pPr>
        <w:spacing w:after="40"/>
        <w:ind w:left="360" w:hanging="360"/>
      </w:pPr>
      <w:r>
        <w:rPr>
          <w:b/>
          <w:sz w:val="19"/>
        </w:rPr>
        <w:t xml:space="preserve">1. </w:t>
      </w:r>
      <w:r>
        <w:rPr>
          <w:sz w:val="19"/>
        </w:rPr>
        <w:t>Архипова Е. Ю. Тема 5. Бизнес-риски и организация страховой защиты бизнеса (лекция, программа «Управление предпринимательскими рисками и страхование»).</w:t>
      </w:r>
    </w:p>
    <w:p>
      <w:pPr>
        <w:spacing w:after="40"/>
        <w:ind w:left="360" w:hanging="360"/>
      </w:pPr>
      <w:r>
        <w:rPr>
          <w:b/>
          <w:sz w:val="19"/>
        </w:rPr>
        <w:t xml:space="preserve">2. </w:t>
      </w:r>
      <w:r>
        <w:rPr>
          <w:sz w:val="19"/>
        </w:rPr>
        <w:t>Архипова Е. Ю. Тема 5 (2). Страхование в управлении специфическими предпринимательскими рисками. Организация страховой защиты (лекция).</w:t>
      </w:r>
    </w:p>
    <w:p>
      <w:pPr>
        <w:spacing w:after="40"/>
        <w:ind w:left="360" w:hanging="360"/>
      </w:pPr>
      <w:r>
        <w:rPr>
          <w:b/>
          <w:sz w:val="19"/>
        </w:rPr>
        <w:t xml:space="preserve">3. </w:t>
      </w:r>
      <w:r>
        <w:rPr>
          <w:sz w:val="19"/>
        </w:rPr>
        <w:t>Норникель. Аудированные результаты МСФО за 2024 г. (пресс-релиз, 10.02.2025) — https://nornickel.ru/news-and-media/press-releases-and-news/nornikel-obyavlyaet-audirovannye-konsolidirovannye-finansovye-rezultaty-po-msfo-za-2024-god/</w:t>
      </w:r>
    </w:p>
    <w:p>
      <w:pPr>
        <w:spacing w:after="40"/>
        <w:ind w:left="360" w:hanging="360"/>
      </w:pPr>
      <w:r>
        <w:rPr>
          <w:b/>
          <w:sz w:val="19"/>
        </w:rPr>
        <w:t xml:space="preserve">4. </w:t>
      </w:r>
      <w:r>
        <w:rPr>
          <w:sz w:val="19"/>
        </w:rPr>
        <w:t>Годовой отчёт ПАО «ГМК «Норильский никель» за 2024 г. (MD&amp;A, персонал) — https://ar2024.nornickel.ru/</w:t>
      </w:r>
    </w:p>
    <w:p>
      <w:pPr>
        <w:spacing w:after="40"/>
        <w:ind w:left="360" w:hanging="360"/>
      </w:pPr>
      <w:r>
        <w:rPr>
          <w:b/>
          <w:sz w:val="19"/>
        </w:rPr>
        <w:t xml:space="preserve">5. </w:t>
      </w:r>
      <w:r>
        <w:rPr>
          <w:sz w:val="19"/>
        </w:rPr>
        <w:t>Отчёт об устойчивом развитии за 2024 г. (ключевые цифры) — https://sr2024.nornickel.ru/about-norilsk-nickel/key-figures</w:t>
      </w:r>
    </w:p>
    <w:p>
      <w:pPr>
        <w:spacing w:after="40"/>
        <w:ind w:left="360" w:hanging="360"/>
      </w:pPr>
      <w:r>
        <w:rPr>
          <w:b/>
          <w:sz w:val="19"/>
        </w:rPr>
        <w:t xml:space="preserve">6. </w:t>
      </w:r>
      <w:r>
        <w:rPr>
          <w:sz w:val="19"/>
        </w:rPr>
        <w:t>Ведомости: чистая прибыль и активы Норникеля по МСФО 2024 — https://www.vedomosti.ru/business/news/2025/02/10/1091251-chistaya-pribil-nornikelya</w:t>
      </w:r>
    </w:p>
    <w:p>
      <w:pPr>
        <w:spacing w:after="40"/>
        <w:ind w:left="360" w:hanging="360"/>
      </w:pPr>
      <w:r>
        <w:rPr>
          <w:b/>
          <w:sz w:val="19"/>
        </w:rPr>
        <w:t xml:space="preserve">7. </w:t>
      </w:r>
      <w:r>
        <w:rPr>
          <w:sz w:val="19"/>
        </w:rPr>
        <w:t>ТАСС: прибыль Норникеля по МСФО в 2024 г. — https://tass.ru/ekonomika/23101347</w:t>
      </w:r>
    </w:p>
    <w:p>
      <w:pPr>
        <w:spacing w:after="40"/>
        <w:ind w:left="360" w:hanging="360"/>
      </w:pPr>
      <w:r>
        <w:rPr>
          <w:b/>
          <w:sz w:val="19"/>
        </w:rPr>
        <w:t xml:space="preserve">8. </w:t>
      </w:r>
      <w:r>
        <w:rPr>
          <w:sz w:val="19"/>
        </w:rPr>
        <w:t>РБК: выплата экологического штрафа 146,2 млрд руб. — https://www.rbc.ru/quote/news/article/6048a4809a79473357e7dad8</w:t>
      </w:r>
    </w:p>
    <w:p>
      <w:pPr>
        <w:spacing w:after="40"/>
        <w:ind w:left="360" w:hanging="360"/>
      </w:pPr>
      <w:r>
        <w:rPr>
          <w:b/>
          <w:sz w:val="19"/>
        </w:rPr>
        <w:t xml:space="preserve">9. </w:t>
      </w:r>
      <w:r>
        <w:rPr>
          <w:sz w:val="19"/>
        </w:rPr>
        <w:t>Федеральный закон № 225-ФЗ «Об обязательном страховании гражданской ответственности владельца опасного объекта…» (ОСОПО).</w:t>
      </w:r>
    </w:p>
    <w:p>
      <w:pPr>
        <w:spacing w:after="40"/>
        <w:ind w:left="360" w:hanging="360"/>
      </w:pPr>
      <w:r>
        <w:rPr>
          <w:b/>
          <w:sz w:val="19"/>
        </w:rPr>
        <w:t xml:space="preserve">10. </w:t>
      </w:r>
      <w:r>
        <w:rPr>
          <w:sz w:val="19"/>
        </w:rPr>
        <w:t>Закон РФ «Об организации страхового дела в РФ» № 4015-I (ст. 2, 9, 32.9; обязательная цессия в РНПК).</w:t>
      </w:r>
    </w:p>
    <w:p>
      <w:pPr>
        <w:spacing w:after="40"/>
        <w:ind w:left="360" w:hanging="360"/>
      </w:pPr>
      <w:r>
        <w:rPr>
          <w:b/>
          <w:sz w:val="19"/>
        </w:rPr>
        <w:t xml:space="preserve">11. </w:t>
      </w:r>
      <w:r>
        <w:rPr>
          <w:sz w:val="19"/>
        </w:rPr>
        <w:t>Гражданский кодекс РФ (ст. 929, 933, 945, 963 — имущественное страхование, предпринимательский риск, умысел).</w:t>
      </w:r>
    </w:p>
    <w:p>
      <w:pPr>
        <w:spacing w:after="40"/>
        <w:ind w:left="360" w:hanging="360"/>
      </w:pPr>
      <w:r>
        <w:rPr>
          <w:b/>
          <w:sz w:val="19"/>
        </w:rPr>
        <w:t xml:space="preserve">12. </w:t>
      </w:r>
      <w:r>
        <w:rPr>
          <w:sz w:val="19"/>
        </w:rPr>
        <w:t>СОГАЗ: страхование экологических рисков — https://www.sogaz.ru/corporate/respons/ecology/</w:t>
      </w:r>
    </w:p>
    <w:p>
      <w:pPr>
        <w:spacing w:after="40"/>
        <w:ind w:left="360" w:hanging="360"/>
      </w:pPr>
      <w:r>
        <w:rPr>
          <w:b/>
          <w:sz w:val="19"/>
        </w:rPr>
        <w:t xml:space="preserve">13. </w:t>
      </w:r>
      <w:r>
        <w:rPr>
          <w:sz w:val="19"/>
        </w:rPr>
        <w:t>Ингосстрах: страхование промышленных предприятий и BI — https://www.ingos.ru/corporate/industry/allrisks</w:t>
      </w:r>
    </w:p>
    <w:p>
      <w:pPr>
        <w:spacing w:after="40"/>
        <w:ind w:left="360" w:hanging="360"/>
      </w:pPr>
      <w:r>
        <w:rPr>
          <w:b/>
          <w:sz w:val="19"/>
        </w:rPr>
        <w:t xml:space="preserve">14. </w:t>
      </w:r>
      <w:r>
        <w:rPr>
          <w:sz w:val="19"/>
        </w:rPr>
        <w:t>РНПК: национальная перестраховочная ёмкость, обязательная цессия 50% — https://www.rnrc.ru/</w:t>
      </w:r>
    </w:p>
    <w:p>
      <w:pPr>
        <w:spacing w:after="40"/>
        <w:ind w:left="360" w:hanging="360"/>
      </w:pPr>
      <w:r>
        <w:rPr>
          <w:b/>
          <w:sz w:val="19"/>
        </w:rPr>
        <w:t xml:space="preserve">15. </w:t>
      </w:r>
      <w:r>
        <w:rPr>
          <w:sz w:val="19"/>
        </w:rPr>
        <w:t>Allianz Risk Barometer 2026; «Современные страховые технологии», май 2026 — https://consult-cct.ru/allianz-risk-barometer-i-risk-barometr-dlya-rossii</w:t>
      </w:r>
    </w:p>
    <w:p>
      <w:pPr>
        <w:spacing w:after="40"/>
        <w:ind w:left="360" w:hanging="360"/>
      </w:pPr>
      <w:r>
        <w:rPr>
          <w:b/>
          <w:sz w:val="19"/>
        </w:rPr>
        <w:t xml:space="preserve">16. </w:t>
      </w:r>
      <w:r>
        <w:rPr>
          <w:sz w:val="19"/>
        </w:rPr>
        <w:t>RAEX (Эксперт РА): обзор страхового рынка и потенциал 2026 — https://raexpert.ru/rankings/insurance/2025/</w:t>
      </w:r>
    </w:p>
    <w:p>
      <w:pPr>
        <w:spacing w:after="40"/>
        <w:ind w:left="360" w:hanging="360"/>
      </w:pPr>
      <w:r>
        <w:rPr>
          <w:b/>
          <w:sz w:val="19"/>
        </w:rPr>
        <w:t xml:space="preserve">17. </w:t>
      </w:r>
      <w:r>
        <w:rPr>
          <w:sz w:val="19"/>
        </w:rPr>
        <w:t>Ведомости: киберстрахование меняет правила цифровой защиты (2026) — https://www.vedomosti.ru/partner/articles/2026/05/27/1200206-kiberstrahovanie-menyaet-pravila-tsifrovoi</w:t>
      </w:r>
    </w:p>
    <w:p>
      <w:pPr>
        <w:spacing w:after="40"/>
        <w:ind w:left="360" w:hanging="360"/>
      </w:pPr>
      <w:r>
        <w:rPr>
          <w:b/>
          <w:sz w:val="19"/>
        </w:rPr>
        <w:t xml:space="preserve">18. </w:t>
      </w:r>
      <w:r>
        <w:rPr>
          <w:sz w:val="19"/>
        </w:rPr>
        <w:t>РБК/ТАСС: кейс разлива топлива на ТЭЦ-3 (2020); кейсы Wildberries (2023), Ozon (Истра), разлив в Керченском проливе (2024–2025).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