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ENaC</w:t>
      </w:r>
      <w:r>
        <w:t xml:space="preserve"> </w:t>
      </w:r>
      <w:r>
        <w:t xml:space="preserve">isn’t</w:t>
      </w:r>
      <w:r>
        <w:t xml:space="preserve"> </w:t>
      </w:r>
      <w:r>
        <w:t xml:space="preserve">ASIC</w:t>
      </w:r>
    </w:p>
    <w:p>
      <w:pPr>
        <w:pStyle w:val="Subtitle"/>
      </w:pPr>
      <w:r>
        <w:t xml:space="preserve">A</w:t>
      </w:r>
      <w:r>
        <w:t xml:space="preserve"> </w:t>
      </w:r>
      <w:r>
        <w:t xml:space="preserve">Study</w:t>
      </w:r>
      <w:r>
        <w:t xml:space="preserve"> </w:t>
      </w:r>
      <w:r>
        <w:t xml:space="preserve">of</w:t>
      </w:r>
      <w:r>
        <w:t xml:space="preserve"> </w:t>
      </w:r>
      <w:r>
        <w:t xml:space="preserve">Various</w:t>
      </w:r>
      <w:r>
        <w:t xml:space="preserve"> </w:t>
      </w:r>
      <w:r>
        <w:t xml:space="preserve">Activating</w:t>
      </w:r>
      <w:r>
        <w:t xml:space="preserve"> </w:t>
      </w:r>
      <w:r>
        <w:t xml:space="preserve">Mutations</w:t>
      </w:r>
      <w:r>
        <w:t xml:space="preserve"> </w:t>
      </w:r>
      <w:r>
        <w:t xml:space="preserve">and</w:t>
      </w:r>
      <w:r>
        <w:t xml:space="preserve"> </w:t>
      </w:r>
      <w:r>
        <w:t xml:space="preserve">Conditions</w:t>
      </w:r>
      <w:r>
        <w:t xml:space="preserve"> </w:t>
      </w:r>
      <w:r>
        <w:t xml:space="preserve">of</w:t>
      </w:r>
      <w:r>
        <w:t xml:space="preserve"> </w:t>
      </w:r>
      <w:r>
        <w:t xml:space="preserve">the</w:t>
      </w:r>
      <w:r>
        <w:t xml:space="preserve"> </w:t>
      </w:r>
      <w:r>
        <w:t xml:space="preserve">Epithelial</w:t>
      </w:r>
      <w:r>
        <w:t xml:space="preserve"> </w:t>
      </w:r>
      <w:r>
        <w:t xml:space="preserve">Sodium</w:t>
      </w:r>
      <w:r>
        <w:t xml:space="preserve"> </w:t>
      </w:r>
      <w:r>
        <w:t xml:space="preserve">Channel</w:t>
      </w:r>
    </w:p>
    <w:p>
      <w:pPr>
        <w:pStyle w:val="Author"/>
      </w:pPr>
      <w:r>
        <w:t xml:space="preserve">Richard</w:t>
      </w:r>
      <w:r>
        <w:t xml:space="preserve"> </w:t>
      </w:r>
      <w:r>
        <w:t xml:space="preserve">Posert</w:t>
      </w:r>
    </w:p>
    <w:p>
      <w:pPr>
        <w:pStyle w:val="Date"/>
      </w:pPr>
      <w:r>
        <w:t xml:space="preserve">2023-07-21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frontmatter"/>
    <w:p>
      <w:pPr>
        <w:pStyle w:val="Heading1"/>
      </w:pPr>
      <w:r>
        <w:t xml:space="preserve">Frontmatter</w:t>
      </w:r>
    </w:p>
    <w:bookmarkStart w:id="20" w:name="acknowledgements"/>
    <w:p>
      <w:pPr>
        <w:pStyle w:val="Heading2"/>
      </w:pPr>
      <w:r>
        <w:t xml:space="preserve">Acknowledgements</w:t>
      </w:r>
    </w:p>
    <w:p>
      <w:pPr>
        <w:pStyle w:val="FirstParagraph"/>
      </w:pPr>
      <w:r>
        <w:t xml:space="preserve">We’ll get here.</w:t>
      </w:r>
    </w:p>
    <w:bookmarkEnd w:id="20"/>
    <w:bookmarkEnd w:id="21"/>
    <w:bookmarkStart w:id="27" w:name="enac-in-the-body"/>
    <w:p>
      <w:pPr>
        <w:pStyle w:val="Heading1"/>
      </w:pPr>
      <w:r>
        <w:t xml:space="preserve">1. ENaC in the Body</w:t>
      </w:r>
    </w:p>
    <w:bookmarkStart w:id="26" w:name="enac-in-the-kidney"/>
    <w:p>
      <w:pPr>
        <w:pStyle w:val="Heading2"/>
      </w:pPr>
      <w:r>
        <w:t xml:space="preserve">1.1 ENaC in the kidney</w:t>
      </w:r>
    </w:p>
    <w:p>
      <w:pPr>
        <w:pStyle w:val="FirstParagraph"/>
      </w:pPr>
      <w:r>
        <w:t xml:space="preserve">Blood pressure must be maintained within a narrow window of acceptable values.</w:t>
      </w:r>
      <w:r>
        <w:t xml:space="preserve"> </w:t>
      </w:r>
      <w:r>
        <w:t xml:space="preserve">Too low, and vital organs do not receive sufficient oxygen and nutrients to function, but too high and blood vessels sustain damage.</w:t>
      </w:r>
      <w:r>
        <w:t xml:space="preserve"> </w:t>
      </w:r>
      <w:r>
        <w:t xml:space="preserve">It is not surprising, then, that the human body has evolved several mechanisms for responding to changes in blood pressure, each with their own timescale</w:t>
      </w:r>
      <w:r>
        <w:rPr>
          <w:vertAlign w:val="superscript"/>
        </w:rPr>
        <w:t xml:space="preserve">1</w:t>
      </w:r>
      <w:r>
        <w:t xml:space="preserve">.</w:t>
      </w:r>
      <w:r>
        <w:t xml:space="preserve"> </w:t>
      </w:r>
      <w:r>
        <w:t xml:space="preserve">ENaC is the essential mechanism of the longest-term control, kidney excretion.</w:t>
      </w:r>
    </w:p>
    <w:tbl>
      <w:tblPr>
        <w:tblStyle w:val="Table"/>
        <w:tblW w:type="pct" w:w="5000"/>
        <w:tblLook w:firstRow="0" w:lastRow="0" w:firstColumn="0" w:lastColumn="0" w:noHBand="0" w:noVBand="0" w:val="0000"/>
        <w:jc w:val="start"/>
      </w:tblPr>
      <w:tblGrid>
        <w:gridCol w:w="7920"/>
      </w:tblGrid>
      <w:tr>
        <w:tc>
          <w:tcPr/>
          <w:bookmarkStart w:id="25" w:name="fig-intro_kidney-reg"/>
          <w:p>
            <w:pPr>
              <w:jc w:val="center"/>
            </w:pPr>
            <w:r>
              <w:drawing>
                <wp:inline>
                  <wp:extent cx="4114800" cy="2743199"/>
                  <wp:effectExtent b="0" l="0" r="0" t="0"/>
                  <wp:docPr descr="" title="" id="23" name="Picture"/>
                  <a:graphic>
                    <a:graphicData uri="http://schemas.openxmlformats.org/drawingml/2006/picture">
                      <pic:pic>
                        <pic:nvPicPr>
                          <pic:cNvPr descr="figures/intro/kidney-cartoon/kidney-cartoon.png" id="24" name="Picture"/>
                          <pic:cNvPicPr>
                            <a:picLocks noChangeArrowheads="1" noChangeAspect="1"/>
                          </pic:cNvPicPr>
                        </pic:nvPicPr>
                        <pic:blipFill>
                          <a:blip r:embed="rId22"/>
                          <a:stretch>
                            <a:fillRect/>
                          </a:stretch>
                        </pic:blipFill>
                        <pic:spPr bwMode="auto">
                          <a:xfrm>
                            <a:off x="0" y="0"/>
                            <a:ext cx="4114800" cy="27431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Simplified model of ENaC regulation in a principal cell of the distal nephron in the kidney.</w:t>
            </w:r>
          </w:p>
          <w:bookmarkEnd w:id="25"/>
        </w:tc>
      </w:tr>
    </w:tbl>
    <w:p>
      <w:pPr>
        <w:pStyle w:val="BodyText"/>
      </w:pPr>
      <w:r>
        <w:t xml:space="preserve">When the kidney is not receiving enough salt, it initiates a cascade which ends with the mineralocorticoid hormone aldosterone augmenting the activity of ENaC in the distal nephron (</w:t>
      </w:r>
      <w:hyperlink w:anchor="fig-intro_kidney-reg">
        <w:r>
          <w:rPr>
            <w:rStyle w:val="Hyperlink"/>
          </w:rPr>
          <w:t xml:space="preserve">Figure 1.1</w:t>
        </w:r>
      </w:hyperlink>
      <w:r>
        <w:t xml:space="preserve">).</w:t>
      </w:r>
      <w:r>
        <w:t xml:space="preserve"> </w:t>
      </w:r>
      <w:r>
        <w:t xml:space="preserve">Apical sodium permeability is increased both by synthesis of new channels as well as trafficking of an existing pool of channels to the cell surface</w:t>
      </w:r>
      <w:r>
        <w:rPr>
          <w:vertAlign w:val="superscript"/>
        </w:rPr>
        <w:t xml:space="preserve">2,3</w:t>
      </w:r>
      <w:r>
        <w:t xml:space="preserve">.</w:t>
      </w:r>
      <w:r>
        <w:t xml:space="preserve">Of note: Asher and colleagues report an aldosterone mediated increase in expression of the β and γ, but not α, subunits. A trend of subunit-specific regulation is widely observed in the literature, but poorly understood.</w:t>
      </w:r>
      <w:r>
        <w:t xml:space="preserve"> </w:t>
      </w:r>
      <w:r>
        <w:t xml:space="preserve">Despite its expression relatively late in the nephron, ENaC is the rate-limiting step of sodium reabsorption in the kidney.</w:t>
      </w:r>
      <w:r>
        <w:t xml:space="preserve"> </w:t>
      </w:r>
      <w:r>
        <w:t xml:space="preserve"> </w:t>
      </w:r>
      <w:r>
        <w:t xml:space="preserve">Sodium in the principal cells is transported across the basolateral membrane by the Na</w:t>
      </w:r>
      <w:r>
        <w:rPr>
          <w:vertAlign w:val="superscript"/>
        </w:rPr>
        <w:t xml:space="preserve">+</w:t>
      </w:r>
      <w:r>
        <w:t xml:space="preserve">/K</w:t>
      </w:r>
      <w:r>
        <w:rPr>
          <w:vertAlign w:val="superscript"/>
        </w:rPr>
        <w:t xml:space="preserve">+</w:t>
      </w:r>
      <w:r>
        <w:t xml:space="preserve"> </w:t>
      </w:r>
      <w:r>
        <w:t xml:space="preserve">ATPase, and therefore induces retention of extra water to maintain the tightly-controlled plasma sodium level.</w:t>
      </w:r>
      <w:r>
        <w:t xml:space="preserve"> </w:t>
      </w:r>
      <w:r>
        <w:t xml:space="preserve">Thus, ENaC controls three essential functions of kidney filtration: first, the amount of sodium reabsorbed by the kidney; second, blood volume (and therefore pressure); third, the amount of potassium passed from the plasma into the urine.</w:t>
      </w:r>
    </w:p>
    <w:p>
      <w:pPr>
        <w:pStyle w:val="BodyText"/>
      </w:pPr>
      <w:r>
        <w:t xml:space="preserve">A variety of ENaC mutations have dramatic effects on patients’ blood pressure.</w:t>
      </w:r>
      <w:r>
        <w:t xml:space="preserve"> </w:t>
      </w:r>
      <w:r>
        <w:t xml:space="preserve">One of the earliest described is Liddle syndrome</w:t>
      </w:r>
      <w:r>
        <w:rPr>
          <w:vertAlign w:val="superscript"/>
        </w:rPr>
        <w:t xml:space="preserve">4</w:t>
      </w:r>
      <w:r>
        <w:t xml:space="preserve">.</w:t>
      </w:r>
      <w:r>
        <w:t xml:space="preserve"> </w:t>
      </w:r>
      <w:r>
        <w:t xml:space="preserve">Liddle syndrome (also called pseudoaldosteronism) results from an autosomal dominant gain-of-function mutation in ENaC.</w:t>
      </w:r>
      <w:r>
        <w:t xml:space="preserve"> </w:t>
      </w:r>
      <w:r>
        <w:t xml:space="preserve">Severe hypertension, low potassium, high blood pH, low renin activity, and low aldosterone are hallmarks of the disease</w:t>
      </w:r>
      <w:r>
        <w:rPr>
          <w:vertAlign w:val="superscript"/>
        </w:rPr>
        <w:t xml:space="preserve">5</w:t>
      </w:r>
      <w:r>
        <w:t xml:space="preserve">.</w:t>
      </w:r>
      <w:r>
        <w:t xml:space="preserve"> </w:t>
      </w:r>
      <w:r>
        <w:t xml:space="preserve">It is a rare disorder, with only 72 families described as of 2018</w:t>
      </w:r>
      <w:r>
        <w:rPr>
          <w:vertAlign w:val="superscript"/>
        </w:rPr>
        <w:t xml:space="preserve">6</w:t>
      </w:r>
      <w:r>
        <w:t xml:space="preserve">.</w:t>
      </w:r>
      <w:r>
        <w:t xml:space="preserve"> </w:t>
      </w:r>
      <w:r>
        <w:t xml:space="preserve">However, after excluding patients with other clear causes (primary aldosteronism, kidney or heart diseases, and obstructive sleep apnea), approximately one in one hundred hypertensive patients had Liddle syndrome, indicating that the prevalence may be higher than is currently thought</w:t>
      </w:r>
      <w:r>
        <w:rPr>
          <w:vertAlign w:val="superscript"/>
        </w:rPr>
        <w:t xml:space="preserve">7,8</w:t>
      </w:r>
      <w:r>
        <w:t xml:space="preserve">.</w:t>
      </w:r>
      <w:r>
        <w:t xml:space="preserve"> </w:t>
      </w:r>
      <w:r>
        <w:t xml:space="preserve">All but one of the described cases involve mutation of the β or γ subunits</w:t>
      </w:r>
      <w:r>
        <w:rPr>
          <w:vertAlign w:val="superscript"/>
        </w:rPr>
        <w:t xml:space="preserve">6,8</w:t>
      </w:r>
      <w:r>
        <w:t xml:space="preserve">.</w:t>
      </w:r>
    </w:p>
    <w:p>
      <w:pPr>
        <w:pStyle w:val="BodyText"/>
      </w:pPr>
      <w:r>
        <w:t xml:space="preserve">A majority of the mutations in the β and γ subunits disrupt or remove entirely a proline-rich PY motif at the C-terminus of those channels</w:t>
      </w:r>
      <w:r>
        <w:rPr>
          <w:vertAlign w:val="superscript"/>
        </w:rPr>
        <w:t xml:space="preserve">9</w:t>
      </w:r>
      <w:r>
        <w:t xml:space="preserve">.</w:t>
      </w:r>
      <w:r>
        <w:t xml:space="preserve"> </w:t>
      </w:r>
      <w:r>
        <w:t xml:space="preserve">This PY motif is the binding site for the E3 ubiquitin ligase NEDD4-2 (see section</w:t>
      </w:r>
      <w:r>
        <w:t xml:space="preserve"> </w:t>
      </w:r>
      <w:r>
        <w:t xml:space="preserve">).</w:t>
      </w:r>
      <w:r>
        <w:t xml:space="preserve"> </w:t>
      </w:r>
      <w:r>
        <w:t xml:space="preserve">Study of ENaC surface dwell time is complicated by a reserve pool maintained by the cells to be cycled up to the membrane, but there is a consensus that ENaC is recycled quickly; surface half life estimates range from fifteen minutes to three hours, with the low end having more support</w:t>
      </w:r>
      <w:r>
        <w:rPr>
          <w:vertAlign w:val="superscript"/>
        </w:rPr>
        <w:t xml:space="preserve">10</w:t>
      </w:r>
      <w:r>
        <w:t xml:space="preserve">.</w:t>
      </w:r>
      <w:r>
        <w:t xml:space="preserve"> </w:t>
      </w:r>
      <w:r>
        <w:t xml:space="preserve">ENaC lacking the PY motif cannot be pulled back in from the membrane, thus increasing sodium permeability by increasing</w:t>
      </w:r>
      <w:r>
        <w:t xml:space="preserve"> </w:t>
      </w:r>
      <w:r>
        <w:rPr>
          <w:iCs/>
          <w:i/>
        </w:rPr>
        <w:t xml:space="preserve">N</w:t>
      </w:r>
      <w:r>
        <w:t xml:space="preserve"> </w:t>
      </w:r>
      <w:r>
        <w:t xml:space="preserve">rather than the conductivity or P</w:t>
      </w:r>
      <w:r>
        <w:rPr>
          <w:vertAlign w:val="subscript"/>
        </w:rPr>
        <w:t xml:space="preserve">O</w:t>
      </w:r>
      <w:r>
        <w:t xml:space="preserve"> </w:t>
      </w:r>
      <w:r>
        <w:t xml:space="preserve">of the channels</w:t>
      </w:r>
      <w:r>
        <w:rPr>
          <w:vertAlign w:val="superscript"/>
        </w:rPr>
        <w:t xml:space="preserve">11–13</w:t>
      </w:r>
      <w:r>
        <w:t xml:space="preserve">.The α subunit does have a PY motif, but no Liddle syndrome mutation of the α PY has been described. This is discussed further in</w:t>
      </w:r>
      <w:r>
        <w:t xml:space="preserve"> </w:t>
      </w:r>
      <w:r>
        <w:t xml:space="preserve">]{.aside}</w:t>
      </w:r>
      <w:r>
        <w:t xml:space="preserve"> </w:t>
      </w:r>
      <w:r>
        <w:t xml:space="preserve">The remaining minority of described Liddle syndrome mutations (including the sole ENaC</w:t>
      </w:r>
      <w:r>
        <w:rPr>
          <w:vertAlign w:val="subscript"/>
        </w:rPr>
        <w:t xml:space="preserve">α</w:t>
      </w:r>
      <w:r>
        <w:t xml:space="preserve"> </w:t>
      </w:r>
      <w:r>
        <w:t xml:space="preserve">mutation) which do not affect PY-motif binding instead directly augment channel P</w:t>
      </w:r>
      <w:r>
        <w:rPr>
          <w:vertAlign w:val="subscript"/>
        </w:rPr>
        <w:t xml:space="preserve">O</w:t>
      </w:r>
      <w:r>
        <w:rPr>
          <w:vertAlign w:val="superscript"/>
        </w:rPr>
        <w:t xml:space="preserve">6</w:t>
      </w:r>
      <w:r>
        <w:t xml:space="preserve">.</w:t>
      </w:r>
      <w:r>
        <w:t xml:space="preserve"> </w:t>
      </w:r>
      <w:r>
        <w:t xml:space="preserve">Liddle syndrome is typically treated with small molecules that block ENaC (amiloride or triamterene) and a low-salt diet.</w:t>
      </w:r>
    </w:p>
    <w:p>
      <w:pPr>
        <w:pStyle w:val="BodyText"/>
      </w:pPr>
      <w:r>
        <w:t xml:space="preserve">Loss-of-function mutations also cause severe phenotypes.</w:t>
      </w:r>
      <w:r>
        <w:t xml:space="preserve"> </w:t>
      </w:r>
      <w:r>
        <w:t xml:space="preserve">Type 1 pseudohypoaldosteronism (PHA1) was first described in a severely dehydrated infant who did not respond to aldosterone treatment</w:t>
      </w:r>
      <w:r>
        <w:rPr>
          <w:vertAlign w:val="superscript"/>
        </w:rPr>
        <w:t xml:space="preserve">14</w:t>
      </w:r>
      <w:r>
        <w:t xml:space="preserve">.</w:t>
      </w:r>
      <w:r>
        <w:t xml:space="preserve"> </w:t>
      </w:r>
      <w:r>
        <w:t xml:space="preserve">There are two forms of PHA1: renal PHA1, which is milder and involves a mutation in the mineralocorticoid receptor; and systemic PHA1, which involves a mutation in a gene for ENaC α, β, or γ</w:t>
      </w:r>
      <w:r>
        <w:rPr>
          <w:vertAlign w:val="superscript"/>
        </w:rPr>
        <w:t xml:space="preserve">15,16</w:t>
      </w:r>
      <w:r>
        <w:t xml:space="preserve">.</w:t>
      </w:r>
      <w:r>
        <w:t xml:space="preserve"> </w:t>
      </w:r>
      <w:r>
        <w:t xml:space="preserve">Patients with systemic PHA1 are unable to retain any salt, and so become severely dehydrated and have high potassium, low sodium, and increased acidity in their blood</w:t>
      </w:r>
      <w:r>
        <w:rPr>
          <w:vertAlign w:val="superscript"/>
        </w:rPr>
        <w:t xml:space="preserve">5</w:t>
      </w:r>
      <w:r>
        <w:t xml:space="preserve">.</w:t>
      </w:r>
      <w:r>
        <w:t xml:space="preserve"> </w:t>
      </w:r>
      <w:r>
        <w:t xml:space="preserve">This makes the disease particularly deadly to newborns, and requires life-long supplementation with sodium and the potassium elimination drug Kayexalate</w:t>
      </w:r>
      <w:r>
        <w:rPr>
          <w:vertAlign w:val="superscript"/>
        </w:rPr>
        <w:t xml:space="preserve">17</w:t>
      </w:r>
      <w:r>
        <w:t xml:space="preserve">.</w:t>
      </w:r>
      <w:r>
        <w:t xml:space="preserve"> </w:t>
      </w:r>
      <w:r>
        <w:t xml:space="preserve">Contrary to the pattern observed for Liddle Syndrome, most systemic PHA1 mutations occur in the gene encoding ENaC</w:t>
      </w:r>
      <w:r>
        <w:rPr>
          <w:vertAlign w:val="subscript"/>
        </w:rPr>
        <w:t xml:space="preserve">α</w:t>
      </w:r>
      <w:r>
        <w:rPr>
          <w:vertAlign w:val="superscript"/>
        </w:rPr>
        <w:t xml:space="preserve">17</w:t>
      </w:r>
      <w:r>
        <w:t xml:space="preserve">.</w:t>
      </w:r>
      <w:r>
        <w:t xml:space="preserve">Although the genes for the β and γ subunits are both on chromosome 16 and the gene for ENaC</w:t>
      </w:r>
      <w:r>
        <w:rPr>
          <w:vertAlign w:val="subscript"/>
        </w:rPr>
        <w:t xml:space="preserve">α</w:t>
      </w:r>
      <w:r>
        <w:t xml:space="preserve"> </w:t>
      </w:r>
      <w:r>
        <w:t xml:space="preserve">is on chromosome 12, no difference in the rates of mutation for the affected genes are seen between patients and control groups</w:t>
      </w:r>
      <w:r>
        <w:rPr>
          <w:vertAlign w:val="superscript"/>
        </w:rPr>
        <w:t xml:space="preserve">17</w:t>
      </w:r>
      <w:r>
        <w:t xml:space="preserve">.</w:t>
      </w:r>
      <w:r>
        <w:t xml:space="preserve"> </w:t>
      </w:r>
      <w:r>
        <w:t xml:space="preserve">The majority of described PHA1 mutations are nonsense mutations, although three missense mutations have been described</w:t>
      </w:r>
      <w:r>
        <w:rPr>
          <w:vertAlign w:val="superscript"/>
        </w:rPr>
        <w:t xml:space="preserve">16–18</w:t>
      </w:r>
      <w:r>
        <w:t xml:space="preserve">.</w:t>
      </w:r>
      <w:r>
        <w:t xml:space="preserve"> </w:t>
      </w:r>
      <w:r>
        <w:t xml:space="preserve">One of these mutations occurs in the palm domain, one in the transmembrane domain, and one likely in the intracellular domain.</w:t>
      </w:r>
    </w:p>
    <w:bookmarkEnd w:id="26"/>
    <w:bookmarkEnd w:id="27"/>
    <w:bookmarkStart w:id="64" w:name="references"/>
    <w:p>
      <w:pPr>
        <w:pStyle w:val="Heading1"/>
      </w:pPr>
      <w:r>
        <w:t xml:space="preserve">References</w:t>
      </w:r>
    </w:p>
    <w:bookmarkStart w:id="63" w:name="refs"/>
    <w:bookmarkStart w:id="29" w:name="ref-guyton1991"/>
    <w:p>
      <w:pPr>
        <w:pStyle w:val="Bibliography"/>
      </w:pPr>
      <w:r>
        <w:t xml:space="preserve">1.</w:t>
      </w:r>
      <w:r>
        <w:t xml:space="preserve"> </w:t>
      </w:r>
      <w:r>
        <w:t xml:space="preserve">	</w:t>
      </w:r>
      <w:r>
        <w:t xml:space="preserve">Guyton, A. C.</w:t>
      </w:r>
      <w:r>
        <w:t xml:space="preserve"> </w:t>
      </w:r>
      <w:hyperlink r:id="rId28">
        <w:r>
          <w:rPr>
            <w:rStyle w:val="Hyperlink"/>
          </w:rPr>
          <w:t xml:space="preserve">Blood</w:t>
        </w:r>
        <w:r>
          <w:rPr>
            <w:rStyle w:val="Hyperlink"/>
          </w:rPr>
          <w:t xml:space="preserve"> </w:t>
        </w:r>
        <w:r>
          <w:rPr>
            <w:rStyle w:val="Hyperlink"/>
          </w:rPr>
          <w:t xml:space="preserve">Pressure Control</w:t>
        </w:r>
        <w:r>
          <w:rPr>
            <w:rStyle w:val="Hyperlink"/>
          </w:rPr>
          <w:t xml:space="preserve">—</w:t>
        </w:r>
        <w:r>
          <w:rPr>
            <w:rStyle w:val="Hyperlink"/>
          </w:rPr>
          <w:t xml:space="preserve">Special Role</w:t>
        </w:r>
        <w:r>
          <w:rPr>
            <w:rStyle w:val="Hyperlink"/>
          </w:rPr>
          <w:t xml:space="preserve"> </w:t>
        </w:r>
        <w:r>
          <w:rPr>
            <w:rStyle w:val="Hyperlink"/>
          </w:rPr>
          <w:t xml:space="preserve">of the</w:t>
        </w:r>
        <w:r>
          <w:rPr>
            <w:rStyle w:val="Hyperlink"/>
          </w:rPr>
          <w:t xml:space="preserve"> </w:t>
        </w:r>
        <w:r>
          <w:rPr>
            <w:rStyle w:val="Hyperlink"/>
          </w:rPr>
          <w:t xml:space="preserve">Kidneys</w:t>
        </w:r>
        <w:r>
          <w:rPr>
            <w:rStyle w:val="Hyperlink"/>
          </w:rPr>
          <w:t xml:space="preserve"> </w:t>
        </w:r>
        <w:r>
          <w:rPr>
            <w:rStyle w:val="Hyperlink"/>
          </w:rPr>
          <w:t xml:space="preserve">and</w:t>
        </w:r>
        <w:r>
          <w:rPr>
            <w:rStyle w:val="Hyperlink"/>
          </w:rPr>
          <w:t xml:space="preserve"> </w:t>
        </w:r>
        <w:r>
          <w:rPr>
            <w:rStyle w:val="Hyperlink"/>
          </w:rPr>
          <w:t xml:space="preserve">Body Fluids</w:t>
        </w:r>
      </w:hyperlink>
      <w:r>
        <w:t xml:space="preserve">.</w:t>
      </w:r>
      <w:r>
        <w:t xml:space="preserve"> </w:t>
      </w:r>
      <w:r>
        <w:rPr>
          <w:iCs/>
          <w:i/>
        </w:rPr>
        <w:t xml:space="preserve">Science</w:t>
      </w:r>
      <w:r>
        <w:t xml:space="preserve"> </w:t>
      </w:r>
      <w:r>
        <w:rPr>
          <w:bCs/>
          <w:b/>
        </w:rPr>
        <w:t xml:space="preserve">252</w:t>
      </w:r>
      <w:r>
        <w:t xml:space="preserve">, 1813–1816 (1991).</w:t>
      </w:r>
    </w:p>
    <w:bookmarkEnd w:id="29"/>
    <w:bookmarkStart w:id="31" w:name="ref-asher1996"/>
    <w:p>
      <w:pPr>
        <w:pStyle w:val="Bibliography"/>
      </w:pPr>
      <w:r>
        <w:t xml:space="preserve">2.</w:t>
      </w:r>
      <w:r>
        <w:t xml:space="preserve"> </w:t>
      </w:r>
      <w:r>
        <w:t xml:space="preserve">	</w:t>
      </w:r>
      <w:r>
        <w:t xml:space="preserve">Asher, C., Wald, H., Rossier, B. C. &amp; Garty, H.</w:t>
      </w:r>
      <w:r>
        <w:t xml:space="preserve"> </w:t>
      </w:r>
      <w:hyperlink r:id="rId30">
        <w:r>
          <w:rPr>
            <w:rStyle w:val="Hyperlink"/>
          </w:rPr>
          <w:t xml:space="preserve">Aldosterone-induced increase in the abundance of</w:t>
        </w:r>
        <w:r>
          <w:rPr>
            <w:rStyle w:val="Hyperlink"/>
          </w:rPr>
          <w:t xml:space="preserve"> </w:t>
        </w:r>
        <w:r>
          <w:rPr>
            <w:rStyle w:val="Hyperlink"/>
          </w:rPr>
          <w:t xml:space="preserve">Na</w:t>
        </w:r>
        <w:r>
          <w:rPr>
            <w:rStyle w:val="Hyperlink"/>
          </w:rPr>
          <w:t xml:space="preserve">+ channel subunits</w:t>
        </w:r>
      </w:hyperlink>
      <w:r>
        <w:t xml:space="preserve">.</w:t>
      </w:r>
      <w:r>
        <w:t xml:space="preserve"> </w:t>
      </w:r>
      <w:r>
        <w:rPr>
          <w:iCs/>
          <w:i/>
        </w:rPr>
        <w:t xml:space="preserve">American Journal of Physiology-Cell Physiology</w:t>
      </w:r>
      <w:r>
        <w:t xml:space="preserve"> </w:t>
      </w:r>
      <w:r>
        <w:rPr>
          <w:bCs/>
          <w:b/>
        </w:rPr>
        <w:t xml:space="preserve">271</w:t>
      </w:r>
      <w:r>
        <w:t xml:space="preserve">, C605–C611 (1996).</w:t>
      </w:r>
    </w:p>
    <w:bookmarkEnd w:id="31"/>
    <w:bookmarkStart w:id="33" w:name="ref-frindt09"/>
    <w:p>
      <w:pPr>
        <w:pStyle w:val="Bibliography"/>
      </w:pPr>
      <w:r>
        <w:t xml:space="preserve">3.</w:t>
      </w:r>
      <w:r>
        <w:t xml:space="preserve"> </w:t>
      </w:r>
      <w:r>
        <w:t xml:space="preserve">	</w:t>
      </w:r>
      <w:r>
        <w:t xml:space="preserve">Frindt, G. &amp; Palmer, L. G.</w:t>
      </w:r>
      <w:r>
        <w:t xml:space="preserve"> </w:t>
      </w:r>
      <w:hyperlink r:id="rId32">
        <w:r>
          <w:rPr>
            <w:rStyle w:val="Hyperlink"/>
          </w:rPr>
          <w:t xml:space="preserve">Surface expression of sodium channels and transporters in rat kidney: Effects of dietary sodium</w:t>
        </w:r>
      </w:hyperlink>
      <w:r>
        <w:t xml:space="preserve">.</w:t>
      </w:r>
      <w:r>
        <w:t xml:space="preserve"> </w:t>
      </w:r>
      <w:r>
        <w:rPr>
          <w:iCs/>
          <w:i/>
        </w:rPr>
        <w:t xml:space="preserve">Am. J. Physiol. Renal Physiol.</w:t>
      </w:r>
      <w:r>
        <w:t xml:space="preserve"> </w:t>
      </w:r>
      <w:r>
        <w:rPr>
          <w:bCs/>
          <w:b/>
        </w:rPr>
        <w:t xml:space="preserve">297</w:t>
      </w:r>
      <w:r>
        <w:t xml:space="preserve">, F1249–F1255 (2009).</w:t>
      </w:r>
    </w:p>
    <w:bookmarkEnd w:id="33"/>
    <w:bookmarkStart w:id="34" w:name="ref-liddle63"/>
    <w:p>
      <w:pPr>
        <w:pStyle w:val="Bibliography"/>
      </w:pPr>
      <w:r>
        <w:t xml:space="preserve">4.</w:t>
      </w:r>
      <w:r>
        <w:t xml:space="preserve"> </w:t>
      </w:r>
      <w:r>
        <w:t xml:space="preserve">	</w:t>
      </w:r>
      <w:r>
        <w:t xml:space="preserve">Liddle, G. W., Bledsoe, T. &amp; Coppage, W. S. A familial renal disorder simulating primary aldosteronism but with negligible aldosterone secretion.</w:t>
      </w:r>
      <w:r>
        <w:t xml:space="preserve"> </w:t>
      </w:r>
      <w:r>
        <w:rPr>
          <w:iCs/>
          <w:i/>
        </w:rPr>
        <w:t xml:space="preserve">Trans. Assoc. Am. Physicians</w:t>
      </w:r>
      <w:r>
        <w:t xml:space="preserve"> </w:t>
      </w:r>
      <w:r>
        <w:rPr>
          <w:bCs/>
          <w:b/>
        </w:rPr>
        <w:t xml:space="preserve">76</w:t>
      </w:r>
      <w:r>
        <w:t xml:space="preserve">, 199–213 (1963).</w:t>
      </w:r>
    </w:p>
    <w:bookmarkEnd w:id="34"/>
    <w:bookmarkStart w:id="36" w:name="ref-hanukoglu16"/>
    <w:p>
      <w:pPr>
        <w:pStyle w:val="Bibliography"/>
      </w:pPr>
      <w:r>
        <w:t xml:space="preserve">5.</w:t>
      </w:r>
      <w:r>
        <w:t xml:space="preserve"> </w:t>
      </w:r>
      <w:r>
        <w:t xml:space="preserve">	</w:t>
      </w:r>
      <w:r>
        <w:t xml:space="preserve">Hanukoglu, I. &amp; Hanukoglu, A.</w:t>
      </w:r>
      <w:r>
        <w:t xml:space="preserve"> </w:t>
      </w:r>
      <w:hyperlink r:id="rId35">
        <w:r>
          <w:rPr>
            <w:rStyle w:val="Hyperlink"/>
          </w:rPr>
          <w:t xml:space="preserve">Epithelial sodium channel (</w:t>
        </w:r>
        <w:r>
          <w:rPr>
            <w:rStyle w:val="Hyperlink"/>
          </w:rPr>
          <w:t xml:space="preserve">ENaC</w:t>
        </w:r>
        <w:r>
          <w:rPr>
            <w:rStyle w:val="Hyperlink"/>
          </w:rPr>
          <w:t xml:space="preserve">) family:</w:t>
        </w:r>
        <w:r>
          <w:rPr>
            <w:rStyle w:val="Hyperlink"/>
          </w:rPr>
          <w:t xml:space="preserve"> </w:t>
        </w:r>
        <w:r>
          <w:rPr>
            <w:rStyle w:val="Hyperlink"/>
          </w:rPr>
          <w:t xml:space="preserve">Phylogeny</w:t>
        </w:r>
        <w:r>
          <w:rPr>
            <w:rStyle w:val="Hyperlink"/>
          </w:rPr>
          <w:t xml:space="preserve">, structure–function, tissue distribution, and associated inherited diseases</w:t>
        </w:r>
      </w:hyperlink>
      <w:r>
        <w:t xml:space="preserve">.</w:t>
      </w:r>
      <w:r>
        <w:t xml:space="preserve"> </w:t>
      </w:r>
      <w:r>
        <w:rPr>
          <w:iCs/>
          <w:i/>
        </w:rPr>
        <w:t xml:space="preserve">Gene</w:t>
      </w:r>
      <w:r>
        <w:t xml:space="preserve"> </w:t>
      </w:r>
      <w:r>
        <w:rPr>
          <w:bCs/>
          <w:b/>
        </w:rPr>
        <w:t xml:space="preserve">579</w:t>
      </w:r>
      <w:r>
        <w:t xml:space="preserve">, 95–132 (2016/04/01/).</w:t>
      </w:r>
    </w:p>
    <w:bookmarkEnd w:id="36"/>
    <w:bookmarkStart w:id="38" w:name="ref-tetti2018"/>
    <w:p>
      <w:pPr>
        <w:pStyle w:val="Bibliography"/>
      </w:pPr>
      <w:r>
        <w:t xml:space="preserve">6.</w:t>
      </w:r>
      <w:r>
        <w:t xml:space="preserve"> </w:t>
      </w:r>
      <w:r>
        <w:t xml:space="preserve">	</w:t>
      </w:r>
      <w:r>
        <w:t xml:space="preserve">Tetti, M.</w:t>
      </w:r>
      <w:r>
        <w:t xml:space="preserve"> </w:t>
      </w:r>
      <w:r>
        <w:rPr>
          <w:iCs/>
          <w:i/>
        </w:rPr>
        <w:t xml:space="preserve">et al.</w:t>
      </w:r>
      <w:r>
        <w:t xml:space="preserve"> </w:t>
      </w:r>
      <w:hyperlink r:id="rId37">
        <w:r>
          <w:rPr>
            <w:rStyle w:val="Hyperlink"/>
          </w:rPr>
          <w:t xml:space="preserve">Liddle</w:t>
        </w:r>
        <w:r>
          <w:rPr>
            <w:rStyle w:val="Hyperlink"/>
          </w:rPr>
          <w:t xml:space="preserve"> </w:t>
        </w:r>
        <w:r>
          <w:rPr>
            <w:rStyle w:val="Hyperlink"/>
          </w:rPr>
          <w:t xml:space="preserve">Syndrome</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of the</w:t>
        </w:r>
        <w:r>
          <w:rPr>
            <w:rStyle w:val="Hyperlink"/>
          </w:rPr>
          <w:t xml:space="preserve"> </w:t>
        </w:r>
        <w:r>
          <w:rPr>
            <w:rStyle w:val="Hyperlink"/>
          </w:rPr>
          <w:t xml:space="preserve">Literature</w:t>
        </w:r>
        <w:r>
          <w:rPr>
            <w:rStyle w:val="Hyperlink"/>
          </w:rPr>
          <w:t xml:space="preserve"> </w:t>
        </w:r>
        <w:r>
          <w:rPr>
            <w:rStyle w:val="Hyperlink"/>
          </w:rPr>
          <w:t xml:space="preserve">and</w:t>
        </w:r>
        <w:r>
          <w:rPr>
            <w:rStyle w:val="Hyperlink"/>
          </w:rPr>
          <w:t xml:space="preserve"> </w:t>
        </w:r>
        <w:r>
          <w:rPr>
            <w:rStyle w:val="Hyperlink"/>
          </w:rPr>
          <w:t xml:space="preserve">Description</w:t>
        </w:r>
        <w:r>
          <w:rPr>
            <w:rStyle w:val="Hyperlink"/>
          </w:rPr>
          <w:t xml:space="preserve"> </w:t>
        </w:r>
        <w:r>
          <w:rPr>
            <w:rStyle w:val="Hyperlink"/>
          </w:rPr>
          <w:t xml:space="preserve">of a</w:t>
        </w:r>
        <w:r>
          <w:rPr>
            <w:rStyle w:val="Hyperlink"/>
          </w:rPr>
          <w:t xml:space="preserve"> </w:t>
        </w:r>
        <w:r>
          <w:rPr>
            <w:rStyle w:val="Hyperlink"/>
          </w:rPr>
          <w:t xml:space="preserve">New Case</w:t>
        </w:r>
      </w:hyperlink>
      <w:r>
        <w:t xml:space="preserve">.</w:t>
      </w:r>
      <w:r>
        <w:t xml:space="preserve"> </w:t>
      </w:r>
      <w:r>
        <w:rPr>
          <w:iCs/>
          <w:i/>
        </w:rPr>
        <w:t xml:space="preserve">International Journal of Molecular Sciences</w:t>
      </w:r>
      <w:r>
        <w:t xml:space="preserve"> </w:t>
      </w:r>
      <w:r>
        <w:rPr>
          <w:bCs/>
          <w:b/>
        </w:rPr>
        <w:t xml:space="preserve">19</w:t>
      </w:r>
      <w:r>
        <w:t xml:space="preserve">, (2018).</w:t>
      </w:r>
    </w:p>
    <w:bookmarkEnd w:id="38"/>
    <w:bookmarkStart w:id="40" w:name="ref-wang2015"/>
    <w:p>
      <w:pPr>
        <w:pStyle w:val="Bibliography"/>
      </w:pPr>
      <w:r>
        <w:t xml:space="preserve">7.</w:t>
      </w:r>
      <w:r>
        <w:t xml:space="preserve"> </w:t>
      </w:r>
      <w:r>
        <w:t xml:space="preserve">	</w:t>
      </w:r>
      <w:r>
        <w:t xml:space="preserve">Wang, L.-P.</w:t>
      </w:r>
      <w:r>
        <w:t xml:space="preserve"> </w:t>
      </w:r>
      <w:r>
        <w:rPr>
          <w:iCs/>
          <w:i/>
        </w:rPr>
        <w:t xml:space="preserve">et al.</w:t>
      </w:r>
      <w:r>
        <w:t xml:space="preserve"> </w:t>
      </w:r>
      <w:hyperlink r:id="rId39">
        <w:r>
          <w:rPr>
            <w:rStyle w:val="Hyperlink"/>
          </w:rPr>
          <w:t xml:space="preserve">Prevalence of</w:t>
        </w:r>
        <w:r>
          <w:rPr>
            <w:rStyle w:val="Hyperlink"/>
          </w:rPr>
          <w:t xml:space="preserve"> </w:t>
        </w:r>
        <w:r>
          <w:rPr>
            <w:rStyle w:val="Hyperlink"/>
          </w:rPr>
          <w:t xml:space="preserve">Liddle Syndrome Among Young Hypertension Patients</w:t>
        </w:r>
        <w:r>
          <w:rPr>
            <w:rStyle w:val="Hyperlink"/>
          </w:rPr>
          <w:t xml:space="preserve"> </w:t>
        </w:r>
        <w:r>
          <w:rPr>
            <w:rStyle w:val="Hyperlink"/>
          </w:rPr>
          <w:t xml:space="preserve">of</w:t>
        </w:r>
        <w:r>
          <w:rPr>
            <w:rStyle w:val="Hyperlink"/>
          </w:rPr>
          <w:t xml:space="preserve"> </w:t>
        </w:r>
        <w:r>
          <w:rPr>
            <w:rStyle w:val="Hyperlink"/>
          </w:rPr>
          <w:t xml:space="preserve">Undetermined Cause</w:t>
        </w:r>
        <w:r>
          <w:rPr>
            <w:rStyle w:val="Hyperlink"/>
          </w:rPr>
          <w:t xml:space="preserve"> </w:t>
        </w:r>
        <w:r>
          <w:rPr>
            <w:rStyle w:val="Hyperlink"/>
          </w:rPr>
          <w:t xml:space="preserve">in a</w:t>
        </w:r>
        <w:r>
          <w:rPr>
            <w:rStyle w:val="Hyperlink"/>
          </w:rPr>
          <w:t xml:space="preserve"> </w:t>
        </w:r>
        <w:r>
          <w:rPr>
            <w:rStyle w:val="Hyperlink"/>
          </w:rPr>
          <w:t xml:space="preserve">Chinese Population</w:t>
        </w:r>
      </w:hyperlink>
      <w:r>
        <w:t xml:space="preserve">.</w:t>
      </w:r>
      <w:r>
        <w:t xml:space="preserve"> </w:t>
      </w:r>
      <w:r>
        <w:rPr>
          <w:iCs/>
          <w:i/>
        </w:rPr>
        <w:t xml:space="preserve">The Journal of Clinical Hypertension</w:t>
      </w:r>
      <w:r>
        <w:t xml:space="preserve"> </w:t>
      </w:r>
      <w:r>
        <w:rPr>
          <w:bCs/>
          <w:b/>
        </w:rPr>
        <w:t xml:space="preserve">17</w:t>
      </w:r>
      <w:r>
        <w:t xml:space="preserve">, 902–907 (2015).</w:t>
      </w:r>
    </w:p>
    <w:bookmarkEnd w:id="40"/>
    <w:bookmarkStart w:id="42" w:name="ref-liu2018"/>
    <w:p>
      <w:pPr>
        <w:pStyle w:val="Bibliography"/>
      </w:pPr>
      <w:r>
        <w:t xml:space="preserve">8.</w:t>
      </w:r>
      <w:r>
        <w:t xml:space="preserve"> </w:t>
      </w:r>
      <w:r>
        <w:t xml:space="preserve">	</w:t>
      </w:r>
      <w:r>
        <w:t xml:space="preserve">Liu, K.</w:t>
      </w:r>
      <w:r>
        <w:t xml:space="preserve"> </w:t>
      </w:r>
      <w:r>
        <w:rPr>
          <w:iCs/>
          <w:i/>
        </w:rPr>
        <w:t xml:space="preserve">et al.</w:t>
      </w:r>
      <w:r>
        <w:t xml:space="preserve"> </w:t>
      </w:r>
      <w:hyperlink r:id="rId41">
        <w:r>
          <w:rPr>
            <w:rStyle w:val="Hyperlink"/>
          </w:rPr>
          <w:t xml:space="preserve">Analysis of the genes involved in</w:t>
        </w:r>
        <w:r>
          <w:rPr>
            <w:rStyle w:val="Hyperlink"/>
          </w:rPr>
          <w:t xml:space="preserve"> </w:t>
        </w:r>
        <w:r>
          <w:rPr>
            <w:rStyle w:val="Hyperlink"/>
          </w:rPr>
          <w:t xml:space="preserve">Mendelian</w:t>
        </w:r>
        <w:r>
          <w:rPr>
            <w:rStyle w:val="Hyperlink"/>
          </w:rPr>
          <w:t xml:space="preserve"> </w:t>
        </w:r>
        <w:r>
          <w:rPr>
            <w:rStyle w:val="Hyperlink"/>
          </w:rPr>
          <w:t xml:space="preserve">forms of low-renin hypertension in</w:t>
        </w:r>
        <w:r>
          <w:rPr>
            <w:rStyle w:val="Hyperlink"/>
          </w:rPr>
          <w:t xml:space="preserve"> </w:t>
        </w:r>
        <w:r>
          <w:rPr>
            <w:rStyle w:val="Hyperlink"/>
          </w:rPr>
          <w:t xml:space="preserve">Chinese</w:t>
        </w:r>
        <w:r>
          <w:rPr>
            <w:rStyle w:val="Hyperlink"/>
          </w:rPr>
          <w:t xml:space="preserve"> </w:t>
        </w:r>
        <w:r>
          <w:rPr>
            <w:rStyle w:val="Hyperlink"/>
          </w:rPr>
          <w:t xml:space="preserve">early-onset hypertensive patients</w:t>
        </w:r>
      </w:hyperlink>
      <w:r>
        <w:t xml:space="preserve">.</w:t>
      </w:r>
      <w:r>
        <w:t xml:space="preserve"> </w:t>
      </w:r>
      <w:r>
        <w:rPr>
          <w:iCs/>
          <w:i/>
        </w:rPr>
        <w:t xml:space="preserve">Journal of Hypertension</w:t>
      </w:r>
      <w:r>
        <w:t xml:space="preserve"> </w:t>
      </w:r>
      <w:r>
        <w:rPr>
          <w:bCs/>
          <w:b/>
        </w:rPr>
        <w:t xml:space="preserve">36</w:t>
      </w:r>
      <w:r>
        <w:t xml:space="preserve">, (2018).</w:t>
      </w:r>
    </w:p>
    <w:bookmarkEnd w:id="42"/>
    <w:bookmarkStart w:id="44" w:name="ref-yang2014"/>
    <w:p>
      <w:pPr>
        <w:pStyle w:val="Bibliography"/>
      </w:pPr>
      <w:r>
        <w:t xml:space="preserve">9.</w:t>
      </w:r>
      <w:r>
        <w:t xml:space="preserve"> </w:t>
      </w:r>
      <w:r>
        <w:t xml:space="preserve">	</w:t>
      </w:r>
      <w:r>
        <w:t xml:space="preserve">Yang, K.-Q., Xiao, Y., Tian, T., Gao, L.-G. &amp; Zhou, X.-L.</w:t>
      </w:r>
      <w:r>
        <w:t xml:space="preserve"> </w:t>
      </w:r>
      <w:hyperlink r:id="rId43">
        <w:r>
          <w:rPr>
            <w:rStyle w:val="Hyperlink"/>
          </w:rPr>
          <w:t xml:space="preserve">Molecular genetics of</w:t>
        </w:r>
        <w:r>
          <w:rPr>
            <w:rStyle w:val="Hyperlink"/>
          </w:rPr>
          <w:t xml:space="preserve"> </w:t>
        </w:r>
        <w:r>
          <w:rPr>
            <w:rStyle w:val="Hyperlink"/>
          </w:rPr>
          <w:t xml:space="preserve">Liddle</w:t>
        </w:r>
        <w:r>
          <w:rPr>
            <w:rStyle w:val="Hyperlink"/>
          </w:rPr>
          <w:t xml:space="preserve">’s syndrome</w:t>
        </w:r>
      </w:hyperlink>
      <w:r>
        <w:t xml:space="preserve">.</w:t>
      </w:r>
      <w:r>
        <w:t xml:space="preserve"> </w:t>
      </w:r>
      <w:r>
        <w:rPr>
          <w:iCs/>
          <w:i/>
        </w:rPr>
        <w:t xml:space="preserve">Clinica Chimica Acta</w:t>
      </w:r>
      <w:r>
        <w:t xml:space="preserve"> </w:t>
      </w:r>
      <w:r>
        <w:rPr>
          <w:bCs/>
          <w:b/>
        </w:rPr>
        <w:t xml:space="preserve">436</w:t>
      </w:r>
      <w:r>
        <w:t xml:space="preserve">, 202–206 (2014).</w:t>
      </w:r>
    </w:p>
    <w:bookmarkEnd w:id="44"/>
    <w:bookmarkStart w:id="46" w:name="ref-butterworth2009"/>
    <w:p>
      <w:pPr>
        <w:pStyle w:val="Bibliography"/>
      </w:pPr>
      <w:r>
        <w:t xml:space="preserve">10.</w:t>
      </w:r>
      <w:r>
        <w:t xml:space="preserve"> </w:t>
      </w:r>
      <w:r>
        <w:t xml:space="preserve">	</w:t>
      </w:r>
      <w:r>
        <w:t xml:space="preserve">Butterworth, M. B., Edinger, R. S., Frizzell, R. A. &amp; Johnson, J. P.</w:t>
      </w:r>
      <w:r>
        <w:t xml:space="preserve"> </w:t>
      </w:r>
      <w:hyperlink r:id="rId45">
        <w:r>
          <w:rPr>
            <w:rStyle w:val="Hyperlink"/>
          </w:rPr>
          <w:t xml:space="preserve">Regulation of the epithelial sodium channel by membrane trafficking</w:t>
        </w:r>
      </w:hyperlink>
      <w:r>
        <w:t xml:space="preserve">.</w:t>
      </w:r>
      <w:r>
        <w:t xml:space="preserve"> </w:t>
      </w:r>
      <w:r>
        <w:rPr>
          <w:iCs/>
          <w:i/>
        </w:rPr>
        <w:t xml:space="preserve">American Journal of Physiology-Renal Physiology</w:t>
      </w:r>
      <w:r>
        <w:t xml:space="preserve"> </w:t>
      </w:r>
      <w:r>
        <w:rPr>
          <w:bCs/>
          <w:b/>
        </w:rPr>
        <w:t xml:space="preserve">296</w:t>
      </w:r>
      <w:r>
        <w:t xml:space="preserve">, F10–F24 (2009).</w:t>
      </w:r>
    </w:p>
    <w:bookmarkEnd w:id="46"/>
    <w:bookmarkStart w:id="48" w:name="ref-schild1995"/>
    <w:p>
      <w:pPr>
        <w:pStyle w:val="Bibliography"/>
      </w:pPr>
      <w:r>
        <w:t xml:space="preserve">11.</w:t>
      </w:r>
      <w:r>
        <w:t xml:space="preserve"> </w:t>
      </w:r>
      <w:r>
        <w:t xml:space="preserve">	</w:t>
      </w:r>
      <w:r>
        <w:t xml:space="preserve">Schild, L.</w:t>
      </w:r>
      <w:r>
        <w:t xml:space="preserve"> </w:t>
      </w:r>
      <w:r>
        <w:rPr>
          <w:iCs/>
          <w:i/>
        </w:rPr>
        <w:t xml:space="preserve">et al.</w:t>
      </w:r>
      <w:r>
        <w:t xml:space="preserve"> </w:t>
      </w:r>
      <w:hyperlink r:id="rId47">
        <w:r>
          <w:rPr>
            <w:rStyle w:val="Hyperlink"/>
          </w:rPr>
          <w:t xml:space="preserve">A mutation in the epithelial sodium channel causing</w:t>
        </w:r>
        <w:r>
          <w:rPr>
            <w:rStyle w:val="Hyperlink"/>
          </w:rPr>
          <w:t xml:space="preserve"> </w:t>
        </w:r>
        <w:r>
          <w:rPr>
            <w:rStyle w:val="Hyperlink"/>
          </w:rPr>
          <w:t xml:space="preserve">Liddle</w:t>
        </w:r>
        <w:r>
          <w:rPr>
            <w:rStyle w:val="Hyperlink"/>
          </w:rPr>
          <w:t xml:space="preserve"> </w:t>
        </w:r>
        <w:r>
          <w:rPr>
            <w:rStyle w:val="Hyperlink"/>
          </w:rPr>
          <w:t xml:space="preserve">disease increases channel activity in the</w:t>
        </w:r>
        <w:r>
          <w:rPr>
            <w:rStyle w:val="Hyperlink"/>
          </w:rPr>
          <w:t xml:space="preserve"> </w:t>
        </w:r>
        <w:r>
          <w:rPr>
            <w:rStyle w:val="Hyperlink"/>
          </w:rPr>
          <w:t xml:space="preserve">Xenopus</w:t>
        </w:r>
        <w:r>
          <w:rPr>
            <w:rStyle w:val="Hyperlink"/>
          </w:rPr>
          <w:t xml:space="preserve"> </w:t>
        </w:r>
        <w:r>
          <w:rPr>
            <w:rStyle w:val="Hyperlink"/>
          </w:rPr>
          <w:t xml:space="preserve">laevis oocyte expression system.</w:t>
        </w:r>
      </w:hyperlink>
      <w:r>
        <w:t xml:space="preserve"> </w:t>
      </w:r>
      <w:r>
        <w:rPr>
          <w:iCs/>
          <w:i/>
        </w:rPr>
        <w:t xml:space="preserve">Proceedings of the National Academy of Sciences</w:t>
      </w:r>
      <w:r>
        <w:t xml:space="preserve"> </w:t>
      </w:r>
      <w:r>
        <w:rPr>
          <w:bCs/>
          <w:b/>
        </w:rPr>
        <w:t xml:space="preserve">92</w:t>
      </w:r>
      <w:r>
        <w:t xml:space="preserve">, 5699–5703 (1995).</w:t>
      </w:r>
    </w:p>
    <w:bookmarkEnd w:id="48"/>
    <w:bookmarkStart w:id="50" w:name="ref-abriel1999"/>
    <w:p>
      <w:pPr>
        <w:pStyle w:val="Bibliography"/>
      </w:pPr>
      <w:r>
        <w:t xml:space="preserve">12.</w:t>
      </w:r>
      <w:r>
        <w:t xml:space="preserve"> </w:t>
      </w:r>
      <w:r>
        <w:t xml:space="preserve">	</w:t>
      </w:r>
      <w:r>
        <w:t xml:space="preserve">Abriel, H.</w:t>
      </w:r>
      <w:r>
        <w:t xml:space="preserve"> </w:t>
      </w:r>
      <w:r>
        <w:rPr>
          <w:iCs/>
          <w:i/>
        </w:rPr>
        <w:t xml:space="preserve">et al.</w:t>
      </w:r>
      <w:r>
        <w:t xml:space="preserve"> </w:t>
      </w:r>
      <w:hyperlink r:id="rId49">
        <w:r>
          <w:rPr>
            <w:rStyle w:val="Hyperlink"/>
          </w:rPr>
          <w:t xml:space="preserve">Defective regulation of the epithelial</w:t>
        </w:r>
        <w:r>
          <w:rPr>
            <w:rStyle w:val="Hyperlink"/>
          </w:rPr>
          <w:t xml:space="preserve"> </w:t>
        </w:r>
        <w:r>
          <w:rPr>
            <w:rStyle w:val="Hyperlink"/>
          </w:rPr>
          <w:t xml:space="preserve">Na</w:t>
        </w:r>
        <w:r>
          <w:rPr>
            <w:rStyle w:val="Hyperlink"/>
          </w:rPr>
          <w:t xml:space="preserve">+ channel by</w:t>
        </w:r>
        <w:r>
          <w:rPr>
            <w:rStyle w:val="Hyperlink"/>
          </w:rPr>
          <w:t xml:space="preserve"> </w:t>
        </w:r>
        <w:r>
          <w:rPr>
            <w:rStyle w:val="Hyperlink"/>
          </w:rPr>
          <w:t xml:space="preserve">Nedd4</w:t>
        </w:r>
        <w:r>
          <w:rPr>
            <w:rStyle w:val="Hyperlink"/>
          </w:rPr>
          <w:t xml:space="preserve"> </w:t>
        </w:r>
        <w:r>
          <w:rPr>
            <w:rStyle w:val="Hyperlink"/>
          </w:rPr>
          <w:t xml:space="preserve">in</w:t>
        </w:r>
        <w:r>
          <w:rPr>
            <w:rStyle w:val="Hyperlink"/>
          </w:rPr>
          <w:t xml:space="preserve"> </w:t>
        </w:r>
        <w:r>
          <w:rPr>
            <w:rStyle w:val="Hyperlink"/>
          </w:rPr>
          <w:t xml:space="preserve">Liddle</w:t>
        </w:r>
        <w:r>
          <w:rPr>
            <w:rStyle w:val="Hyperlink"/>
          </w:rPr>
          <w:t xml:space="preserve">’s syndrome</w:t>
        </w:r>
      </w:hyperlink>
      <w:r>
        <w:t xml:space="preserve">.</w:t>
      </w:r>
      <w:r>
        <w:t xml:space="preserve"> </w:t>
      </w:r>
      <w:r>
        <w:rPr>
          <w:iCs/>
          <w:i/>
        </w:rPr>
        <w:t xml:space="preserve">J Clin Invest</w:t>
      </w:r>
      <w:r>
        <w:t xml:space="preserve"> </w:t>
      </w:r>
      <w:r>
        <w:rPr>
          <w:bCs/>
          <w:b/>
        </w:rPr>
        <w:t xml:space="preserve">103</w:t>
      </w:r>
      <w:r>
        <w:t xml:space="preserve">, 667–673 (1999).</w:t>
      </w:r>
    </w:p>
    <w:bookmarkEnd w:id="50"/>
    <w:bookmarkStart w:id="52" w:name="ref-lu2007"/>
    <w:p>
      <w:pPr>
        <w:pStyle w:val="Bibliography"/>
      </w:pPr>
      <w:r>
        <w:t xml:space="preserve">13.</w:t>
      </w:r>
      <w:r>
        <w:t xml:space="preserve"> </w:t>
      </w:r>
      <w:r>
        <w:t xml:space="preserve">	</w:t>
      </w:r>
      <w:r>
        <w:t xml:space="preserve">Lu, C., Pribanic, S., Debonneville, A., Jiang, C. &amp; Rotin, D.</w:t>
      </w:r>
      <w:r>
        <w:t xml:space="preserve"> </w:t>
      </w:r>
      <w:hyperlink r:id="rId51">
        <w:r>
          <w:rPr>
            <w:rStyle w:val="Hyperlink"/>
          </w:rPr>
          <w:t xml:space="preserve">The</w:t>
        </w:r>
        <w:r>
          <w:rPr>
            <w:rStyle w:val="Hyperlink"/>
          </w:rPr>
          <w:t xml:space="preserve"> </w:t>
        </w:r>
        <w:r>
          <w:rPr>
            <w:rStyle w:val="Hyperlink"/>
          </w:rPr>
          <w:t xml:space="preserve">PY Motif</w:t>
        </w:r>
        <w:r>
          <w:rPr>
            <w:rStyle w:val="Hyperlink"/>
          </w:rPr>
          <w:t xml:space="preserve"> </w:t>
        </w:r>
        <w:r>
          <w:rPr>
            <w:rStyle w:val="Hyperlink"/>
          </w:rPr>
          <w:t xml:space="preserve">of</w:t>
        </w:r>
        <w:r>
          <w:rPr>
            <w:rStyle w:val="Hyperlink"/>
          </w:rPr>
          <w:t xml:space="preserve"> </w:t>
        </w:r>
        <w:r>
          <w:rPr>
            <w:rStyle w:val="Hyperlink"/>
          </w:rPr>
          <w:t xml:space="preserve">ENaC</w:t>
        </w:r>
        <w:r>
          <w:rPr>
            <w:rStyle w:val="Hyperlink"/>
          </w:rPr>
          <w:t xml:space="preserve">,</w:t>
        </w:r>
        <w:r>
          <w:rPr>
            <w:rStyle w:val="Hyperlink"/>
          </w:rPr>
          <w:t xml:space="preserve"> </w:t>
        </w:r>
        <w:r>
          <w:rPr>
            <w:rStyle w:val="Hyperlink"/>
          </w:rPr>
          <w:t xml:space="preserve">Mutated</w:t>
        </w:r>
        <w:r>
          <w:rPr>
            <w:rStyle w:val="Hyperlink"/>
          </w:rPr>
          <w:t xml:space="preserve"> </w:t>
        </w:r>
        <w:r>
          <w:rPr>
            <w:rStyle w:val="Hyperlink"/>
          </w:rPr>
          <w:t xml:space="preserve">in</w:t>
        </w:r>
        <w:r>
          <w:rPr>
            <w:rStyle w:val="Hyperlink"/>
          </w:rPr>
          <w:t xml:space="preserve"> </w:t>
        </w:r>
        <w:r>
          <w:rPr>
            <w:rStyle w:val="Hyperlink"/>
          </w:rPr>
          <w:t xml:space="preserve">Liddle Syndrome</w:t>
        </w:r>
        <w:r>
          <w:rPr>
            <w:rStyle w:val="Hyperlink"/>
          </w:rPr>
          <w:t xml:space="preserve">,</w:t>
        </w:r>
        <w:r>
          <w:rPr>
            <w:rStyle w:val="Hyperlink"/>
          </w:rPr>
          <w:t xml:space="preserve"> </w:t>
        </w:r>
        <w:r>
          <w:rPr>
            <w:rStyle w:val="Hyperlink"/>
          </w:rPr>
          <w:t xml:space="preserve">Regulates Channel Internalization</w:t>
        </w:r>
        <w:r>
          <w:rPr>
            <w:rStyle w:val="Hyperlink"/>
          </w:rPr>
          <w:t xml:space="preserve">,</w:t>
        </w:r>
        <w:r>
          <w:rPr>
            <w:rStyle w:val="Hyperlink"/>
          </w:rPr>
          <w:t xml:space="preserve"> </w:t>
        </w:r>
        <w:r>
          <w:rPr>
            <w:rStyle w:val="Hyperlink"/>
          </w:rPr>
          <w:t xml:space="preserve">Sorting</w:t>
        </w:r>
        <w:r>
          <w:rPr>
            <w:rStyle w:val="Hyperlink"/>
          </w:rPr>
          <w:t xml:space="preserve"> </w:t>
        </w:r>
        <w:r>
          <w:rPr>
            <w:rStyle w:val="Hyperlink"/>
          </w:rPr>
          <w:t xml:space="preserve">and</w:t>
        </w:r>
        <w:r>
          <w:rPr>
            <w:rStyle w:val="Hyperlink"/>
          </w:rPr>
          <w:t xml:space="preserve"> </w:t>
        </w:r>
        <w:r>
          <w:rPr>
            <w:rStyle w:val="Hyperlink"/>
          </w:rPr>
          <w:t xml:space="preserve">Mobilization</w:t>
        </w:r>
        <w:r>
          <w:rPr>
            <w:rStyle w:val="Hyperlink"/>
          </w:rPr>
          <w:t xml:space="preserve"> </w:t>
        </w:r>
        <w:r>
          <w:rPr>
            <w:rStyle w:val="Hyperlink"/>
          </w:rPr>
          <w:t xml:space="preserve">from</w:t>
        </w:r>
        <w:r>
          <w:rPr>
            <w:rStyle w:val="Hyperlink"/>
          </w:rPr>
          <w:t xml:space="preserve"> </w:t>
        </w:r>
        <w:r>
          <w:rPr>
            <w:rStyle w:val="Hyperlink"/>
          </w:rPr>
          <w:t xml:space="preserve">Subapical Pool</w:t>
        </w:r>
      </w:hyperlink>
      <w:r>
        <w:t xml:space="preserve">.</w:t>
      </w:r>
      <w:r>
        <w:t xml:space="preserve"> </w:t>
      </w:r>
      <w:r>
        <w:rPr>
          <w:iCs/>
          <w:i/>
        </w:rPr>
        <w:t xml:space="preserve">Traffic</w:t>
      </w:r>
      <w:r>
        <w:t xml:space="preserve"> </w:t>
      </w:r>
      <w:r>
        <w:rPr>
          <w:bCs/>
          <w:b/>
        </w:rPr>
        <w:t xml:space="preserve">8</w:t>
      </w:r>
      <w:r>
        <w:t xml:space="preserve">, 1246–1264 (2007).</w:t>
      </w:r>
    </w:p>
    <w:bookmarkEnd w:id="52"/>
    <w:bookmarkStart w:id="54" w:name="ref-cheek1958"/>
    <w:p>
      <w:pPr>
        <w:pStyle w:val="Bibliography"/>
      </w:pPr>
      <w:r>
        <w:t xml:space="preserve">14.</w:t>
      </w:r>
      <w:r>
        <w:t xml:space="preserve"> </w:t>
      </w:r>
      <w:r>
        <w:t xml:space="preserve">	</w:t>
      </w:r>
      <w:r>
        <w:t xml:space="preserve">CHEEK, D. B. &amp; PERRY, J. W.</w:t>
      </w:r>
      <w:r>
        <w:t xml:space="preserve"> </w:t>
      </w:r>
      <w:hyperlink r:id="rId53">
        <w:r>
          <w:rPr>
            <w:rStyle w:val="Hyperlink"/>
          </w:rPr>
          <w:t xml:space="preserve">A salt wasting syndrome in infancy.</w:t>
        </w:r>
      </w:hyperlink>
      <w:r>
        <w:t xml:space="preserve"> </w:t>
      </w:r>
      <w:r>
        <w:rPr>
          <w:iCs/>
          <w:i/>
        </w:rPr>
        <w:t xml:space="preserve">Arch Dis Child</w:t>
      </w:r>
      <w:r>
        <w:t xml:space="preserve"> </w:t>
      </w:r>
      <w:r>
        <w:rPr>
          <w:bCs/>
          <w:b/>
        </w:rPr>
        <w:t xml:space="preserve">33</w:t>
      </w:r>
      <w:r>
        <w:t xml:space="preserve">, 252–256 (1958).</w:t>
      </w:r>
    </w:p>
    <w:bookmarkEnd w:id="54"/>
    <w:bookmarkStart w:id="56" w:name="ref-geller1998"/>
    <w:p>
      <w:pPr>
        <w:pStyle w:val="Bibliography"/>
      </w:pPr>
      <w:r>
        <w:t xml:space="preserve">15.</w:t>
      </w:r>
      <w:r>
        <w:t xml:space="preserve"> </w:t>
      </w:r>
      <w:r>
        <w:t xml:space="preserve">	</w:t>
      </w:r>
      <w:r>
        <w:t xml:space="preserve">Geller, D. S.</w:t>
      </w:r>
      <w:r>
        <w:t xml:space="preserve"> </w:t>
      </w:r>
      <w:r>
        <w:rPr>
          <w:iCs/>
          <w:i/>
        </w:rPr>
        <w:t xml:space="preserve">et al.</w:t>
      </w:r>
      <w:r>
        <w:t xml:space="preserve"> </w:t>
      </w:r>
      <w:hyperlink r:id="rId55">
        <w:r>
          <w:rPr>
            <w:rStyle w:val="Hyperlink"/>
          </w:rPr>
          <w:t xml:space="preserve">Mutations in the mineralocorticoid receptor gene cause autosomal dominant pseudohypoaldosteronism type</w:t>
        </w:r>
        <w:r>
          <w:rPr>
            <w:rStyle w:val="Hyperlink"/>
          </w:rPr>
          <w:t xml:space="preserve"> </w:t>
        </w:r>
        <w:r>
          <w:rPr>
            <w:rStyle w:val="Hyperlink"/>
          </w:rPr>
          <w:t xml:space="preserve">I</w:t>
        </w:r>
      </w:hyperlink>
      <w:r>
        <w:t xml:space="preserve">.</w:t>
      </w:r>
      <w:r>
        <w:t xml:space="preserve"> </w:t>
      </w:r>
      <w:r>
        <w:rPr>
          <w:iCs/>
          <w:i/>
        </w:rPr>
        <w:t xml:space="preserve">Nature Genetics</w:t>
      </w:r>
      <w:r>
        <w:t xml:space="preserve"> </w:t>
      </w:r>
      <w:r>
        <w:rPr>
          <w:bCs/>
          <w:b/>
        </w:rPr>
        <w:t xml:space="preserve">19</w:t>
      </w:r>
      <w:r>
        <w:t xml:space="preserve">, 279–281 (1998).</w:t>
      </w:r>
    </w:p>
    <w:bookmarkEnd w:id="56"/>
    <w:bookmarkStart w:id="58" w:name="ref-chang1996"/>
    <w:p>
      <w:pPr>
        <w:pStyle w:val="Bibliography"/>
      </w:pPr>
      <w:r>
        <w:t xml:space="preserve">16.</w:t>
      </w:r>
      <w:r>
        <w:t xml:space="preserve"> </w:t>
      </w:r>
      <w:r>
        <w:t xml:space="preserve">	</w:t>
      </w:r>
      <w:r>
        <w:t xml:space="preserve">Chang, S. S.</w:t>
      </w:r>
      <w:r>
        <w:t xml:space="preserve"> </w:t>
      </w:r>
      <w:r>
        <w:rPr>
          <w:iCs/>
          <w:i/>
        </w:rPr>
        <w:t xml:space="preserve">et al.</w:t>
      </w:r>
      <w:r>
        <w:t xml:space="preserve"> </w:t>
      </w:r>
      <w:hyperlink r:id="rId57">
        <w:r>
          <w:rPr>
            <w:rStyle w:val="Hyperlink"/>
          </w:rPr>
          <w:t xml:space="preserve">Mutations in subunits of the epithelial sodium channel cause salt wasting with hyperkalaemic acidosis, pseudohypoaldosteronism type 1</w:t>
        </w:r>
      </w:hyperlink>
      <w:r>
        <w:t xml:space="preserve">.</w:t>
      </w:r>
      <w:r>
        <w:t xml:space="preserve"> </w:t>
      </w:r>
      <w:r>
        <w:rPr>
          <w:iCs/>
          <w:i/>
        </w:rPr>
        <w:t xml:space="preserve">Nature Genetics</w:t>
      </w:r>
      <w:r>
        <w:t xml:space="preserve"> </w:t>
      </w:r>
      <w:r>
        <w:rPr>
          <w:bCs/>
          <w:b/>
        </w:rPr>
        <w:t xml:space="preserve">12</w:t>
      </w:r>
      <w:r>
        <w:t xml:space="preserve">, 248–253 (1996).</w:t>
      </w:r>
    </w:p>
    <w:bookmarkEnd w:id="58"/>
    <w:bookmarkStart w:id="60" w:name="ref-edelheit2005"/>
    <w:p>
      <w:pPr>
        <w:pStyle w:val="Bibliography"/>
      </w:pPr>
      <w:r>
        <w:t xml:space="preserve">17.</w:t>
      </w:r>
      <w:r>
        <w:t xml:space="preserve"> </w:t>
      </w:r>
      <w:r>
        <w:t xml:space="preserve">	</w:t>
      </w:r>
      <w:r>
        <w:t xml:space="preserve">Edelheit, O.</w:t>
      </w:r>
      <w:r>
        <w:t xml:space="preserve"> </w:t>
      </w:r>
      <w:r>
        <w:rPr>
          <w:iCs/>
          <w:i/>
        </w:rPr>
        <w:t xml:space="preserve">et al.</w:t>
      </w:r>
      <w:r>
        <w:t xml:space="preserve"> </w:t>
      </w:r>
      <w:hyperlink r:id="rId59">
        <w:r>
          <w:rPr>
            <w:rStyle w:val="Hyperlink"/>
          </w:rPr>
          <w:t xml:space="preserve">Novel mutations in epithelial sodium channel (</w:t>
        </w:r>
        <w:r>
          <w:rPr>
            <w:rStyle w:val="Hyperlink"/>
          </w:rPr>
          <w:t xml:space="preserve">ENaC</w:t>
        </w:r>
        <w:r>
          <w:rPr>
            <w:rStyle w:val="Hyperlink"/>
          </w:rPr>
          <w:t xml:space="preserve">) subunit genes and phenotypic expression of multisystem pseudohypoaldosteronism</w:t>
        </w:r>
      </w:hyperlink>
      <w:r>
        <w:t xml:space="preserve">.</w:t>
      </w:r>
      <w:r>
        <w:t xml:space="preserve"> </w:t>
      </w:r>
      <w:r>
        <w:rPr>
          <w:iCs/>
          <w:i/>
        </w:rPr>
        <w:t xml:space="preserve">Clinical Endocrinology</w:t>
      </w:r>
      <w:r>
        <w:t xml:space="preserve"> </w:t>
      </w:r>
      <w:r>
        <w:rPr>
          <w:bCs/>
          <w:b/>
        </w:rPr>
        <w:t xml:space="preserve">62</w:t>
      </w:r>
      <w:r>
        <w:t xml:space="preserve">, 547–553 (2005).</w:t>
      </w:r>
    </w:p>
    <w:bookmarkEnd w:id="60"/>
    <w:bookmarkStart w:id="62" w:name="ref-schaedel1999"/>
    <w:p>
      <w:pPr>
        <w:pStyle w:val="Bibliography"/>
      </w:pPr>
      <w:r>
        <w:t xml:space="preserve">18.</w:t>
      </w:r>
      <w:r>
        <w:t xml:space="preserve"> </w:t>
      </w:r>
      <w:r>
        <w:t xml:space="preserve">	</w:t>
      </w:r>
      <w:r>
        <w:t xml:space="preserve">Schaedel, C.</w:t>
      </w:r>
      <w:r>
        <w:t xml:space="preserve"> </w:t>
      </w:r>
      <w:r>
        <w:rPr>
          <w:iCs/>
          <w:i/>
        </w:rPr>
        <w:t xml:space="preserve">et al.</w:t>
      </w:r>
      <w:r>
        <w:t xml:space="preserve"> </w:t>
      </w:r>
      <w:hyperlink r:id="rId61">
        <w:r>
          <w:rPr>
            <w:rStyle w:val="Hyperlink"/>
          </w:rPr>
          <w:t xml:space="preserve">Lung symptoms in pseudohypoaldosteronism type 1 are associated with deficiency of the α-subunit of the epithelial sodium channel</w:t>
        </w:r>
      </w:hyperlink>
      <w:r>
        <w:t xml:space="preserve">.</w:t>
      </w:r>
      <w:r>
        <w:t xml:space="preserve"> </w:t>
      </w:r>
      <w:r>
        <w:rPr>
          <w:iCs/>
          <w:i/>
        </w:rPr>
        <w:t xml:space="preserve">The Journal of Pediatrics</w:t>
      </w:r>
      <w:r>
        <w:t xml:space="preserve"> </w:t>
      </w:r>
      <w:r>
        <w:rPr>
          <w:bCs/>
          <w:b/>
        </w:rPr>
        <w:t xml:space="preserve">135</w:t>
      </w:r>
      <w:r>
        <w:t xml:space="preserve">, 739–745 (1999).</w:t>
      </w:r>
    </w:p>
    <w:bookmarkEnd w:id="62"/>
    <w:bookmarkEnd w:id="63"/>
    <w:bookmarkEnd w:id="64"/>
    <w:sectPr w:rsidR="00AA6DA8" w:rsidSect="003D67DD">
      <w:footerReference r:id="rId9" w:type="even"/>
      <w:footerReference r:id="rId10" w:type="default"/>
      <w:pgSz w:h="15840" w:w="12240"/>
      <w:pgMar w:bottom="1440" w:footer="720" w:gutter="0" w:header="720" w:left="2880" w:right="2880" w:top="1440"/>
      <w:pgNumType w:chapSep="emDash" w:chapStyle="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ter">
    <w:panose1 w:val="02000503060000020004"/>
    <w:charset w:val="00"/>
    <w:family w:val="auto"/>
    <w:notTrueType/>
    <w:pitch w:val="variable"/>
    <w:sig w:usb0="00000003" w:usb1="00000000" w:usb2="00000000" w:usb3="00000000" w:csb0="00000001" w:csb1="00000000"/>
  </w:font>
  <w:font w:name="Charter Roman">
    <w:altName w:val="CHARTER ROMAN"/>
    <w:panose1 w:val="02040503050506020203"/>
    <w:charset w:val="00"/>
    <w:family w:val="roman"/>
    <w:notTrueType/>
    <w:pitch w:val="variable"/>
    <w:sig w:usb0="800000AF" w:usb1="1000204A" w:usb2="00000000" w:usb3="00000000" w:csb0="00000011" w:csb1="00000000"/>
  </w:font>
  <w:font w:name="JetBrains Mono NL">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539356"/>
      <w:docPartObj>
        <w:docPartGallery w:val="Page Numbers (Bottom of Page)"/>
        <w:docPartUnique/>
      </w:docPartObj>
    </w:sdtPr>
    <w:sdtContent>
      <w:p w14:paraId="735D549D" w14:textId="7C8AE2B3" w:rsidR="003D67DD" w:rsidRDefault="003D67DD" w:rsidP="00D169B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C4C19A" w14:textId="77777777" w:rsidR="003D67DD" w:rsidRDefault="003D67DD" w:rsidP="003D67D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8139932"/>
      <w:docPartObj>
        <w:docPartGallery w:val="Page Numbers (Bottom of Page)"/>
        <w:docPartUnique/>
      </w:docPartObj>
    </w:sdtPr>
    <w:sdtContent>
      <w:p w14:paraId="2C6E0C1D" w14:textId="2BF1AD4A" w:rsidR="003D67DD" w:rsidRDefault="003D67DD" w:rsidP="00D169B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8349B2" w14:textId="03B9E4C7" w:rsidR="003D67DD" w:rsidRPr="003D67DD" w:rsidRDefault="003D67DD" w:rsidP="003D67DD">
    <w:pPr>
      <w:pStyle w:val="Footer"/>
      <w:ind w:right="360" w:firstLine="360"/>
      <w:jc w:val="center"/>
      <w:rPr>
        <w:rFonts w:ascii="Charter Roman" w:hAnsi="Charter Roman"/>
        <w:color w:val="000000" w:themeColor="text1"/>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5E458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3BA02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EF8DC0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1FEACA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3847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2E45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AE2DB8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E9EDE9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0EEA37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C64BD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39009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950596" w:numId="1">
    <w:abstractNumId w:val="10"/>
  </w:num>
  <w:num w16cid:durableId="115948305" w:numId="2">
    <w:abstractNumId w:val="0"/>
  </w:num>
  <w:num w16cid:durableId="85925425" w:numId="3">
    <w:abstractNumId w:val="1"/>
  </w:num>
  <w:num w16cid:durableId="2121608627" w:numId="4">
    <w:abstractNumId w:val="2"/>
  </w:num>
  <w:num w16cid:durableId="283117347" w:numId="5">
    <w:abstractNumId w:val="3"/>
  </w:num>
  <w:num w16cid:durableId="127671844" w:numId="6">
    <w:abstractNumId w:val="8"/>
  </w:num>
  <w:num w16cid:durableId="871502061" w:numId="7">
    <w:abstractNumId w:val="4"/>
  </w:num>
  <w:num w16cid:durableId="147675134" w:numId="8">
    <w:abstractNumId w:val="5"/>
  </w:num>
  <w:num w16cid:durableId="148837371" w:numId="9">
    <w:abstractNumId w:val="6"/>
  </w:num>
  <w:num w16cid:durableId="1093286184" w:numId="10">
    <w:abstractNumId w:val="7"/>
  </w:num>
  <w:num w16cid:durableId="1907105533" w:numId="11">
    <w:abstractNumId w:val="9"/>
  </w:num>
  <w:num w16cid:durableId="651182515" w:numId="12">
    <w:abstractNumId w:val="0"/>
  </w:num>
  <w:num w16cid:durableId="2077435036" w:numId="13">
    <w:abstractNumId w:val="1"/>
  </w:num>
  <w:num w16cid:durableId="1198658553" w:numId="14">
    <w:abstractNumId w:val="2"/>
  </w:num>
  <w:num w16cid:durableId="1940524752" w:numId="15">
    <w:abstractNumId w:val="3"/>
  </w:num>
  <w:num w16cid:durableId="426779591" w:numId="16">
    <w:abstractNumId w:val="8"/>
  </w:num>
  <w:num w16cid:durableId="1749303816" w:numId="17">
    <w:abstractNumId w:val="4"/>
  </w:num>
  <w:num w16cid:durableId="2123642709" w:numId="18">
    <w:abstractNumId w:val="5"/>
  </w:num>
  <w:num w16cid:durableId="1916666341" w:numId="19">
    <w:abstractNumId w:val="6"/>
  </w:num>
  <w:num w16cid:durableId="859003696" w:numId="20">
    <w:abstractNumId w:val="7"/>
  </w:num>
  <w:num w16cid:durableId="7029008" w:numId="21">
    <w:abstractNumId w:val="9"/>
  </w:num>
  <w:num w16cid:durableId="1973438346" w:numId="22">
    <w:abstractNumId w:val="0"/>
  </w:num>
  <w:num w16cid:durableId="838076359" w:numId="23">
    <w:abstractNumId w:val="1"/>
  </w:num>
  <w:num w16cid:durableId="884368106" w:numId="24">
    <w:abstractNumId w:val="2"/>
  </w:num>
  <w:num w16cid:durableId="1098871085" w:numId="25">
    <w:abstractNumId w:val="3"/>
  </w:num>
  <w:num w16cid:durableId="1574510243" w:numId="26">
    <w:abstractNumId w:val="8"/>
  </w:num>
  <w:num w16cid:durableId="624238564" w:numId="27">
    <w:abstractNumId w:val="4"/>
  </w:num>
  <w:num w16cid:durableId="1194079972" w:numId="28">
    <w:abstractNumId w:val="5"/>
  </w:num>
  <w:num w16cid:durableId="8069966" w:numId="29">
    <w:abstractNumId w:val="6"/>
  </w:num>
  <w:num w16cid:durableId="775321328" w:numId="30">
    <w:abstractNumId w:val="7"/>
  </w:num>
  <w:num w16cid:durableId="511838180" w:numId="31">
    <w:abstractNumId w:val="9"/>
  </w:num>
  <w:num w16cid:durableId="1375812046" w:numId="32">
    <w:abstractNumId w:val="0"/>
  </w:num>
  <w:num w16cid:durableId="834876473" w:numId="33">
    <w:abstractNumId w:val="1"/>
  </w:num>
  <w:num w16cid:durableId="1092775450" w:numId="34">
    <w:abstractNumId w:val="2"/>
  </w:num>
  <w:num w16cid:durableId="1965888018" w:numId="35">
    <w:abstractNumId w:val="3"/>
  </w:num>
  <w:num w16cid:durableId="285625194" w:numId="36">
    <w:abstractNumId w:val="8"/>
  </w:num>
  <w:num w16cid:durableId="1873952236" w:numId="37">
    <w:abstractNumId w:val="4"/>
  </w:num>
  <w:num w16cid:durableId="1270969753" w:numId="38">
    <w:abstractNumId w:val="5"/>
  </w:num>
  <w:num w16cid:durableId="1540585695" w:numId="39">
    <w:abstractNumId w:val="6"/>
  </w:num>
  <w:num w16cid:durableId="923762158" w:numId="40">
    <w:abstractNumId w:val="7"/>
  </w:num>
  <w:num w16cid:durableId="1406223342" w:numId="41">
    <w:abstractNumId w:val="9"/>
  </w:num>
  <w:num w16cid:durableId="2135444545" w:numId="42">
    <w:abstractNumId w:val="0"/>
  </w:num>
  <w:num w16cid:durableId="1811631142" w:numId="43">
    <w:abstractNumId w:val="1"/>
  </w:num>
  <w:num w16cid:durableId="307520895" w:numId="44">
    <w:abstractNumId w:val="2"/>
  </w:num>
  <w:num w16cid:durableId="323630481" w:numId="45">
    <w:abstractNumId w:val="3"/>
  </w:num>
  <w:num w16cid:durableId="1250894687" w:numId="46">
    <w:abstractNumId w:val="8"/>
  </w:num>
  <w:num w16cid:durableId="1995641890" w:numId="47">
    <w:abstractNumId w:val="4"/>
  </w:num>
  <w:num w16cid:durableId="2071810051" w:numId="48">
    <w:abstractNumId w:val="5"/>
  </w:num>
  <w:num w16cid:durableId="982542541" w:numId="49">
    <w:abstractNumId w:val="6"/>
  </w:num>
  <w:num w16cid:durableId="522548123" w:numId="50">
    <w:abstractNumId w:val="7"/>
  </w:num>
  <w:num w16cid:durableId="282930880" w:numId="51">
    <w:abstractNumId w:val="9"/>
  </w:num>
  <w:num w16cid:durableId="1607039449" w:numId="52">
    <w:abstractNumId w:val="0"/>
  </w:num>
  <w:num w16cid:durableId="717824429" w:numId="53">
    <w:abstractNumId w:val="1"/>
  </w:num>
  <w:num w16cid:durableId="777606667" w:numId="54">
    <w:abstractNumId w:val="2"/>
  </w:num>
  <w:num w16cid:durableId="66660484" w:numId="55">
    <w:abstractNumId w:val="3"/>
  </w:num>
  <w:num w16cid:durableId="1658798631" w:numId="56">
    <w:abstractNumId w:val="8"/>
  </w:num>
  <w:num w16cid:durableId="1863276904" w:numId="57">
    <w:abstractNumId w:val="4"/>
  </w:num>
  <w:num w16cid:durableId="554895248" w:numId="58">
    <w:abstractNumId w:val="5"/>
  </w:num>
  <w:num w16cid:durableId="699626069" w:numId="59">
    <w:abstractNumId w:val="6"/>
  </w:num>
  <w:num w16cid:durableId="688526365" w:numId="60">
    <w:abstractNumId w:val="7"/>
  </w:num>
  <w:num w16cid:durableId="1300837877" w:numId="61">
    <w:abstractNumId w:val="9"/>
  </w:num>
  <w:num w16cid:durableId="1541163937" w:numId="62">
    <w:abstractNumId w:val="0"/>
  </w:num>
  <w:num w16cid:durableId="1004632534" w:numId="63">
    <w:abstractNumId w:val="1"/>
  </w:num>
  <w:num w16cid:durableId="126288133" w:numId="64">
    <w:abstractNumId w:val="2"/>
  </w:num>
  <w:num w16cid:durableId="235482764" w:numId="65">
    <w:abstractNumId w:val="3"/>
  </w:num>
  <w:num w16cid:durableId="2113015004" w:numId="66">
    <w:abstractNumId w:val="8"/>
  </w:num>
  <w:num w16cid:durableId="1769082478" w:numId="67">
    <w:abstractNumId w:val="4"/>
  </w:num>
  <w:num w16cid:durableId="786432784" w:numId="68">
    <w:abstractNumId w:val="5"/>
  </w:num>
  <w:num w16cid:durableId="156574952" w:numId="69">
    <w:abstractNumId w:val="6"/>
  </w:num>
  <w:num w16cid:durableId="548230933" w:numId="70">
    <w:abstractNumId w:val="7"/>
  </w:num>
  <w:num w16cid:durableId="404380439" w:numId="71">
    <w:abstractNumId w:val="9"/>
  </w:num>
  <w:num w16cid:durableId="264970389" w:numId="72">
    <w:abstractNumId w:val="0"/>
  </w:num>
  <w:num w16cid:durableId="224417781" w:numId="73">
    <w:abstractNumId w:val="1"/>
  </w:num>
  <w:num w16cid:durableId="1259370674" w:numId="74">
    <w:abstractNumId w:val="2"/>
  </w:num>
  <w:num w16cid:durableId="1601058964" w:numId="75">
    <w:abstractNumId w:val="3"/>
  </w:num>
  <w:num w16cid:durableId="26225557" w:numId="76">
    <w:abstractNumId w:val="8"/>
  </w:num>
  <w:num w16cid:durableId="199436968" w:numId="77">
    <w:abstractNumId w:val="4"/>
  </w:num>
  <w:num w16cid:durableId="1007440444" w:numId="78">
    <w:abstractNumId w:val="5"/>
  </w:num>
  <w:num w16cid:durableId="1801344286" w:numId="79">
    <w:abstractNumId w:val="6"/>
  </w:num>
  <w:num w16cid:durableId="1430004182" w:numId="80">
    <w:abstractNumId w:val="7"/>
  </w:num>
  <w:num w16cid:durableId="176383932" w:numId="81">
    <w:abstractNumId w:val="9"/>
  </w:num>
  <w:num w16cid:durableId="92286239" w:numId="82">
    <w:abstractNumId w:val="0"/>
  </w:num>
  <w:num w16cid:durableId="1724911317" w:numId="83">
    <w:abstractNumId w:val="1"/>
  </w:num>
  <w:num w16cid:durableId="2024286297" w:numId="84">
    <w:abstractNumId w:val="2"/>
  </w:num>
  <w:num w16cid:durableId="1871184338" w:numId="85">
    <w:abstractNumId w:val="3"/>
  </w:num>
  <w:num w16cid:durableId="1062362760" w:numId="86">
    <w:abstractNumId w:val="8"/>
  </w:num>
  <w:num w16cid:durableId="1904833508" w:numId="87">
    <w:abstractNumId w:val="4"/>
  </w:num>
  <w:num w16cid:durableId="784546998" w:numId="88">
    <w:abstractNumId w:val="5"/>
  </w:num>
  <w:num w16cid:durableId="1760785822" w:numId="89">
    <w:abstractNumId w:val="6"/>
  </w:num>
  <w:num w16cid:durableId="693656612" w:numId="90">
    <w:abstractNumId w:val="7"/>
  </w:num>
  <w:num w16cid:durableId="752749916" w:numId="91">
    <w:abstractNumId w:val="9"/>
  </w:num>
  <w:num w16cid:durableId="580722267" w:numId="92">
    <w:abstractNumId w:val="0"/>
  </w:num>
  <w:num w16cid:durableId="66153684" w:numId="93">
    <w:abstractNumId w:val="1"/>
  </w:num>
  <w:num w16cid:durableId="996960501" w:numId="94">
    <w:abstractNumId w:val="2"/>
  </w:num>
  <w:num w16cid:durableId="209651411" w:numId="95">
    <w:abstractNumId w:val="3"/>
  </w:num>
  <w:num w16cid:durableId="97483404" w:numId="96">
    <w:abstractNumId w:val="8"/>
  </w:num>
  <w:num w16cid:durableId="943615911" w:numId="97">
    <w:abstractNumId w:val="4"/>
  </w:num>
  <w:num w16cid:durableId="31928127" w:numId="98">
    <w:abstractNumId w:val="5"/>
  </w:num>
  <w:num w16cid:durableId="723872968" w:numId="99">
    <w:abstractNumId w:val="6"/>
  </w:num>
  <w:num w16cid:durableId="699162175" w:numId="100">
    <w:abstractNumId w:val="7"/>
  </w:num>
  <w:num w16cid:durableId="2078628112" w:numId="101">
    <w:abstractNumId w:val="9"/>
  </w:num>
  <w:num w16cid:durableId="1816216033" w:numId="102">
    <w:abstractNumId w:val="0"/>
  </w:num>
  <w:num w16cid:durableId="934022973" w:numId="103">
    <w:abstractNumId w:val="1"/>
  </w:num>
  <w:num w16cid:durableId="1302030959" w:numId="104">
    <w:abstractNumId w:val="2"/>
  </w:num>
  <w:num w16cid:durableId="1897934909" w:numId="105">
    <w:abstractNumId w:val="3"/>
  </w:num>
  <w:num w16cid:durableId="1419717859" w:numId="106">
    <w:abstractNumId w:val="8"/>
  </w:num>
  <w:num w16cid:durableId="2123962288" w:numId="107">
    <w:abstractNumId w:val="4"/>
  </w:num>
  <w:num w16cid:durableId="82071428" w:numId="108">
    <w:abstractNumId w:val="5"/>
  </w:num>
  <w:num w16cid:durableId="1005396463" w:numId="109">
    <w:abstractNumId w:val="6"/>
  </w:num>
  <w:num w16cid:durableId="1357390362" w:numId="110">
    <w:abstractNumId w:val="7"/>
  </w:num>
  <w:num w16cid:durableId="2052341775" w:numId="111">
    <w:abstractNumId w:val="9"/>
  </w:num>
  <w:num w16cid:durableId="790633088" w:numId="112">
    <w:abstractNumId w:val="0"/>
  </w:num>
  <w:num w16cid:durableId="1852377578" w:numId="113">
    <w:abstractNumId w:val="1"/>
  </w:num>
  <w:num w16cid:durableId="1063868569" w:numId="114">
    <w:abstractNumId w:val="2"/>
  </w:num>
  <w:num w16cid:durableId="177887704" w:numId="115">
    <w:abstractNumId w:val="3"/>
  </w:num>
  <w:num w16cid:durableId="1946957948" w:numId="116">
    <w:abstractNumId w:val="8"/>
  </w:num>
  <w:num w16cid:durableId="1057586973" w:numId="117">
    <w:abstractNumId w:val="4"/>
  </w:num>
  <w:num w16cid:durableId="2038309511" w:numId="118">
    <w:abstractNumId w:val="5"/>
  </w:num>
  <w:num w16cid:durableId="1897352838" w:numId="119">
    <w:abstractNumId w:val="6"/>
  </w:num>
  <w:num w16cid:durableId="281543884" w:numId="120">
    <w:abstractNumId w:val="7"/>
  </w:num>
  <w:num w16cid:durableId="972715218" w:numId="121">
    <w:abstractNumId w:val="9"/>
  </w:num>
  <w:num w16cid:durableId="1521623767" w:numId="122">
    <w:abstractNumId w:val="0"/>
  </w:num>
  <w:num w16cid:durableId="1739473156" w:numId="123">
    <w:abstractNumId w:val="1"/>
  </w:num>
  <w:num w16cid:durableId="608858051" w:numId="124">
    <w:abstractNumId w:val="2"/>
  </w:num>
  <w:num w16cid:durableId="1816293141" w:numId="125">
    <w:abstractNumId w:val="3"/>
  </w:num>
  <w:num w16cid:durableId="1986931677" w:numId="126">
    <w:abstractNumId w:val="8"/>
  </w:num>
  <w:num w16cid:durableId="501511025" w:numId="127">
    <w:abstractNumId w:val="4"/>
  </w:num>
  <w:num w16cid:durableId="340203261" w:numId="128">
    <w:abstractNumId w:val="5"/>
  </w:num>
  <w:num w16cid:durableId="478765267" w:numId="129">
    <w:abstractNumId w:val="6"/>
  </w:num>
  <w:num w16cid:durableId="580020858" w:numId="130">
    <w:abstractNumId w:val="7"/>
  </w:num>
  <w:num w16cid:durableId="1754668156" w:numId="131">
    <w:abstractNumId w:val="9"/>
  </w:num>
  <w:num w16cid:durableId="1335646774" w:numId="132">
    <w:abstractNumId w:val="0"/>
  </w:num>
  <w:num w16cid:durableId="1377271678" w:numId="133">
    <w:abstractNumId w:val="1"/>
  </w:num>
  <w:num w16cid:durableId="876744690" w:numId="134">
    <w:abstractNumId w:val="2"/>
  </w:num>
  <w:num w16cid:durableId="123742507" w:numId="135">
    <w:abstractNumId w:val="3"/>
  </w:num>
  <w:num w16cid:durableId="2011827180" w:numId="136">
    <w:abstractNumId w:val="8"/>
  </w:num>
  <w:num w16cid:durableId="931203448" w:numId="137">
    <w:abstractNumId w:val="4"/>
  </w:num>
  <w:num w16cid:durableId="1493063166" w:numId="138">
    <w:abstractNumId w:val="5"/>
  </w:num>
  <w:num w16cid:durableId="1030447088" w:numId="139">
    <w:abstractNumId w:val="6"/>
  </w:num>
  <w:num w16cid:durableId="1875385534" w:numId="140">
    <w:abstractNumId w:val="7"/>
  </w:num>
  <w:num w16cid:durableId="129179950" w:numId="141">
    <w:abstractNumId w:val="9"/>
  </w:num>
  <w:num w16cid:durableId="639578426" w:numId="142">
    <w:abstractNumId w:val="0"/>
  </w:num>
  <w:num w16cid:durableId="549848309" w:numId="143">
    <w:abstractNumId w:val="1"/>
  </w:num>
  <w:num w16cid:durableId="144787460" w:numId="144">
    <w:abstractNumId w:val="2"/>
  </w:num>
  <w:num w16cid:durableId="1363096090" w:numId="145">
    <w:abstractNumId w:val="3"/>
  </w:num>
  <w:num w16cid:durableId="734164676" w:numId="146">
    <w:abstractNumId w:val="8"/>
  </w:num>
  <w:num w16cid:durableId="804202434" w:numId="147">
    <w:abstractNumId w:val="4"/>
  </w:num>
  <w:num w16cid:durableId="1925143469" w:numId="148">
    <w:abstractNumId w:val="5"/>
  </w:num>
  <w:num w16cid:durableId="1484540582" w:numId="149">
    <w:abstractNumId w:val="6"/>
  </w:num>
  <w:num w16cid:durableId="550388123" w:numId="150">
    <w:abstractNumId w:val="7"/>
  </w:num>
  <w:num w16cid:durableId="795025370" w:numId="151">
    <w:abstractNumId w:val="9"/>
  </w:num>
  <w:num w16cid:durableId="967861521" w:numId="152">
    <w:abstractNumId w:val="0"/>
  </w:num>
  <w:num w16cid:durableId="1974629125" w:numId="153">
    <w:abstractNumId w:val="1"/>
  </w:num>
  <w:num w16cid:durableId="1218275175" w:numId="154">
    <w:abstractNumId w:val="2"/>
  </w:num>
  <w:num w16cid:durableId="1854958593" w:numId="155">
    <w:abstractNumId w:val="3"/>
  </w:num>
  <w:num w16cid:durableId="1284505783" w:numId="156">
    <w:abstractNumId w:val="8"/>
  </w:num>
  <w:num w16cid:durableId="1453355533" w:numId="157">
    <w:abstractNumId w:val="4"/>
  </w:num>
  <w:num w16cid:durableId="345137420" w:numId="158">
    <w:abstractNumId w:val="5"/>
  </w:num>
  <w:num w16cid:durableId="850877366" w:numId="159">
    <w:abstractNumId w:val="6"/>
  </w:num>
  <w:num w16cid:durableId="10642805" w:numId="160">
    <w:abstractNumId w:val="7"/>
  </w:num>
  <w:num w16cid:durableId="408891385" w:numId="161">
    <w:abstractNumId w:val="9"/>
  </w:num>
  <w:num w16cid:durableId="2132085853" w:numId="162">
    <w:abstractNumId w:val="0"/>
  </w:num>
  <w:num w16cid:durableId="669451970" w:numId="163">
    <w:abstractNumId w:val="1"/>
  </w:num>
  <w:num w16cid:durableId="1961447110" w:numId="164">
    <w:abstractNumId w:val="2"/>
  </w:num>
  <w:num w16cid:durableId="190578745" w:numId="165">
    <w:abstractNumId w:val="3"/>
  </w:num>
  <w:num w16cid:durableId="1563979306" w:numId="166">
    <w:abstractNumId w:val="8"/>
  </w:num>
  <w:num w16cid:durableId="142553001" w:numId="167">
    <w:abstractNumId w:val="4"/>
  </w:num>
  <w:num w16cid:durableId="1124158279" w:numId="168">
    <w:abstractNumId w:val="5"/>
  </w:num>
  <w:num w16cid:durableId="851068264" w:numId="169">
    <w:abstractNumId w:val="6"/>
  </w:num>
  <w:num w16cid:durableId="405106053" w:numId="170">
    <w:abstractNumId w:val="7"/>
  </w:num>
  <w:num w16cid:durableId="432553964" w:numId="171">
    <w:abstractNumId w:val="9"/>
  </w:num>
  <w:num w16cid:durableId="2050259647" w:numId="172">
    <w:abstractNumId w:val="0"/>
  </w:num>
  <w:num w16cid:durableId="1539395061" w:numId="173">
    <w:abstractNumId w:val="1"/>
  </w:num>
  <w:num w16cid:durableId="967591162" w:numId="174">
    <w:abstractNumId w:val="2"/>
  </w:num>
  <w:num w16cid:durableId="1665937731" w:numId="175">
    <w:abstractNumId w:val="3"/>
  </w:num>
  <w:num w16cid:durableId="1924029561" w:numId="176">
    <w:abstractNumId w:val="8"/>
  </w:num>
  <w:num w16cid:durableId="1245411022" w:numId="177">
    <w:abstractNumId w:val="4"/>
  </w:num>
  <w:num w16cid:durableId="259025166" w:numId="178">
    <w:abstractNumId w:val="5"/>
  </w:num>
  <w:num w16cid:durableId="170219161" w:numId="179">
    <w:abstractNumId w:val="6"/>
  </w:num>
  <w:num w16cid:durableId="1378892988" w:numId="180">
    <w:abstractNumId w:val="7"/>
  </w:num>
  <w:num w16cid:durableId="1002852100" w:numId="181">
    <w:abstractNumId w:val="9"/>
  </w:num>
  <w:num w16cid:durableId="1481268445" w:numId="182">
    <w:abstractNumId w:val="0"/>
  </w:num>
  <w:num w16cid:durableId="1980920968" w:numId="183">
    <w:abstractNumId w:val="1"/>
  </w:num>
  <w:num w16cid:durableId="1736971683" w:numId="184">
    <w:abstractNumId w:val="2"/>
  </w:num>
  <w:num w16cid:durableId="1024013622" w:numId="185">
    <w:abstractNumId w:val="3"/>
  </w:num>
  <w:num w16cid:durableId="913779401" w:numId="186">
    <w:abstractNumId w:val="8"/>
  </w:num>
  <w:num w16cid:durableId="1255431615" w:numId="187">
    <w:abstractNumId w:val="4"/>
  </w:num>
  <w:num w16cid:durableId="2030981498" w:numId="188">
    <w:abstractNumId w:val="5"/>
  </w:num>
  <w:num w16cid:durableId="1213620434" w:numId="189">
    <w:abstractNumId w:val="6"/>
  </w:num>
  <w:num w16cid:durableId="200482160" w:numId="190">
    <w:abstractNumId w:val="7"/>
  </w:num>
  <w:num w16cid:durableId="1935280564" w:numId="191">
    <w:abstractNumId w:val="9"/>
  </w:num>
  <w:num w16cid:durableId="1781141206" w:numId="192">
    <w:abstractNumId w:val="0"/>
  </w:num>
  <w:num w16cid:durableId="731276922" w:numId="193">
    <w:abstractNumId w:val="1"/>
  </w:num>
  <w:num w16cid:durableId="1454523563" w:numId="194">
    <w:abstractNumId w:val="2"/>
  </w:num>
  <w:num w16cid:durableId="1986618595" w:numId="195">
    <w:abstractNumId w:val="3"/>
  </w:num>
  <w:num w16cid:durableId="592007620" w:numId="196">
    <w:abstractNumId w:val="8"/>
  </w:num>
  <w:num w16cid:durableId="2090349629" w:numId="197">
    <w:abstractNumId w:val="4"/>
  </w:num>
  <w:num w16cid:durableId="1991329298" w:numId="198">
    <w:abstractNumId w:val="5"/>
  </w:num>
  <w:num w16cid:durableId="1753307795" w:numId="199">
    <w:abstractNumId w:val="6"/>
  </w:num>
  <w:num w16cid:durableId="848761701" w:numId="200">
    <w:abstractNumId w:val="7"/>
  </w:num>
  <w:num w16cid:durableId="1555433485" w:numId="201">
    <w:abstractNumId w:val="9"/>
  </w:num>
  <w:num w16cid:durableId="2132625211" w:numId="202">
    <w:abstractNumId w:val="0"/>
  </w:num>
  <w:num w16cid:durableId="1012150620" w:numId="203">
    <w:abstractNumId w:val="1"/>
  </w:num>
  <w:num w16cid:durableId="91516757" w:numId="204">
    <w:abstractNumId w:val="2"/>
  </w:num>
  <w:num w16cid:durableId="418798831" w:numId="205">
    <w:abstractNumId w:val="3"/>
  </w:num>
  <w:num w16cid:durableId="349720998" w:numId="206">
    <w:abstractNumId w:val="8"/>
  </w:num>
  <w:num w16cid:durableId="1535457417" w:numId="207">
    <w:abstractNumId w:val="4"/>
  </w:num>
  <w:num w16cid:durableId="1435200159" w:numId="208">
    <w:abstractNumId w:val="5"/>
  </w:num>
  <w:num w16cid:durableId="956182504" w:numId="209">
    <w:abstractNumId w:val="6"/>
  </w:num>
  <w:num w16cid:durableId="1833133927" w:numId="210">
    <w:abstractNumId w:val="7"/>
  </w:num>
  <w:num w16cid:durableId="1568490240" w:numId="211">
    <w:abstractNumId w:val="9"/>
  </w:num>
  <w:num w16cid:durableId="168914175" w:numId="212">
    <w:abstractNumId w:val="0"/>
  </w:num>
  <w:num w16cid:durableId="365064731" w:numId="213">
    <w:abstractNumId w:val="1"/>
  </w:num>
  <w:num w16cid:durableId="1495609071" w:numId="214">
    <w:abstractNumId w:val="2"/>
  </w:num>
  <w:num w16cid:durableId="1065640786" w:numId="215">
    <w:abstractNumId w:val="3"/>
  </w:num>
  <w:num w16cid:durableId="825560137" w:numId="216">
    <w:abstractNumId w:val="8"/>
  </w:num>
  <w:num w16cid:durableId="1556238695" w:numId="217">
    <w:abstractNumId w:val="4"/>
  </w:num>
  <w:num w16cid:durableId="2032100236" w:numId="218">
    <w:abstractNumId w:val="5"/>
  </w:num>
  <w:num w16cid:durableId="1793740556" w:numId="219">
    <w:abstractNumId w:val="6"/>
  </w:num>
  <w:num w16cid:durableId="909925357" w:numId="220">
    <w:abstractNumId w:val="7"/>
  </w:num>
  <w:num w16cid:durableId="1584878494" w:numId="221">
    <w:abstractNumId w:val="9"/>
  </w:num>
  <w:num w16cid:durableId="904797737" w:numId="222">
    <w:abstractNumId w:val="0"/>
  </w:num>
  <w:num w16cid:durableId="1799641001" w:numId="223">
    <w:abstractNumId w:val="1"/>
  </w:num>
  <w:num w16cid:durableId="480736971" w:numId="224">
    <w:abstractNumId w:val="2"/>
  </w:num>
  <w:num w16cid:durableId="147522489" w:numId="225">
    <w:abstractNumId w:val="3"/>
  </w:num>
  <w:num w16cid:durableId="2067297445" w:numId="226">
    <w:abstractNumId w:val="8"/>
  </w:num>
  <w:num w16cid:durableId="1751541588" w:numId="227">
    <w:abstractNumId w:val="4"/>
  </w:num>
  <w:num w16cid:durableId="2036073289" w:numId="228">
    <w:abstractNumId w:val="5"/>
  </w:num>
  <w:num w16cid:durableId="398290190" w:numId="229">
    <w:abstractNumId w:val="6"/>
  </w:num>
  <w:num w16cid:durableId="1460800672" w:numId="230">
    <w:abstractNumId w:val="7"/>
  </w:num>
  <w:num w16cid:durableId="63534011" w:numId="231">
    <w:abstractNumId w:val="9"/>
  </w:num>
  <w:num w16cid:durableId="1615206493" w:numId="232">
    <w:abstractNumId w:val="0"/>
  </w:num>
  <w:num w16cid:durableId="308677182" w:numId="233">
    <w:abstractNumId w:val="1"/>
  </w:num>
  <w:num w16cid:durableId="196161686" w:numId="234">
    <w:abstractNumId w:val="2"/>
  </w:num>
  <w:num w16cid:durableId="1999918152" w:numId="235">
    <w:abstractNumId w:val="3"/>
  </w:num>
  <w:num w16cid:durableId="2105225719" w:numId="236">
    <w:abstractNumId w:val="8"/>
  </w:num>
  <w:num w16cid:durableId="589003456" w:numId="237">
    <w:abstractNumId w:val="4"/>
  </w:num>
  <w:num w16cid:durableId="1171336084" w:numId="238">
    <w:abstractNumId w:val="5"/>
  </w:num>
  <w:num w16cid:durableId="94911945" w:numId="239">
    <w:abstractNumId w:val="6"/>
  </w:num>
  <w:num w16cid:durableId="439883669" w:numId="240">
    <w:abstractNumId w:val="7"/>
  </w:num>
  <w:num w16cid:durableId="1295714716" w:numId="241">
    <w:abstractNumId w:val="9"/>
  </w:num>
  <w:num w16cid:durableId="12464999" w:numId="242">
    <w:abstractNumId w:val="0"/>
  </w:num>
  <w:num w16cid:durableId="797452386" w:numId="243">
    <w:abstractNumId w:val="1"/>
  </w:num>
  <w:num w16cid:durableId="471798038" w:numId="244">
    <w:abstractNumId w:val="2"/>
  </w:num>
  <w:num w16cid:durableId="1640382143" w:numId="245">
    <w:abstractNumId w:val="3"/>
  </w:num>
  <w:num w16cid:durableId="899943294" w:numId="246">
    <w:abstractNumId w:val="8"/>
  </w:num>
  <w:num w16cid:durableId="2145390061" w:numId="247">
    <w:abstractNumId w:val="4"/>
  </w:num>
  <w:num w16cid:durableId="774448362" w:numId="248">
    <w:abstractNumId w:val="5"/>
  </w:num>
  <w:num w16cid:durableId="621616816" w:numId="249">
    <w:abstractNumId w:val="6"/>
  </w:num>
  <w:num w16cid:durableId="1332829868" w:numId="250">
    <w:abstractNumId w:val="7"/>
  </w:num>
  <w:num w16cid:durableId="1967806217" w:numId="251">
    <w:abstractNumId w:val="9"/>
  </w:num>
  <w:num w16cid:durableId="845099450" w:numId="252">
    <w:abstractNumId w:val="0"/>
  </w:num>
  <w:num w16cid:durableId="1415199046" w:numId="253">
    <w:abstractNumId w:val="1"/>
  </w:num>
  <w:num w16cid:durableId="1250043762" w:numId="254">
    <w:abstractNumId w:val="2"/>
  </w:num>
  <w:num w16cid:durableId="327834603" w:numId="255">
    <w:abstractNumId w:val="3"/>
  </w:num>
  <w:num w16cid:durableId="2125810252" w:numId="256">
    <w:abstractNumId w:val="8"/>
  </w:num>
  <w:num w16cid:durableId="439690853" w:numId="257">
    <w:abstractNumId w:val="4"/>
  </w:num>
  <w:num w16cid:durableId="1286935022" w:numId="258">
    <w:abstractNumId w:val="5"/>
  </w:num>
  <w:num w16cid:durableId="1941987986" w:numId="259">
    <w:abstractNumId w:val="6"/>
  </w:num>
  <w:num w16cid:durableId="1649745809" w:numId="260">
    <w:abstractNumId w:val="7"/>
  </w:num>
  <w:num w16cid:durableId="290332762" w:numId="261">
    <w:abstractNumId w:val="9"/>
  </w:num>
  <w:num w16cid:durableId="705716259" w:numId="262">
    <w:abstractNumId w:val="0"/>
  </w:num>
  <w:num w16cid:durableId="1134715969" w:numId="263">
    <w:abstractNumId w:val="1"/>
  </w:num>
  <w:num w16cid:durableId="422991056" w:numId="264">
    <w:abstractNumId w:val="2"/>
  </w:num>
  <w:num w16cid:durableId="1049912357" w:numId="265">
    <w:abstractNumId w:val="3"/>
  </w:num>
  <w:num w16cid:durableId="1943148293" w:numId="266">
    <w:abstractNumId w:val="8"/>
  </w:num>
  <w:num w16cid:durableId="1103263816" w:numId="267">
    <w:abstractNumId w:val="4"/>
  </w:num>
  <w:num w16cid:durableId="1513495496" w:numId="268">
    <w:abstractNumId w:val="5"/>
  </w:num>
  <w:num w16cid:durableId="1347824315" w:numId="269">
    <w:abstractNumId w:val="6"/>
  </w:num>
  <w:num w16cid:durableId="2106723906" w:numId="270">
    <w:abstractNumId w:val="7"/>
  </w:num>
  <w:num w16cid:durableId="226301507" w:numId="271">
    <w:abstractNumId w:val="9"/>
  </w:num>
  <w:num w16cid:durableId="1657296697" w:numId="272">
    <w:abstractNumId w:val="0"/>
  </w:num>
  <w:num w16cid:durableId="81537083" w:numId="273">
    <w:abstractNumId w:val="1"/>
  </w:num>
  <w:num w16cid:durableId="651367396" w:numId="274">
    <w:abstractNumId w:val="2"/>
  </w:num>
  <w:num w16cid:durableId="598030773" w:numId="275">
    <w:abstractNumId w:val="3"/>
  </w:num>
  <w:num w16cid:durableId="1124151850" w:numId="276">
    <w:abstractNumId w:val="8"/>
  </w:num>
  <w:num w16cid:durableId="241766976" w:numId="277">
    <w:abstractNumId w:val="4"/>
  </w:num>
  <w:num w16cid:durableId="1298805192" w:numId="278">
    <w:abstractNumId w:val="5"/>
  </w:num>
  <w:num w16cid:durableId="1539586412" w:numId="279">
    <w:abstractNumId w:val="6"/>
  </w:num>
  <w:num w16cid:durableId="1570192615" w:numId="280">
    <w:abstractNumId w:val="7"/>
  </w:num>
  <w:num w16cid:durableId="564876013" w:numId="281">
    <w:abstractNumId w:val="9"/>
  </w:num>
  <w:num w16cid:durableId="1133135443" w:numId="282">
    <w:abstractNumId w:val="0"/>
  </w:num>
  <w:num w16cid:durableId="201208433" w:numId="283">
    <w:abstractNumId w:val="1"/>
  </w:num>
  <w:num w16cid:durableId="338393232" w:numId="284">
    <w:abstractNumId w:val="2"/>
  </w:num>
  <w:num w16cid:durableId="1491215645" w:numId="285">
    <w:abstractNumId w:val="3"/>
  </w:num>
  <w:num w16cid:durableId="719406539" w:numId="286">
    <w:abstractNumId w:val="8"/>
  </w:num>
  <w:num w16cid:durableId="211037511" w:numId="287">
    <w:abstractNumId w:val="4"/>
  </w:num>
  <w:num w16cid:durableId="1929460441" w:numId="288">
    <w:abstractNumId w:val="5"/>
  </w:num>
  <w:num w16cid:durableId="988484472" w:numId="289">
    <w:abstractNumId w:val="6"/>
  </w:num>
  <w:num w16cid:durableId="252665563" w:numId="290">
    <w:abstractNumId w:val="7"/>
  </w:num>
  <w:num w16cid:durableId="2020572323" w:numId="291">
    <w:abstractNumId w:val="9"/>
  </w:num>
  <w:num w16cid:durableId="1954356854" w:numId="292">
    <w:abstractNumId w:val="0"/>
  </w:num>
  <w:num w16cid:durableId="318658161" w:numId="293">
    <w:abstractNumId w:val="1"/>
  </w:num>
  <w:num w16cid:durableId="1335721772" w:numId="294">
    <w:abstractNumId w:val="2"/>
  </w:num>
  <w:num w16cid:durableId="1771199345" w:numId="295">
    <w:abstractNumId w:val="3"/>
  </w:num>
  <w:num w16cid:durableId="1649626355" w:numId="296">
    <w:abstractNumId w:val="8"/>
  </w:num>
  <w:num w16cid:durableId="743644729" w:numId="297">
    <w:abstractNumId w:val="4"/>
  </w:num>
  <w:num w16cid:durableId="1506751769" w:numId="298">
    <w:abstractNumId w:val="5"/>
  </w:num>
  <w:num w16cid:durableId="1413429401" w:numId="299">
    <w:abstractNumId w:val="6"/>
  </w:num>
  <w:num w16cid:durableId="781345202" w:numId="300">
    <w:abstractNumId w:val="7"/>
  </w:num>
  <w:num w16cid:durableId="769853993" w:numId="301">
    <w:abstractNumId w:val="9"/>
  </w:num>
  <w:num w16cid:durableId="595528062" w:numId="302">
    <w:abstractNumId w:val="0"/>
  </w:num>
  <w:num w16cid:durableId="533662380" w:numId="303">
    <w:abstractNumId w:val="1"/>
  </w:num>
  <w:num w16cid:durableId="995844100" w:numId="304">
    <w:abstractNumId w:val="2"/>
  </w:num>
  <w:num w16cid:durableId="670177605" w:numId="305">
    <w:abstractNumId w:val="3"/>
  </w:num>
  <w:num w16cid:durableId="2083018918" w:numId="306">
    <w:abstractNumId w:val="8"/>
  </w:num>
  <w:num w16cid:durableId="1556507700" w:numId="307">
    <w:abstractNumId w:val="4"/>
  </w:num>
  <w:num w16cid:durableId="469523529" w:numId="308">
    <w:abstractNumId w:val="5"/>
  </w:num>
  <w:num w16cid:durableId="759985460" w:numId="309">
    <w:abstractNumId w:val="6"/>
  </w:num>
  <w:num w16cid:durableId="2074811085" w:numId="310">
    <w:abstractNumId w:val="7"/>
  </w:num>
  <w:num w16cid:durableId="241649083" w:numId="311">
    <w:abstractNumId w:val="9"/>
  </w:num>
  <w:num w16cid:durableId="984815557" w:numId="312">
    <w:abstractNumId w:val="0"/>
  </w:num>
  <w:num w16cid:durableId="1547185269" w:numId="313">
    <w:abstractNumId w:val="1"/>
  </w:num>
  <w:num w16cid:durableId="366567640" w:numId="314">
    <w:abstractNumId w:val="2"/>
  </w:num>
  <w:num w16cid:durableId="65417336" w:numId="315">
    <w:abstractNumId w:val="3"/>
  </w:num>
  <w:num w16cid:durableId="2098289135" w:numId="316">
    <w:abstractNumId w:val="8"/>
  </w:num>
  <w:num w16cid:durableId="2085910943" w:numId="317">
    <w:abstractNumId w:val="4"/>
  </w:num>
  <w:num w16cid:durableId="1189368643" w:numId="318">
    <w:abstractNumId w:val="5"/>
  </w:num>
  <w:num w16cid:durableId="750085135" w:numId="319">
    <w:abstractNumId w:val="6"/>
  </w:num>
  <w:num w16cid:durableId="364448337" w:numId="320">
    <w:abstractNumId w:val="7"/>
  </w:num>
  <w:num w16cid:durableId="1464074734" w:numId="321">
    <w:abstractNumId w:val="9"/>
  </w:num>
  <w:num w16cid:durableId="531458268" w:numId="322">
    <w:abstractNumId w:val="0"/>
  </w:num>
  <w:num w16cid:durableId="1957783651" w:numId="323">
    <w:abstractNumId w:val="1"/>
  </w:num>
  <w:num w16cid:durableId="750589314" w:numId="324">
    <w:abstractNumId w:val="2"/>
  </w:num>
  <w:num w16cid:durableId="1313175302" w:numId="325">
    <w:abstractNumId w:val="3"/>
  </w:num>
  <w:num w16cid:durableId="2123650344" w:numId="326">
    <w:abstractNumId w:val="8"/>
  </w:num>
  <w:num w16cid:durableId="596988696" w:numId="327">
    <w:abstractNumId w:val="4"/>
  </w:num>
  <w:num w16cid:durableId="1222598923" w:numId="328">
    <w:abstractNumId w:val="5"/>
  </w:num>
  <w:num w16cid:durableId="837620463" w:numId="329">
    <w:abstractNumId w:val="6"/>
  </w:num>
  <w:num w16cid:durableId="1709262672" w:numId="330">
    <w:abstractNumId w:val="7"/>
  </w:num>
  <w:num w16cid:durableId="250283784" w:numId="331">
    <w:abstractNumId w:val="9"/>
  </w:num>
  <w:num w16cid:durableId="436759056" w:numId="332">
    <w:abstractNumId w:val="0"/>
  </w:num>
  <w:num w16cid:durableId="1609047218" w:numId="333">
    <w:abstractNumId w:val="1"/>
  </w:num>
  <w:num w16cid:durableId="996761869" w:numId="334">
    <w:abstractNumId w:val="2"/>
  </w:num>
  <w:num w16cid:durableId="260917292" w:numId="335">
    <w:abstractNumId w:val="3"/>
  </w:num>
  <w:num w16cid:durableId="2002535475" w:numId="336">
    <w:abstractNumId w:val="8"/>
  </w:num>
  <w:num w16cid:durableId="844129532" w:numId="337">
    <w:abstractNumId w:val="4"/>
  </w:num>
  <w:num w16cid:durableId="314115874" w:numId="338">
    <w:abstractNumId w:val="5"/>
  </w:num>
  <w:num w16cid:durableId="427848054" w:numId="339">
    <w:abstractNumId w:val="6"/>
  </w:num>
  <w:num w16cid:durableId="90666256" w:numId="340">
    <w:abstractNumId w:val="7"/>
  </w:num>
  <w:num w16cid:durableId="602764762" w:numId="341">
    <w:abstractNumId w:val="9"/>
  </w:num>
  <w:num w16cid:durableId="1601448156" w:numId="342">
    <w:abstractNumId w:val="0"/>
  </w:num>
  <w:num w16cid:durableId="197939842" w:numId="343">
    <w:abstractNumId w:val="1"/>
  </w:num>
  <w:num w16cid:durableId="1096556558" w:numId="344">
    <w:abstractNumId w:val="2"/>
  </w:num>
  <w:num w16cid:durableId="2561745" w:numId="345">
    <w:abstractNumId w:val="3"/>
  </w:num>
  <w:num w16cid:durableId="1440954443" w:numId="346">
    <w:abstractNumId w:val="8"/>
  </w:num>
  <w:num w16cid:durableId="258369218" w:numId="347">
    <w:abstractNumId w:val="4"/>
  </w:num>
  <w:num w16cid:durableId="2083478216" w:numId="348">
    <w:abstractNumId w:val="5"/>
  </w:num>
  <w:num w16cid:durableId="216863846" w:numId="349">
    <w:abstractNumId w:val="6"/>
  </w:num>
  <w:num w16cid:durableId="1744716275" w:numId="350">
    <w:abstractNumId w:val="7"/>
  </w:num>
  <w:num w16cid:durableId="533035578" w:numId="351">
    <w:abstractNumId w:val="9"/>
  </w:num>
  <w:num w16cid:durableId="682558049" w:numId="352">
    <w:abstractNumId w:val="0"/>
  </w:num>
  <w:num w16cid:durableId="1914578541" w:numId="353">
    <w:abstractNumId w:val="1"/>
  </w:num>
  <w:num w16cid:durableId="1355691428" w:numId="354">
    <w:abstractNumId w:val="2"/>
  </w:num>
  <w:num w16cid:durableId="2014531316" w:numId="355">
    <w:abstractNumId w:val="3"/>
  </w:num>
  <w:num w16cid:durableId="1029405104" w:numId="356">
    <w:abstractNumId w:val="8"/>
  </w:num>
  <w:num w16cid:durableId="1117479787" w:numId="357">
    <w:abstractNumId w:val="4"/>
  </w:num>
  <w:num w16cid:durableId="1357463988" w:numId="358">
    <w:abstractNumId w:val="5"/>
  </w:num>
  <w:num w16cid:durableId="1758407906" w:numId="359">
    <w:abstractNumId w:val="6"/>
  </w:num>
  <w:num w16cid:durableId="781649096" w:numId="360">
    <w:abstractNumId w:val="7"/>
  </w:num>
  <w:num w16cid:durableId="500121767" w:numId="361">
    <w:abstractNumId w:val="9"/>
  </w:num>
  <w:num w16cid:durableId="1708798211" w:numId="362">
    <w:abstractNumId w:val="0"/>
  </w:num>
  <w:num w16cid:durableId="39406516" w:numId="363">
    <w:abstractNumId w:val="1"/>
  </w:num>
  <w:num w16cid:durableId="1822768179" w:numId="364">
    <w:abstractNumId w:val="2"/>
  </w:num>
  <w:num w16cid:durableId="1543590636" w:numId="365">
    <w:abstractNumId w:val="3"/>
  </w:num>
  <w:num w16cid:durableId="1452672891" w:numId="366">
    <w:abstractNumId w:val="8"/>
  </w:num>
  <w:num w16cid:durableId="1005590700" w:numId="367">
    <w:abstractNumId w:val="4"/>
  </w:num>
  <w:num w16cid:durableId="58720962" w:numId="368">
    <w:abstractNumId w:val="5"/>
  </w:num>
  <w:num w16cid:durableId="1462187780" w:numId="369">
    <w:abstractNumId w:val="6"/>
  </w:num>
  <w:num w16cid:durableId="768963287" w:numId="370">
    <w:abstractNumId w:val="7"/>
  </w:num>
  <w:num w16cid:durableId="1969161195" w:numId="371">
    <w:abstractNumId w:val="9"/>
  </w:num>
  <w:num w16cid:durableId="425660700" w:numId="372">
    <w:abstractNumId w:val="0"/>
  </w:num>
  <w:num w16cid:durableId="81530302" w:numId="373">
    <w:abstractNumId w:val="1"/>
  </w:num>
  <w:num w16cid:durableId="1308516050" w:numId="374">
    <w:abstractNumId w:val="2"/>
  </w:num>
  <w:num w16cid:durableId="1034699427" w:numId="375">
    <w:abstractNumId w:val="3"/>
  </w:num>
  <w:num w16cid:durableId="1931231642" w:numId="376">
    <w:abstractNumId w:val="8"/>
  </w:num>
  <w:num w16cid:durableId="1505559314" w:numId="377">
    <w:abstractNumId w:val="4"/>
  </w:num>
  <w:num w16cid:durableId="1357653939" w:numId="378">
    <w:abstractNumId w:val="5"/>
  </w:num>
  <w:num w16cid:durableId="699165847" w:numId="379">
    <w:abstractNumId w:val="6"/>
  </w:num>
  <w:num w16cid:durableId="533542422" w:numId="380">
    <w:abstractNumId w:val="7"/>
  </w:num>
  <w:num w16cid:durableId="1753623107" w:numId="381">
    <w:abstractNumId w:val="9"/>
  </w:num>
  <w:num w16cid:durableId="152651558" w:numId="382">
    <w:abstractNumId w:val="0"/>
  </w:num>
  <w:num w16cid:durableId="437601245" w:numId="383">
    <w:abstractNumId w:val="1"/>
  </w:num>
  <w:num w16cid:durableId="825433136" w:numId="384">
    <w:abstractNumId w:val="2"/>
  </w:num>
  <w:num w16cid:durableId="1549224580" w:numId="385">
    <w:abstractNumId w:val="3"/>
  </w:num>
  <w:num w16cid:durableId="1418206763" w:numId="386">
    <w:abstractNumId w:val="8"/>
  </w:num>
  <w:num w16cid:durableId="1144005241" w:numId="387">
    <w:abstractNumId w:val="4"/>
  </w:num>
  <w:num w16cid:durableId="1430544529" w:numId="388">
    <w:abstractNumId w:val="5"/>
  </w:num>
  <w:num w16cid:durableId="129323444" w:numId="389">
    <w:abstractNumId w:val="6"/>
  </w:num>
  <w:num w16cid:durableId="1114787368" w:numId="390">
    <w:abstractNumId w:val="7"/>
  </w:num>
  <w:num w16cid:durableId="1448155834" w:numId="391">
    <w:abstractNumId w:val="9"/>
  </w:num>
  <w:num w16cid:durableId="1473905422" w:numId="392">
    <w:abstractNumId w:val="0"/>
  </w:num>
  <w:num w16cid:durableId="148400712" w:numId="393">
    <w:abstractNumId w:val="1"/>
  </w:num>
  <w:num w16cid:durableId="1483500872" w:numId="394">
    <w:abstractNumId w:val="2"/>
  </w:num>
  <w:num w16cid:durableId="2001033514" w:numId="395">
    <w:abstractNumId w:val="3"/>
  </w:num>
  <w:num w16cid:durableId="858858611" w:numId="396">
    <w:abstractNumId w:val="8"/>
  </w:num>
  <w:num w16cid:durableId="1114864545" w:numId="397">
    <w:abstractNumId w:val="4"/>
  </w:num>
  <w:num w16cid:durableId="63914902" w:numId="398">
    <w:abstractNumId w:val="5"/>
  </w:num>
  <w:num w16cid:durableId="1715732636" w:numId="399">
    <w:abstractNumId w:val="6"/>
  </w:num>
  <w:num w16cid:durableId="2090686091" w:numId="400">
    <w:abstractNumId w:val="7"/>
  </w:num>
  <w:num w16cid:durableId="802503800" w:numId="401">
    <w:abstractNumId w:val="9"/>
  </w:num>
  <w:num w16cid:durableId="2120953739" w:numId="402">
    <w:abstractNumId w:val="0"/>
  </w:num>
  <w:num w16cid:durableId="1252162329" w:numId="403">
    <w:abstractNumId w:val="1"/>
  </w:num>
  <w:num w16cid:durableId="250284376" w:numId="404">
    <w:abstractNumId w:val="2"/>
  </w:num>
  <w:num w16cid:durableId="2057005141" w:numId="405">
    <w:abstractNumId w:val="3"/>
  </w:num>
  <w:num w16cid:durableId="1968509502" w:numId="406">
    <w:abstractNumId w:val="8"/>
  </w:num>
  <w:num w16cid:durableId="1360009168" w:numId="407">
    <w:abstractNumId w:val="4"/>
  </w:num>
  <w:num w16cid:durableId="1243292829" w:numId="408">
    <w:abstractNumId w:val="5"/>
  </w:num>
  <w:num w16cid:durableId="2070492319" w:numId="409">
    <w:abstractNumId w:val="6"/>
  </w:num>
  <w:num w16cid:durableId="514929506" w:numId="410">
    <w:abstractNumId w:val="7"/>
  </w:num>
  <w:num w16cid:durableId="1561793809" w:numId="4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E0E4C"/>
    <w:pPr>
      <w:keepNext/>
      <w:keepLines/>
      <w:spacing w:after="240" w:before="240" w:line="252" w:lineRule="auto"/>
      <w:outlineLvl w:val="0"/>
    </w:pPr>
    <w:rPr>
      <w:rFonts w:ascii="Charter" w:cstheme="majorBidi" w:eastAsiaTheme="majorEastAsia" w:hAnsi="Charter"/>
      <w:b/>
      <w:bCs/>
      <w:color w:themeColor="text1" w:val="000000"/>
      <w:sz w:val="40"/>
      <w:szCs w:val="32"/>
    </w:rPr>
  </w:style>
  <w:style w:styleId="Heading2" w:type="paragraph">
    <w:name w:val="heading 2"/>
    <w:basedOn w:val="Heading1"/>
    <w:next w:val="BodyText"/>
    <w:uiPriority w:val="9"/>
    <w:unhideWhenUsed/>
    <w:qFormat/>
    <w:rsid w:val="001E0E4C"/>
    <w:pPr>
      <w:spacing w:after="0" w:before="200"/>
      <w:outlineLvl w:val="1"/>
    </w:pPr>
    <w:rPr>
      <w:bCs w:val="0"/>
      <w:sz w:val="32"/>
      <w:szCs w:val="28"/>
    </w:rPr>
  </w:style>
  <w:style w:styleId="Heading3" w:type="paragraph">
    <w:name w:val="heading 3"/>
    <w:basedOn w:val="Heading1"/>
    <w:next w:val="BodyText"/>
    <w:uiPriority w:val="9"/>
    <w:unhideWhenUsed/>
    <w:qFormat/>
    <w:rsid w:val="001E0E4C"/>
    <w:pPr>
      <w:spacing w:after="0" w:before="200"/>
      <w:outlineLvl w:val="2"/>
    </w:pPr>
    <w:rPr>
      <w:rFonts w:ascii="Charter Roman" w:hAnsi="Charter Roman"/>
      <w:b w:val="0"/>
      <w:bCs w:val="0"/>
      <w:sz w:val="28"/>
    </w:rPr>
  </w:style>
  <w:style w:styleId="Heading4" w:type="paragraph">
    <w:name w:val="heading 4"/>
    <w:basedOn w:val="Normal"/>
    <w:next w:val="BodyText"/>
    <w:uiPriority w:val="9"/>
    <w:unhideWhenUsed/>
    <w:qFormat/>
    <w:rsid w:val="001E0E4C"/>
    <w:pPr>
      <w:keepNext/>
      <w:keepLines/>
      <w:spacing w:after="0" w:before="200" w:line="252" w:lineRule="auto"/>
      <w:outlineLvl w:val="3"/>
    </w:pPr>
    <w:rPr>
      <w:rFonts w:ascii="Charter" w:cstheme="majorBidi" w:eastAsiaTheme="majorEastAsia" w:hAnsi="Charter"/>
      <w:bCs/>
      <w:i/>
      <w:color w:themeColor="text1" w:val="000000"/>
    </w:rPr>
  </w:style>
  <w:style w:styleId="Heading5" w:type="paragraph">
    <w:name w:val="heading 5"/>
    <w:basedOn w:val="Normal"/>
    <w:next w:val="BodyText"/>
    <w:uiPriority w:val="9"/>
    <w:unhideWhenUsed/>
    <w:qFormat/>
    <w:rsid w:val="001E0E4C"/>
    <w:pPr>
      <w:keepNext/>
      <w:keepLines/>
      <w:spacing w:after="0" w:before="200"/>
      <w:outlineLvl w:val="4"/>
    </w:pPr>
    <w:rPr>
      <w:rFonts w:ascii="Charter Roman" w:cstheme="majorBidi" w:eastAsiaTheme="majorEastAsia" w:hAnsi="Charter Roman"/>
      <w:iCs/>
      <w:color w:themeColor="text1" w:val="000000"/>
    </w:rPr>
  </w:style>
  <w:style w:styleId="Heading6" w:type="paragraph">
    <w:name w:val="heading 6"/>
    <w:basedOn w:val="Normal"/>
    <w:next w:val="BodyText"/>
    <w:uiPriority w:val="9"/>
    <w:unhideWhenUsed/>
    <w:qFormat/>
    <w:rsid w:val="001E0E4C"/>
    <w:pPr>
      <w:keepNext/>
      <w:keepLines/>
      <w:spacing w:after="0" w:before="200"/>
      <w:outlineLvl w:val="5"/>
    </w:pPr>
    <w:rPr>
      <w:rFonts w:ascii="Charter Roman" w:cstheme="majorBidi" w:eastAsiaTheme="majorEastAsia" w:hAnsi="Charter Roman"/>
      <w:color w:themeColor="text1" w:val="000000"/>
    </w:rPr>
  </w:style>
  <w:style w:styleId="Heading7" w:type="paragraph">
    <w:name w:val="heading 7"/>
    <w:basedOn w:val="Normal"/>
    <w:next w:val="BodyText"/>
    <w:uiPriority w:val="9"/>
    <w:unhideWhenUsed/>
    <w:qFormat/>
    <w:rsid w:val="001E0E4C"/>
    <w:pPr>
      <w:keepNext/>
      <w:keepLines/>
      <w:spacing w:after="0" w:before="200"/>
      <w:outlineLvl w:val="6"/>
    </w:pPr>
    <w:rPr>
      <w:rFonts w:ascii="Charter Roman" w:cstheme="majorBidi" w:eastAsiaTheme="majorEastAsia" w:hAnsi="Charter Roman"/>
      <w:color w:themeColor="text1" w:val="000000"/>
    </w:rPr>
  </w:style>
  <w:style w:styleId="Heading8" w:type="paragraph">
    <w:name w:val="heading 8"/>
    <w:basedOn w:val="Normal"/>
    <w:next w:val="BodyText"/>
    <w:uiPriority w:val="9"/>
    <w:unhideWhenUsed/>
    <w:qFormat/>
    <w:rsid w:val="001E0E4C"/>
    <w:pPr>
      <w:keepNext/>
      <w:keepLines/>
      <w:spacing w:after="0" w:before="200"/>
      <w:outlineLvl w:val="7"/>
    </w:pPr>
    <w:rPr>
      <w:rFonts w:ascii="Charter Roman" w:cstheme="majorBidi" w:eastAsiaTheme="majorEastAsia" w:hAnsi="Charter Roman"/>
      <w:color w:themeColor="text1" w:val="000000"/>
    </w:rPr>
  </w:style>
  <w:style w:styleId="Heading9" w:type="paragraph">
    <w:name w:val="heading 9"/>
    <w:basedOn w:val="Normal"/>
    <w:next w:val="BodyText"/>
    <w:uiPriority w:val="9"/>
    <w:unhideWhenUsed/>
    <w:qFormat/>
    <w:rsid w:val="001E0E4C"/>
    <w:pPr>
      <w:keepNext/>
      <w:keepLines/>
      <w:spacing w:after="0" w:before="200"/>
      <w:outlineLvl w:val="8"/>
    </w:pPr>
    <w:rPr>
      <w:rFonts w:ascii="Charter Roman" w:cstheme="majorBidi" w:eastAsiaTheme="majorEastAsia" w:hAnsi="Charter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E2B87"/>
    <w:pPr>
      <w:spacing w:after="240" w:line="264" w:lineRule="auto"/>
    </w:pPr>
    <w:rPr>
      <w:rFonts w:ascii="Charter Roman" w:hAnsi="Charter Roman"/>
    </w:rPr>
  </w:style>
  <w:style w:customStyle="1" w:styleId="FirstParagraph" w:type="paragraph">
    <w:name w:val="First Paragraph"/>
    <w:basedOn w:val="BodyText"/>
    <w:next w:val="BodyText"/>
    <w:qFormat/>
    <w:rsid w:val="001E0E4C"/>
  </w:style>
  <w:style w:customStyle="1" w:styleId="Compact" w:type="paragraph">
    <w:name w:val="Compact"/>
    <w:basedOn w:val="BodyText"/>
    <w:qFormat/>
    <w:pPr>
      <w:spacing w:after="36" w:before="36"/>
    </w:pPr>
  </w:style>
  <w:style w:styleId="Title" w:type="paragraph">
    <w:name w:val="Title"/>
    <w:basedOn w:val="Normal"/>
    <w:next w:val="BodyText"/>
    <w:qFormat/>
    <w:rsid w:val="00E2478A"/>
    <w:pPr>
      <w:keepNext/>
      <w:keepLines/>
      <w:spacing w:after="240" w:line="264" w:lineRule="auto"/>
      <w:jc w:val="center"/>
    </w:pPr>
    <w:rPr>
      <w:rFonts w:ascii="Charter" w:cstheme="majorBidi" w:eastAsiaTheme="majorEastAsia" w:hAnsi="Charter"/>
      <w:b/>
      <w:bCs/>
      <w:color w:themeColor="text1" w:val="000000"/>
      <w:sz w:val="48"/>
      <w:szCs w:val="36"/>
    </w:rPr>
  </w:style>
  <w:style w:styleId="Subtitle" w:type="paragraph">
    <w:name w:val="Subtitle"/>
    <w:basedOn w:val="Title"/>
    <w:next w:val="BodyText"/>
    <w:qFormat/>
    <w:rsid w:val="000712C6"/>
    <w:pPr>
      <w:spacing w:before="240"/>
    </w:pPr>
    <w:rPr>
      <w:sz w:val="30"/>
      <w:szCs w:val="30"/>
    </w:rPr>
  </w:style>
  <w:style w:customStyle="1" w:styleId="Author" w:type="paragraph">
    <w:name w:val="Author"/>
    <w:next w:val="BodyText"/>
    <w:qFormat/>
    <w:rsid w:val="001E0E4C"/>
    <w:pPr>
      <w:keepNext/>
      <w:keepLines/>
      <w:jc w:val="center"/>
    </w:pPr>
    <w:rPr>
      <w:rFonts w:ascii="Charter Roman" w:hAnsi="Charter Roman"/>
    </w:rPr>
  </w:style>
  <w:style w:styleId="Date" w:type="paragraph">
    <w:name w:val="Date"/>
    <w:next w:val="BodyText"/>
    <w:qFormat/>
    <w:rsid w:val="001E0E4C"/>
    <w:pPr>
      <w:keepNext/>
      <w:keepLines/>
      <w:jc w:val="center"/>
    </w:pPr>
    <w:rPr>
      <w:rFonts w:ascii="Charter Roman" w:hAnsi="Charter Roman"/>
    </w:rPr>
  </w:style>
  <w:style w:customStyle="1" w:styleId="Abstract" w:type="paragraph">
    <w:name w:val="Abstract"/>
    <w:basedOn w:val="Normal"/>
    <w:next w:val="BodyText"/>
    <w:qFormat/>
    <w:rsid w:val="001E0E4C"/>
    <w:pPr>
      <w:keepNext/>
      <w:keepLines/>
      <w:spacing w:after="300" w:before="300"/>
    </w:pPr>
    <w:rPr>
      <w:rFonts w:ascii="Charter Roman" w:hAnsi="Charter Roman"/>
      <w:color w:themeColor="text1" w:themeTint="BF" w:val="404040"/>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E2B87"/>
    <w:rPr>
      <w:rFonts w:ascii="Charter Roman" w:hAnsi="Charter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E2B87"/>
    <w:pPr>
      <w:keepNext/>
      <w:keepLines/>
      <w:spacing w:after="0"/>
    </w:pPr>
    <w:rPr>
      <w:rFonts w:ascii="Charter Roman" w:hAnsi="Charter Roman"/>
      <w:b/>
    </w:rPr>
  </w:style>
  <w:style w:customStyle="1" w:styleId="Definition" w:type="paragraph">
    <w:name w:val="Definition"/>
    <w:basedOn w:val="Normal"/>
    <w:rsid w:val="00AE2B87"/>
    <w:rPr>
      <w:rFonts w:ascii="Charter Roman" w:hAnsi="Charter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AE2B87"/>
    <w:pPr>
      <w:keepNext/>
      <w:spacing w:line="264" w:lineRule="auto"/>
    </w:pPr>
    <w:rPr>
      <w:rFonts w:ascii="Charter Roman" w:hAnsi="Charter Roman"/>
    </w:rPr>
  </w:style>
  <w:style w:customStyle="1" w:styleId="ImageCaption" w:type="paragraph">
    <w:name w:val="Image Caption"/>
    <w:basedOn w:val="Caption"/>
    <w:rsid w:val="0079310F"/>
    <w:pPr>
      <w:spacing w:line="264" w:lineRule="auto"/>
    </w:pPr>
    <w:rPr>
      <w:rFonts w:ascii="Charter" w:hAnsi="Charter"/>
      <w:color w:themeColor="text1" w:themeTint="BF" w:val="40404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AE2B87"/>
    <w:rPr>
      <w:rFonts w:ascii="JetBrains Mono NL" w:hAnsi="JetBrains Mono NL"/>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E2B87"/>
    <w:rPr>
      <w:rFonts w:ascii="Charter Roman" w:hAnsi="Charter Roman"/>
      <w:color w:themeColor="accent1" w:themeShade="BF" w:val="365F91"/>
      <w:sz w:val="24"/>
    </w:rPr>
  </w:style>
  <w:style w:styleId="TOCHeading" w:type="paragraph">
    <w:name w:val="TOC Heading"/>
    <w:basedOn w:val="Heading1"/>
    <w:next w:val="BodyText"/>
    <w:uiPriority w:val="39"/>
    <w:unhideWhenUsed/>
    <w:qFormat/>
    <w:rsid w:val="00AA6DA8"/>
    <w:pPr>
      <w:spacing w:line="259" w:lineRule="auto"/>
      <w:outlineLvl w:val="9"/>
    </w:pPr>
    <w:rPr>
      <w:rFonts w:ascii="Charter Roman" w:hAnsi="Charter Roman"/>
      <w:bCs w:val="0"/>
    </w:rPr>
  </w:style>
  <w:style w:customStyle="1" w:styleId="BodyTextChar" w:type="character">
    <w:name w:val="Body Text Char"/>
    <w:basedOn w:val="DefaultParagraphFont"/>
    <w:link w:val="BodyText"/>
    <w:rsid w:val="00AE2B87"/>
    <w:rPr>
      <w:rFonts w:ascii="Charter Roman" w:hAnsi="Charter Roman"/>
    </w:rPr>
  </w:style>
  <w:style w:styleId="Header" w:type="paragraph">
    <w:name w:val="header"/>
    <w:basedOn w:val="Normal"/>
    <w:link w:val="HeaderChar"/>
    <w:unhideWhenUsed/>
    <w:rsid w:val="003D67DD"/>
    <w:pPr>
      <w:tabs>
        <w:tab w:pos="4680" w:val="center"/>
        <w:tab w:pos="9360" w:val="right"/>
      </w:tabs>
      <w:spacing w:after="0"/>
    </w:pPr>
  </w:style>
  <w:style w:customStyle="1" w:styleId="HeaderChar" w:type="character">
    <w:name w:val="Header Char"/>
    <w:basedOn w:val="DefaultParagraphFont"/>
    <w:link w:val="Header"/>
    <w:rsid w:val="003D67DD"/>
  </w:style>
  <w:style w:styleId="Footer" w:type="paragraph">
    <w:name w:val="footer"/>
    <w:basedOn w:val="Normal"/>
    <w:link w:val="FooterChar"/>
    <w:unhideWhenUsed/>
    <w:rsid w:val="003D67DD"/>
    <w:pPr>
      <w:tabs>
        <w:tab w:pos="4680" w:val="center"/>
        <w:tab w:pos="9360" w:val="right"/>
      </w:tabs>
      <w:spacing w:after="0"/>
    </w:pPr>
  </w:style>
  <w:style w:customStyle="1" w:styleId="FooterChar" w:type="character">
    <w:name w:val="Footer Char"/>
    <w:basedOn w:val="DefaultParagraphFont"/>
    <w:link w:val="Footer"/>
    <w:rsid w:val="003D67DD"/>
  </w:style>
  <w:style w:styleId="PageNumber" w:type="character">
    <w:name w:val="page number"/>
    <w:basedOn w:val="DefaultParagraphFont"/>
    <w:semiHidden/>
    <w:unhideWhenUsed/>
    <w:rsid w:val="003D67D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png" /><Relationship Type="http://schemas.openxmlformats.org/officeDocument/2006/relationships/hyperlink" Id="rId61" Target="https://doi.org/10.1016/S0022-3476(99)70094-6" TargetMode="External" /><Relationship Type="http://schemas.openxmlformats.org/officeDocument/2006/relationships/hyperlink" Id="rId43" Target="https://doi.org/10.1016/j.cca.2014.05.015" TargetMode="External" /><Relationship Type="http://schemas.openxmlformats.org/officeDocument/2006/relationships/hyperlink" Id="rId35" Target="https://doi.org/10.1016/j.gene.2015.12.061" TargetMode="External" /><Relationship Type="http://schemas.openxmlformats.org/officeDocument/2006/relationships/hyperlink" Id="rId55" Target="https://doi.org/10.1038/966" TargetMode="External" /><Relationship Type="http://schemas.openxmlformats.org/officeDocument/2006/relationships/hyperlink" Id="rId57" Target="https://doi.org/10.1038/ng0396-248" TargetMode="External" /><Relationship Type="http://schemas.openxmlformats.org/officeDocument/2006/relationships/hyperlink" Id="rId47" Target="https://doi.org/10.1073/pnas.92.12.5699" TargetMode="External" /><Relationship Type="http://schemas.openxmlformats.org/officeDocument/2006/relationships/hyperlink" Id="rId59" Target="https://doi.org/10.1111/j.1365-2265.2005.02255.x" TargetMode="External" /><Relationship Type="http://schemas.openxmlformats.org/officeDocument/2006/relationships/hyperlink" Id="rId51" Target="https://doi.org/10.1111/j.1600-0854.2007.00602.x" TargetMode="External" /><Relationship Type="http://schemas.openxmlformats.org/officeDocument/2006/relationships/hyperlink" Id="rId39" Target="https://doi.org/10.1111/jch.12598" TargetMode="External" /><Relationship Type="http://schemas.openxmlformats.org/officeDocument/2006/relationships/hyperlink" Id="rId28" Target="https://doi.org/10.1126/science.2063193" TargetMode="External" /><Relationship Type="http://schemas.openxmlformats.org/officeDocument/2006/relationships/hyperlink" Id="rId53" Target="https://doi.org/10.1136/adc.33.169.252" TargetMode="External" /><Relationship Type="http://schemas.openxmlformats.org/officeDocument/2006/relationships/hyperlink" Id="rId30" Target="https://doi.org/10.1152/ajpcell.1996.271.2.C605" TargetMode="External" /><Relationship Type="http://schemas.openxmlformats.org/officeDocument/2006/relationships/hyperlink" Id="rId32" Target="https://doi.org/10.1152/ajprenal.00401.2009" TargetMode="External" /><Relationship Type="http://schemas.openxmlformats.org/officeDocument/2006/relationships/hyperlink" Id="rId45" Target="https://doi.org/10.1152/ajprenal.90248.2008" TargetMode="External" /><Relationship Type="http://schemas.openxmlformats.org/officeDocument/2006/relationships/hyperlink" Id="rId49" Target="https://doi.org/10.1172/JCI5713" TargetMode="External" /><Relationship Type="http://schemas.openxmlformats.org/officeDocument/2006/relationships/hyperlink" Id="rId37" Target="https://doi.org/10.3390/ijms19030812" TargetMode="External" /><Relationship Type="http://schemas.openxmlformats.org/officeDocument/2006/relationships/hyperlink" Id="rId41" Target="https://journals.lww.com/jhypertension/Fulltext/2018/03000/Analysis_of_the_genes_involved_in_Mendelian_forms.10.aspx"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S0022-3476(99)70094-6" TargetMode="External" /><Relationship Type="http://schemas.openxmlformats.org/officeDocument/2006/relationships/hyperlink" Id="rId43" Target="https://doi.org/10.1016/j.cca.2014.05.015" TargetMode="External" /><Relationship Type="http://schemas.openxmlformats.org/officeDocument/2006/relationships/hyperlink" Id="rId35" Target="https://doi.org/10.1016/j.gene.2015.12.061" TargetMode="External" /><Relationship Type="http://schemas.openxmlformats.org/officeDocument/2006/relationships/hyperlink" Id="rId55" Target="https://doi.org/10.1038/966" TargetMode="External" /><Relationship Type="http://schemas.openxmlformats.org/officeDocument/2006/relationships/hyperlink" Id="rId57" Target="https://doi.org/10.1038/ng0396-248" TargetMode="External" /><Relationship Type="http://schemas.openxmlformats.org/officeDocument/2006/relationships/hyperlink" Id="rId47" Target="https://doi.org/10.1073/pnas.92.12.5699" TargetMode="External" /><Relationship Type="http://schemas.openxmlformats.org/officeDocument/2006/relationships/hyperlink" Id="rId59" Target="https://doi.org/10.1111/j.1365-2265.2005.02255.x" TargetMode="External" /><Relationship Type="http://schemas.openxmlformats.org/officeDocument/2006/relationships/hyperlink" Id="rId51" Target="https://doi.org/10.1111/j.1600-0854.2007.00602.x" TargetMode="External" /><Relationship Type="http://schemas.openxmlformats.org/officeDocument/2006/relationships/hyperlink" Id="rId39" Target="https://doi.org/10.1111/jch.12598" TargetMode="External" /><Relationship Type="http://schemas.openxmlformats.org/officeDocument/2006/relationships/hyperlink" Id="rId28" Target="https://doi.org/10.1126/science.2063193" TargetMode="External" /><Relationship Type="http://schemas.openxmlformats.org/officeDocument/2006/relationships/hyperlink" Id="rId53" Target="https://doi.org/10.1136/adc.33.169.252" TargetMode="External" /><Relationship Type="http://schemas.openxmlformats.org/officeDocument/2006/relationships/hyperlink" Id="rId30" Target="https://doi.org/10.1152/ajpcell.1996.271.2.C605" TargetMode="External" /><Relationship Type="http://schemas.openxmlformats.org/officeDocument/2006/relationships/hyperlink" Id="rId32" Target="https://doi.org/10.1152/ajprenal.00401.2009" TargetMode="External" /><Relationship Type="http://schemas.openxmlformats.org/officeDocument/2006/relationships/hyperlink" Id="rId45" Target="https://doi.org/10.1152/ajprenal.90248.2008" TargetMode="External" /><Relationship Type="http://schemas.openxmlformats.org/officeDocument/2006/relationships/hyperlink" Id="rId49" Target="https://doi.org/10.1172/JCI5713" TargetMode="External" /><Relationship Type="http://schemas.openxmlformats.org/officeDocument/2006/relationships/hyperlink" Id="rId37" Target="https://doi.org/10.3390/ijms19030812" TargetMode="External" /><Relationship Type="http://schemas.openxmlformats.org/officeDocument/2006/relationships/hyperlink" Id="rId41" Target="https://journals.lww.com/jhypertension/Fulltext/2018/03000/Analysis_of_the_genes_involved_in_Mendelian_forms.10.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ENaC isn’t ASIC</dc:title>
  <dc:creator>Richard Posert</dc:creator>
  <cp:keywords/>
  <dcterms:created xsi:type="dcterms:W3CDTF">2023-05-22T16:20:32Z</dcterms:created>
  <dcterms:modified xsi:type="dcterms:W3CDTF">2023-05-22T16:20:32Z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nature.csl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Study of Various Activating Mutations and Conditions of the Epithelial Sodium Channel</vt:lpwstr>
  </property>
  <property fmtid="{D5CDD505-2E9C-101B-9397-08002B2CF9AE}" pid="17" name="toc-title">
    <vt:lpwstr>Table of contents</vt:lpwstr>
  </property>
</Properties>
</file>