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2E75B6"/>
          <w:spacing w:val="40"/>
          <w:sz w:val="26"/>
          <w:szCs w:val="26"/>
        </w:rPr>
        <w:t xml:space="preserve">R&amp;D REPORT</w:t>
      </w:r>
    </w:p>
    <w:p>
      <w:pPr>
        <w:spacing w:before="200"/>
        <w:jc w:val="center"/>
      </w:pPr>
      <w:r>
        <w:rPr>
          <w:b/>
          <w:bCs/>
          <w:color w:val="1F3A5F"/>
          <w:sz w:val="56"/>
          <w:szCs w:val="56"/>
        </w:rPr>
        <w:t xml:space="preserve">Digital Threat Monitoring Platform</w:t>
      </w:r>
    </w:p>
    <w:p>
      <w:pPr>
        <w:spacing w:after="400" w:before="100"/>
        <w:jc w:val="center"/>
      </w:pPr>
      <w:r>
        <w:rPr>
          <w:color w:val="595959"/>
          <w:sz w:val="26"/>
          <w:szCs w:val="26"/>
        </w:rPr>
        <w:t xml:space="preserve">Technical Research &amp; Feasibility Study for the MVP</w:t>
      </w:r>
    </w:p>
    <w:p>
      <w:pPr>
        <w:pBdr>
          <w:top w:val="single" w:color="1F3A5F" w:sz="6" w:space="10"/>
        </w:pBdr>
        <w:spacing w:before="1600"/>
        <w:jc w:val="center"/>
      </w:pPr>
      <w:r>
        <w:t xml:space="preserve"/>
      </w:r>
    </w:p>
    <w:p>
      <w:pPr>
        <w:spacing w:before="300"/>
        <w:jc w:val="center"/>
      </w:pPr>
      <w:r>
        <w:rPr>
          <w:i/>
          <w:iCs/>
          <w:color w:val="595959"/>
          <w:sz w:val="21"/>
          <w:szCs w:val="21"/>
        </w:rPr>
        <w:t xml:space="preserve">Companion document to the Master Strategy &amp; MVP Launch Blueprint</w:t>
      </w:r>
    </w:p>
    <w:p>
      <w:pPr>
        <w:spacing w:before="800"/>
        <w:jc w:val="center"/>
      </w:pPr>
      <w:r>
        <w:rPr>
          <w:color w:val="595959"/>
          <w:sz w:val="21"/>
          <w:szCs w:val="21"/>
        </w:rPr>
        <w:t xml:space="preserve">Prepared: September 2026</w:t>
      </w:r>
    </w:p>
    <w:p>
      <w:pPr>
        <w:spacing w:before="100"/>
        <w:jc w:val="center"/>
      </w:pPr>
      <w:r>
        <w:rPr>
          <w:color w:val="595959"/>
          <w:sz w:val="21"/>
          <w:szCs w:val="21"/>
        </w:rPr>
        <w:t xml:space="preserve">Audience: Co-founder team — Product, Technical, Security Research, Growth</w:t>
      </w:r>
    </w:p>
    <w:p>
      <w:pPr>
        <w:sectPr>
          <w:pgSz w:w="12240" w:h="15840" w:orient="portrait"/>
          <w:pgMar w:top="1440" w:right="1350" w:bottom="1440" w:left="1350" w:header="708" w:footer="708" w:gutter="0"/>
          <w:pgNumType/>
          <w:docGrid w:linePitch="360"/>
        </w:sectPr>
      </w:pPr>
    </w:p>
    <w:p>
      <w:pPr>
        <w:pStyle w:val="Heading1"/>
        <w:pBdr>
          <w:bottom w:val="single" w:color="1F3A5F" w:sz="8" w:space="4"/>
        </w:pBdr>
        <w:spacing w:after="200" w:before="400"/>
      </w:pPr>
      <w:r>
        <w:rPr>
          <w:b/>
          <w:bCs/>
          <w:color w:val="1F3A5F"/>
          <w:sz w:val="30"/>
          <w:szCs w:val="30"/>
        </w:rPr>
        <w:t xml:space="preserve">Table of Contents</w:t>
      </w:r>
    </w:p>
    <w:p>
      <w:pPr>
        <w:spacing w:after="140"/>
      </w:pPr>
      <w:r>
        <w:rPr>
          <w:color w:val="1A1A1A"/>
          <w:sz w:val="22"/>
          <w:szCs w:val="22"/>
        </w:rPr>
        <w:t xml:space="preserve">1. Purpose &amp; Scope of This R&amp;D Report</w:t>
      </w:r>
    </w:p>
    <w:p>
      <w:pPr>
        <w:spacing w:after="140"/>
      </w:pPr>
      <w:r>
        <w:rPr>
          <w:color w:val="1A1A1A"/>
          <w:sz w:val="22"/>
          <w:szCs w:val="22"/>
        </w:rPr>
        <w:t xml:space="preserve">2. R&amp;D Objectives</w:t>
      </w:r>
    </w:p>
    <w:p>
      <w:pPr>
        <w:spacing w:after="140"/>
      </w:pPr>
      <w:r>
        <w:rPr>
          <w:color w:val="1A1A1A"/>
          <w:sz w:val="22"/>
          <w:szCs w:val="22"/>
        </w:rPr>
        <w:t xml:space="preserve">3. Research Thread 1 — External Asset Discovery</w:t>
      </w:r>
    </w:p>
    <w:p>
      <w:pPr>
        <w:spacing w:after="140"/>
      </w:pPr>
      <w:r>
        <w:rPr>
          <w:color w:val="1A1A1A"/>
          <w:sz w:val="22"/>
          <w:szCs w:val="22"/>
        </w:rPr>
        <w:t xml:space="preserve">4. Research Thread 2 — Exposure &amp; Configuration Checks</w:t>
      </w:r>
    </w:p>
    <w:p>
      <w:pPr>
        <w:spacing w:after="140"/>
      </w:pPr>
      <w:r>
        <w:rPr>
          <w:color w:val="1A1A1A"/>
          <w:sz w:val="22"/>
          <w:szCs w:val="22"/>
        </w:rPr>
        <w:t xml:space="preserve">5. Research Thread 3 — Threat &amp; Brand Monitoring</w:t>
      </w:r>
    </w:p>
    <w:p>
      <w:pPr>
        <w:spacing w:after="140"/>
      </w:pPr>
      <w:r>
        <w:rPr>
          <w:color w:val="1A1A1A"/>
          <w:sz w:val="22"/>
          <w:szCs w:val="22"/>
        </w:rPr>
        <w:t xml:space="preserve">6. Research Thread 4 — Risk Scoring Engine</w:t>
      </w:r>
    </w:p>
    <w:p>
      <w:pPr>
        <w:spacing w:after="140"/>
      </w:pPr>
      <w:r>
        <w:rPr>
          <w:color w:val="1A1A1A"/>
          <w:sz w:val="22"/>
          <w:szCs w:val="22"/>
        </w:rPr>
        <w:t xml:space="preserve">7. Research Thread 5 — AI Security Analyst Grounding</w:t>
      </w:r>
    </w:p>
    <w:p>
      <w:pPr>
        <w:spacing w:after="140"/>
      </w:pPr>
      <w:r>
        <w:rPr>
          <w:color w:val="1A1A1A"/>
          <w:sz w:val="22"/>
          <w:szCs w:val="22"/>
        </w:rPr>
        <w:t xml:space="preserve">8. Cross-Cutting Thread — False-Positive Control</w:t>
      </w:r>
    </w:p>
    <w:p>
      <w:pPr>
        <w:spacing w:after="140"/>
      </w:pPr>
      <w:r>
        <w:rPr>
          <w:color w:val="1A1A1A"/>
          <w:sz w:val="22"/>
          <w:szCs w:val="22"/>
        </w:rPr>
        <w:t xml:space="preserve">9. Architecture &amp; Data Model Research Notes</w:t>
      </w:r>
    </w:p>
    <w:p>
      <w:pPr>
        <w:spacing w:after="140"/>
      </w:pPr>
      <w:r>
        <w:rPr>
          <w:color w:val="1A1A1A"/>
          <w:sz w:val="22"/>
          <w:szCs w:val="22"/>
        </w:rPr>
        <w:t xml:space="preserve">10. Feasibility &amp; Effort Assessment</w:t>
      </w:r>
    </w:p>
    <w:p>
      <w:pPr>
        <w:spacing w:after="140"/>
      </w:pPr>
      <w:r>
        <w:rPr>
          <w:color w:val="1A1A1A"/>
          <w:sz w:val="22"/>
          <w:szCs w:val="22"/>
        </w:rPr>
        <w:t xml:space="preserve">11. Mapping R&amp;D Threads to the 90-Day Plan</w:t>
      </w:r>
    </w:p>
    <w:p>
      <w:pPr>
        <w:spacing w:after="140"/>
      </w:pPr>
      <w:r>
        <w:rPr>
          <w:color w:val="1A1A1A"/>
          <w:sz w:val="22"/>
          <w:szCs w:val="22"/>
        </w:rPr>
        <w:t xml:space="preserve">12. Consolidated Open Technical Risks</w:t>
      </w:r>
    </w:p>
    <w:p>
      <w:pPr>
        <w:spacing w:after="140"/>
      </w:pPr>
      <w:r>
        <w:rPr>
          <w:color w:val="1A1A1A"/>
          <w:sz w:val="22"/>
          <w:szCs w:val="22"/>
        </w:rPr>
        <w:t xml:space="preserve">13. Recommendations &amp; Immediate Next Steps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A5F" w:sz="8" w:space="4"/>
        </w:pBdr>
        <w:spacing w:after="200" w:before="400"/>
      </w:pPr>
      <w:r>
        <w:rPr>
          <w:b/>
          <w:bCs/>
          <w:color w:val="1F3A5F"/>
          <w:sz w:val="30"/>
          <w:szCs w:val="30"/>
        </w:rPr>
        <w:t xml:space="preserve">1. Purpose &amp; Scope of This R&amp;D Report</w:t>
      </w:r>
    </w:p>
    <w:p>
      <w:pPr>
        <w:spacing w:after="160" w:line="300"/>
      </w:pPr>
      <w:r>
        <w:rPr>
          <w:sz w:val="21"/>
          <w:szCs w:val="21"/>
        </w:rPr>
        <w:t xml:space="preserve">The Master Strategy document defines what the Digital Threat Monitoring Platform should do and why. This report goes one layer deeper: for each of the five MVP pillars, it examines how the capability can actually be built — the underlying techniques, the open-source and commercial building blocks available, the technical trade-offs, and the open research questions that need an answer before or during the 90-day build.</w:t>
      </w:r>
    </w:p>
    <w:p>
      <w:pPr>
        <w:spacing w:after="160" w:line="300"/>
      </w:pPr>
      <w:r>
        <w:rPr>
          <w:sz w:val="21"/>
          <w:szCs w:val="21"/>
        </w:rPr>
        <w:t xml:space="preserve">This is a working R&amp;D reference, not a final architecture spec. Its purpose is to let the technical lead and security researcher scope engineering tickets with confidence, and to give the whole founding team a shared, accurate picture of technical feasibility, effort, and risk.</w:t>
      </w:r>
    </w:p>
    <w:p>
      <w:pPr>
        <w:pBdr>
          <w:left w:val="single" w:color="2E75B6" w:sz="24" w:space="8"/>
        </w:pBdr>
        <w:shd w:fill="EAF1F8" w:val="clear"/>
        <w:spacing w:after="200" w:before="120"/>
        <w:ind w:left="120"/>
      </w:pPr>
      <w:r>
        <w:rPr>
          <w:i/>
          <w:iCs/>
          <w:color w:val="203040"/>
          <w:sz w:val="21"/>
          <w:szCs w:val="21"/>
        </w:rPr>
        <w:t xml:space="preserve">Scope note: this report covers passive and authorized-active external monitoring techniques only, consistent with the strategy's explicit exclusion of autonomous offensive exploitation.</w:t>
      </w:r>
    </w:p>
    <w:p>
      <w:pPr>
        <w:pStyle w:val="Heading2"/>
        <w:spacing w:after="120" w:before="300"/>
      </w:pPr>
      <w:r>
        <w:rPr>
          <w:b/>
          <w:bCs/>
          <w:color w:val="2E75B6"/>
          <w:sz w:val="24"/>
          <w:szCs w:val="24"/>
        </w:rPr>
        <w:t xml:space="preserve">1.1 How to Read This Report</w:t>
      </w:r>
    </w:p>
    <w:p>
      <w:pPr>
        <w:spacing w:after="160" w:line="300"/>
      </w:pPr>
      <w:r>
        <w:rPr>
          <w:sz w:val="21"/>
          <w:szCs w:val="21"/>
        </w:rPr>
        <w:t xml:space="preserve">Sections 3–9 mirror the five MVP pillars plus the two cross-cutting concerns (false-positive control and AI grounding) from the Master Strategy. Each pillar section covers: the underlying research question, candidate techniques, the build-vs-buy landscape, and recommended MVP scope. Section 10 consolidates everything into a feasibility and effort table; Section 11 maps research activities onto the existing 90-day plan; Section 12 lists open technical risks that need explicit decisions.</w:t>
      </w:r>
    </w:p>
    <w:p>
      <w:pPr>
        <w:pStyle w:val="Heading1"/>
        <w:pBdr>
          <w:bottom w:val="single" w:color="1F3A5F" w:sz="8" w:space="4"/>
        </w:pBdr>
        <w:spacing w:after="200" w:before="400"/>
      </w:pPr>
      <w:r>
        <w:rPr>
          <w:b/>
          <w:bCs/>
          <w:color w:val="1F3A5F"/>
          <w:sz w:val="30"/>
          <w:szCs w:val="30"/>
        </w:rPr>
        <w:t xml:space="preserve">2. R&amp;D Objectives</w:t>
      </w:r>
    </w:p>
    <w:p>
      <w:pPr>
        <w:spacing w:after="160" w:line="300"/>
      </w:pPr>
      <w:r>
        <w:rPr>
          <w:sz w:val="21"/>
          <w:szCs w:val="21"/>
        </w:rPr>
        <w:t xml:space="preserve">Five research objectives sit underneath the product goals defined in the strategy document:</w:t>
      </w:r>
    </w:p>
    <w:p>
      <w:pPr>
        <w:pStyle w:val="ListParagraph"/>
        <w:numPr>
          <w:ilvl w:val="0"/>
          <w:numId w:val="2"/>
        </w:numPr>
        <w:spacing w:after="80" w:line="280"/>
      </w:pPr>
      <w:r>
        <w:rPr>
          <w:sz w:val="21"/>
          <w:szCs w:val="21"/>
        </w:rPr>
        <w:t xml:space="preserve">Determine which asset-discovery techniques give the best coverage-to-cost ratio for the 1–20-domain ICP, without triggering abuse flags from upstream providers.</w:t>
      </w:r>
    </w:p>
    <w:p>
      <w:pPr>
        <w:pStyle w:val="ListParagraph"/>
        <w:numPr>
          <w:ilvl w:val="0"/>
          <w:numId w:val="2"/>
        </w:numPr>
        <w:spacing w:after="80" w:line="280"/>
      </w:pPr>
      <w:r>
        <w:rPr>
          <w:sz w:val="21"/>
          <w:szCs w:val="21"/>
        </w:rPr>
        <w:t xml:space="preserve">Define a defensible confidence model so that every finding shown to a customer is traceable to concrete evidence, not inference.</w:t>
      </w:r>
    </w:p>
    <w:p>
      <w:pPr>
        <w:pStyle w:val="ListParagraph"/>
        <w:numPr>
          <w:ilvl w:val="0"/>
          <w:numId w:val="2"/>
        </w:numPr>
        <w:spacing w:after="80" w:line="280"/>
      </w:pPr>
      <w:r>
        <w:rPr>
          <w:sz w:val="21"/>
          <w:szCs w:val="21"/>
        </w:rPr>
        <w:t xml:space="preserve">Design a brand/typosquat detection pipeline with a false-positive rate low enough to alert on, not just report on.</w:t>
      </w:r>
    </w:p>
    <w:p>
      <w:pPr>
        <w:pStyle w:val="ListParagraph"/>
        <w:numPr>
          <w:ilvl w:val="0"/>
          <w:numId w:val="2"/>
        </w:numPr>
        <w:spacing w:after="80" w:line="280"/>
      </w:pPr>
      <w:r>
        <w:rPr>
          <w:sz w:val="21"/>
          <w:szCs w:val="21"/>
        </w:rPr>
        <w:t xml:space="preserve">Specify a risk-scoring formula that a non-technical SMB owner can trust and act on within seconds of reading it.</w:t>
      </w:r>
    </w:p>
    <w:p>
      <w:pPr>
        <w:pStyle w:val="ListParagraph"/>
        <w:numPr>
          <w:ilvl w:val="0"/>
          <w:numId w:val="2"/>
        </w:numPr>
        <w:spacing w:after="80" w:line="280"/>
      </w:pPr>
      <w:r>
        <w:rPr>
          <w:sz w:val="21"/>
          <w:szCs w:val="21"/>
        </w:rPr>
        <w:t xml:space="preserve">Constrain the AI explanation layer so it improves comprehension without ever becoming the source of a security claim.</w:t>
      </w:r>
    </w:p>
    <w:p>
      <w:pPr>
        <w:spacing w:after="160" w:line="300"/>
      </w:pPr>
      <w:r>
        <w:rPr>
          <w:sz w:val="21"/>
          <w:szCs w:val="21"/>
        </w:rPr>
        <w:t xml:space="preserve">Each objective below is treated as a distinct research thread with its own success criteria.</w:t>
      </w:r>
    </w:p>
    <w:p>
      <w:r>
        <w:br w:type="page"/>
      </w:r>
    </w:p>
    <w:p>
      <w:pPr>
        <w:pStyle w:val="Heading1"/>
        <w:pBdr>
          <w:bottom w:val="single" w:color="1F3A5F" w:sz="8" w:space="4"/>
        </w:pBdr>
        <w:spacing w:after="200" w:before="400"/>
      </w:pPr>
      <w:r>
        <w:rPr>
          <w:b/>
          <w:bCs/>
          <w:color w:val="1F3A5F"/>
          <w:sz w:val="30"/>
          <w:szCs w:val="30"/>
        </w:rPr>
        <w:t xml:space="preserve">3. Research Thread 1 — External Asset Discovery</w:t>
      </w:r>
    </w:p>
    <w:p>
      <w:pPr>
        <w:spacing w:after="160" w:line="300"/>
      </w:pPr>
      <w:r>
        <w:rPr>
          <w:sz w:val="21"/>
          <w:szCs w:val="21"/>
        </w:rPr>
        <w:t xml:space="preserve">Research question: how do we build and continuously refresh an accurate inventory of a customer's internet-facing footprint, using only passive and authorized techniques, at a cost that scales to hundreds of customers?</w:t>
      </w:r>
    </w:p>
    <w:p>
      <w:pPr>
        <w:pStyle w:val="Heading2"/>
        <w:spacing w:after="120" w:before="300"/>
      </w:pPr>
      <w:r>
        <w:rPr>
          <w:b/>
          <w:bCs/>
          <w:color w:val="2E75B6"/>
          <w:sz w:val="24"/>
          <w:szCs w:val="24"/>
        </w:rPr>
        <w:t xml:space="preserve">3.1 Candidate Techniques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200"/>
      </w:tblGrid>
      <w:tr>
        <w:trPr>
          <w:tblHeader/>
        </w:trPr>
        <w:tc>
          <w:tcPr>
            <w:tcW w:type="dxa" w:w="3200"/>
            <w:shd w:fill="1F3A5F" w:val="clear"/>
            <w:tcMar>
              <w:top w:type="dxa" w:w="80"/>
              <w:left w:type="dxa" w:w="100"/>
              <w:bottom w:type="dxa" w:w="80"/>
              <w:right w:type="dxa" w:w="100"/>
            </w:tcMar>
            <w:vAlign w:val="center"/>
          </w:tcPr>
          <w:p>
            <w:r>
              <w:rPr>
                <w:b/>
                <w:bCs/>
                <w:color w:val="FFFFFF"/>
                <w:sz w:val="19"/>
                <w:szCs w:val="19"/>
              </w:rPr>
              <w:t xml:space="preserve">Technique</w:t>
            </w:r>
          </w:p>
        </w:tc>
        <w:tc>
          <w:tcPr>
            <w:tcW w:type="dxa" w:w="3400"/>
            <w:shd w:fill="1F3A5F" w:val="clear"/>
            <w:tcMar>
              <w:top w:type="dxa" w:w="80"/>
              <w:left w:type="dxa" w:w="100"/>
              <w:bottom w:type="dxa" w:w="80"/>
              <w:right w:type="dxa" w:w="100"/>
            </w:tcMar>
            <w:vAlign w:val="center"/>
          </w:tcPr>
          <w:p>
            <w:r>
              <w:rPr>
                <w:b/>
                <w:bCs/>
                <w:color w:val="FFFFFF"/>
                <w:sz w:val="19"/>
                <w:szCs w:val="19"/>
              </w:rPr>
              <w:t xml:space="preserve">What it reveals</w:t>
            </w:r>
          </w:p>
        </w:tc>
        <w:tc>
          <w:tcPr>
            <w:tcW w:type="dxa" w:w="3200"/>
            <w:shd w:fill="1F3A5F" w:val="clear"/>
            <w:tcMar>
              <w:top w:type="dxa" w:w="80"/>
              <w:left w:type="dxa" w:w="100"/>
              <w:bottom w:type="dxa" w:w="80"/>
              <w:right w:type="dxa" w:w="100"/>
            </w:tcMar>
            <w:vAlign w:val="center"/>
          </w:tcPr>
          <w:p>
            <w:r>
              <w:rPr>
                <w:b/>
                <w:bCs/>
                <w:color w:val="FFFFFF"/>
                <w:sz w:val="19"/>
                <w:szCs w:val="19"/>
              </w:rPr>
              <w:t xml:space="preserve">Notes</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Certificate Transparency (CT) log monitoring</w:t>
            </w:r>
          </w:p>
        </w:tc>
        <w:tc>
          <w:tcPr>
            <w:tcW w:type="dxa" w:w="3400"/>
            <w:tcMar>
              <w:top w:type="dxa" w:w="80"/>
              <w:left w:type="dxa" w:w="100"/>
              <w:bottom w:type="dxa" w:w="80"/>
              <w:right w:type="dxa" w:w="100"/>
            </w:tcMar>
            <w:vAlign w:val="center"/>
          </w:tcPr>
          <w:p>
            <w:r>
              <w:rPr>
                <w:b w:val="false"/>
                <w:bCs w:val="false"/>
                <w:color w:val="1A1A1A"/>
                <w:sz w:val="19"/>
                <w:szCs w:val="19"/>
              </w:rPr>
              <w:t xml:space="preserve">New and historical subdomains, naming patterns, rapid detection of newly issued certs</w:t>
            </w:r>
          </w:p>
        </w:tc>
        <w:tc>
          <w:tcPr>
            <w:tcW w:type="dxa" w:w="3200"/>
            <w:tcMar>
              <w:top w:type="dxa" w:w="80"/>
              <w:left w:type="dxa" w:w="100"/>
              <w:bottom w:type="dxa" w:w="80"/>
              <w:right w:type="dxa" w:w="100"/>
            </w:tcMar>
            <w:vAlign w:val="center"/>
          </w:tcPr>
          <w:p>
            <w:r>
              <w:rPr>
                <w:b w:val="false"/>
                <w:bCs w:val="false"/>
                <w:color w:val="1A1A1A"/>
                <w:sz w:val="19"/>
                <w:szCs w:val="19"/>
              </w:rPr>
              <w:t xml:space="preserve">Free, passive, near real-time; a strong primary signal for both discovery and brand monitoring</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Passive DNS aggregation</w:t>
            </w:r>
          </w:p>
        </w:tc>
        <w:tc>
          <w:tcPr>
            <w:tcW w:type="dxa" w:w="3400"/>
            <w:shd w:fill="F5F8FB" w:val="clear"/>
            <w:tcMar>
              <w:top w:type="dxa" w:w="80"/>
              <w:left w:type="dxa" w:w="100"/>
              <w:bottom w:type="dxa" w:w="80"/>
              <w:right w:type="dxa" w:w="100"/>
            </w:tcMar>
            <w:vAlign w:val="center"/>
          </w:tcPr>
          <w:p>
            <w:r>
              <w:rPr>
                <w:b w:val="false"/>
                <w:bCs w:val="false"/>
                <w:color w:val="1A1A1A"/>
                <w:sz w:val="19"/>
                <w:szCs w:val="19"/>
              </w:rPr>
              <w:t xml:space="preserve">Historical subdomain/IP resolutions without touching customer infra</w:t>
            </w:r>
          </w:p>
        </w:tc>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Depends on third-party passive-DNS providers; coverage varies by region/provider</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DNS zone-adjacent enumeration (wordlist + permutation)</w:t>
            </w:r>
          </w:p>
        </w:tc>
        <w:tc>
          <w:tcPr>
            <w:tcW w:type="dxa" w:w="3400"/>
            <w:tcMar>
              <w:top w:type="dxa" w:w="80"/>
              <w:left w:type="dxa" w:w="100"/>
              <w:bottom w:type="dxa" w:w="80"/>
              <w:right w:type="dxa" w:w="100"/>
            </w:tcMar>
            <w:vAlign w:val="center"/>
          </w:tcPr>
          <w:p>
            <w:r>
              <w:rPr>
                <w:b w:val="false"/>
                <w:bCs w:val="false"/>
                <w:color w:val="1A1A1A"/>
                <w:sz w:val="19"/>
                <w:szCs w:val="19"/>
              </w:rPr>
              <w:t xml:space="preserve">Subdomains not visible in CT logs (internal-only certs, wildcard usage)</w:t>
            </w:r>
          </w:p>
        </w:tc>
        <w:tc>
          <w:tcPr>
            <w:tcW w:type="dxa" w:w="3200"/>
            <w:tcMar>
              <w:top w:type="dxa" w:w="80"/>
              <w:left w:type="dxa" w:w="100"/>
              <w:bottom w:type="dxa" w:w="80"/>
              <w:right w:type="dxa" w:w="100"/>
            </w:tcMar>
            <w:vAlign w:val="center"/>
          </w:tcPr>
          <w:p>
            <w:r>
              <w:rPr>
                <w:b w:val="false"/>
                <w:bCs w:val="false"/>
                <w:color w:val="1A1A1A"/>
                <w:sz w:val="19"/>
                <w:szCs w:val="19"/>
              </w:rPr>
              <w:t xml:space="preserve">Active but low-impact; needs rate limiting and resolver diversity to avoid provider blocking</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WHOIS / RDAP + reverse WHOIS</w:t>
            </w:r>
          </w:p>
        </w:tc>
        <w:tc>
          <w:tcPr>
            <w:tcW w:type="dxa" w:w="3400"/>
            <w:shd w:fill="F5F8FB" w:val="clear"/>
            <w:tcMar>
              <w:top w:type="dxa" w:w="80"/>
              <w:left w:type="dxa" w:w="100"/>
              <w:bottom w:type="dxa" w:w="80"/>
              <w:right w:type="dxa" w:w="100"/>
            </w:tcMar>
            <w:vAlign w:val="center"/>
          </w:tcPr>
          <w:p>
            <w:r>
              <w:rPr>
                <w:b w:val="false"/>
                <w:bCs w:val="false"/>
                <w:color w:val="1A1A1A"/>
                <w:sz w:val="19"/>
                <w:szCs w:val="19"/>
              </w:rPr>
              <w:t xml:space="preserve">Related domains under common registrant/org details</w:t>
            </w:r>
          </w:p>
        </w:tc>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RDAP replacing WHOIS; reverse lookups increasingly restricted post-GDPR redaction</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Search-engine and code-repository dorking</w:t>
            </w:r>
          </w:p>
        </w:tc>
        <w:tc>
          <w:tcPr>
            <w:tcW w:type="dxa" w:w="3400"/>
            <w:tcMar>
              <w:top w:type="dxa" w:w="80"/>
              <w:left w:type="dxa" w:w="100"/>
              <w:bottom w:type="dxa" w:w="80"/>
              <w:right w:type="dxa" w:w="100"/>
            </w:tcMar>
            <w:vAlign w:val="center"/>
          </w:tcPr>
          <w:p>
            <w:r>
              <w:rPr>
                <w:b w:val="false"/>
                <w:bCs w:val="false"/>
                <w:color w:val="1A1A1A"/>
                <w:sz w:val="19"/>
                <w:szCs w:val="19"/>
              </w:rPr>
              <w:t xml:space="preserve">Exposed subdomains, leaked endpoints, forgotten staging environments</w:t>
            </w:r>
          </w:p>
        </w:tc>
        <w:tc>
          <w:tcPr>
            <w:tcW w:type="dxa" w:w="3200"/>
            <w:tcMar>
              <w:top w:type="dxa" w:w="80"/>
              <w:left w:type="dxa" w:w="100"/>
              <w:bottom w:type="dxa" w:w="80"/>
              <w:right w:type="dxa" w:w="100"/>
            </w:tcMar>
            <w:vAlign w:val="center"/>
          </w:tcPr>
          <w:p>
            <w:r>
              <w:rPr>
                <w:b w:val="false"/>
                <w:bCs w:val="false"/>
                <w:color w:val="1A1A1A"/>
                <w:sz w:val="19"/>
                <w:szCs w:val="19"/>
              </w:rPr>
              <w:t xml:space="preserve">High signal-to-noise when scoped to verified domain; must respect provider ToS</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Banner / service fingerprinting on discovered IPs</w:t>
            </w:r>
          </w:p>
        </w:tc>
        <w:tc>
          <w:tcPr>
            <w:tcW w:type="dxa" w:w="3400"/>
            <w:shd w:fill="F5F8FB" w:val="clear"/>
            <w:tcMar>
              <w:top w:type="dxa" w:w="80"/>
              <w:left w:type="dxa" w:w="100"/>
              <w:bottom w:type="dxa" w:w="80"/>
              <w:right w:type="dxa" w:w="100"/>
            </w:tcMar>
            <w:vAlign w:val="center"/>
          </w:tcPr>
          <w:p>
            <w:r>
              <w:rPr>
                <w:b w:val="false"/>
                <w:bCs w:val="false"/>
                <w:color w:val="1A1A1A"/>
                <w:sz w:val="19"/>
                <w:szCs w:val="19"/>
              </w:rPr>
              <w:t xml:space="preserve">Open ports, running services, technology stack</w:t>
            </w:r>
          </w:p>
        </w:tc>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Must be scoped strictly to already-verified, customer-owned assets</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Favicon and TLS-certificate fingerprint hashing</w:t>
            </w:r>
          </w:p>
        </w:tc>
        <w:tc>
          <w:tcPr>
            <w:tcW w:type="dxa" w:w="3400"/>
            <w:tcMar>
              <w:top w:type="dxa" w:w="80"/>
              <w:left w:type="dxa" w:w="100"/>
              <w:bottom w:type="dxa" w:w="80"/>
              <w:right w:type="dxa" w:w="100"/>
            </w:tcMar>
            <w:vAlign w:val="center"/>
          </w:tcPr>
          <w:p>
            <w:r>
              <w:rPr>
                <w:b w:val="false"/>
                <w:bCs w:val="false"/>
                <w:color w:val="1A1A1A"/>
                <w:sz w:val="19"/>
                <w:szCs w:val="19"/>
              </w:rPr>
              <w:t xml:space="preserve">Related infrastructure sharing the same deployment template</w:t>
            </w:r>
          </w:p>
        </w:tc>
        <w:tc>
          <w:tcPr>
            <w:tcW w:type="dxa" w:w="3200"/>
            <w:tcMar>
              <w:top w:type="dxa" w:w="80"/>
              <w:left w:type="dxa" w:w="100"/>
              <w:bottom w:type="dxa" w:w="80"/>
              <w:right w:type="dxa" w:w="100"/>
            </w:tcMar>
            <w:vAlign w:val="center"/>
          </w:tcPr>
          <w:p>
            <w:r>
              <w:rPr>
                <w:b w:val="false"/>
                <w:bCs w:val="false"/>
                <w:color w:val="1A1A1A"/>
                <w:sz w:val="19"/>
                <w:szCs w:val="19"/>
              </w:rPr>
              <w:t xml:space="preserve">Useful for grouping assets across subdomains/IPs, low false-positive technique</w:t>
            </w:r>
          </w:p>
        </w:tc>
      </w:tr>
    </w:tbl>
    <w:p>
      <w:pPr>
        <w:pStyle w:val="Heading2"/>
        <w:spacing w:after="120" w:before="300"/>
      </w:pPr>
      <w:r>
        <w:rPr>
          <w:b/>
          <w:bCs/>
          <w:color w:val="2E75B6"/>
          <w:sz w:val="24"/>
          <w:szCs w:val="24"/>
        </w:rPr>
        <w:t xml:space="preserve">3.2 Build vs. Buy</w:t>
      </w:r>
    </w:p>
    <w:p>
      <w:pPr>
        <w:spacing w:after="160" w:line="300"/>
      </w:pPr>
      <w:r>
        <w:rPr>
          <w:sz w:val="21"/>
          <w:szCs w:val="21"/>
        </w:rPr>
        <w:t xml:space="preserve">A hybrid approach is the realistic MVP path: build the orchestration and data model in-house, and lean on mature open-source enumeration tooling for the raw collection step rather than re-implementing well-solved problems. Commercial attack-surface-management data feeds (e.g., aggregated CT/passive-DNS APIs) can shortcut months of infrastructure-building at the cost of per-lookup pricing — worth evaluating once query volume is known, but not required to validate the MVP.</w:t>
      </w:r>
    </w:p>
    <w:p>
      <w:pPr>
        <w:pStyle w:val="ListParagraph"/>
        <w:numPr>
          <w:ilvl w:val="0"/>
          <w:numId w:val="3"/>
        </w:numPr>
        <w:spacing w:after="80" w:line="280"/>
      </w:pPr>
      <w:r>
        <w:rPr>
          <w:sz w:val="21"/>
          <w:szCs w:val="21"/>
        </w:rPr>
        <w:t xml:space="preserve">MVP recommendation: self-host CT log tailing + a widely used open-source subdomain enumeration toolchain, orchestrated by the discovery worker.</w:t>
      </w:r>
    </w:p>
    <w:p>
      <w:pPr>
        <w:pStyle w:val="ListParagraph"/>
        <w:numPr>
          <w:ilvl w:val="0"/>
          <w:numId w:val="3"/>
        </w:numPr>
        <w:spacing w:after="80" w:line="280"/>
      </w:pPr>
      <w:r>
        <w:rPr>
          <w:sz w:val="21"/>
          <w:szCs w:val="21"/>
        </w:rPr>
        <w:t xml:space="preserve">Defer: dedicated passive-DNS subscription and reverse-WHOIS providers until unit economics are validated in beta.</w:t>
      </w:r>
    </w:p>
    <w:p>
      <w:pPr>
        <w:pStyle w:val="ListParagraph"/>
        <w:numPr>
          <w:ilvl w:val="0"/>
          <w:numId w:val="3"/>
        </w:numPr>
        <w:spacing w:after="80" w:line="280"/>
      </w:pPr>
      <w:r>
        <w:rPr>
          <w:sz w:val="21"/>
          <w:szCs w:val="21"/>
        </w:rPr>
        <w:t xml:space="preserve">Always defer to the customer's verified domain scope — discovery must never wander into infrastructure the customer hasn't attested to owning.</w:t>
      </w:r>
    </w:p>
    <w:p>
      <w:pPr>
        <w:pStyle w:val="Heading2"/>
        <w:spacing w:after="120" w:before="300"/>
      </w:pPr>
      <w:r>
        <w:rPr>
          <w:b/>
          <w:bCs/>
          <w:color w:val="2E75B6"/>
          <w:sz w:val="24"/>
          <w:szCs w:val="24"/>
        </w:rPr>
        <w:t xml:space="preserve">3.3 Open Research Questions</w:t>
      </w:r>
    </w:p>
    <w:p>
      <w:pPr>
        <w:pStyle w:val="ListParagraph"/>
        <w:numPr>
          <w:ilvl w:val="0"/>
          <w:numId w:val="3"/>
        </w:numPr>
        <w:spacing w:after="80" w:line="280"/>
      </w:pPr>
      <w:r>
        <w:rPr>
          <w:sz w:val="21"/>
          <w:szCs w:val="21"/>
        </w:rPr>
        <w:t xml:space="preserve">What refresh cadence (hourly / daily / weekly per asset class) balances discovery freshness against provider rate limits and infra cost?</w:t>
      </w:r>
    </w:p>
    <w:p>
      <w:pPr>
        <w:pStyle w:val="ListParagraph"/>
        <w:numPr>
          <w:ilvl w:val="0"/>
          <w:numId w:val="3"/>
        </w:numPr>
        <w:spacing w:after="80" w:line="280"/>
      </w:pPr>
      <w:r>
        <w:rPr>
          <w:sz w:val="21"/>
          <w:szCs w:val="21"/>
        </w:rPr>
        <w:t xml:space="preserve">How do we deduplicate and merge assets discovered via multiple techniques into one canonical Asset record without creating duplicate findings downstream?</w:t>
      </w:r>
    </w:p>
    <w:p>
      <w:pPr>
        <w:pStyle w:val="ListParagraph"/>
        <w:numPr>
          <w:ilvl w:val="0"/>
          <w:numId w:val="3"/>
        </w:numPr>
        <w:spacing w:after="80" w:line="280"/>
      </w:pPr>
      <w:r>
        <w:rPr>
          <w:sz w:val="21"/>
          <w:szCs w:val="21"/>
        </w:rPr>
        <w:t xml:space="preserve">What is the minimum viable resolver/proxy diversity needed to avoid being rate-limited or blocklisted by upstream DNS providers at customer-relevant scan volumes?</w:t>
      </w:r>
    </w:p>
    <w:p>
      <w:r>
        <w:br w:type="page"/>
      </w:r>
    </w:p>
    <w:p>
      <w:pPr>
        <w:pStyle w:val="Heading1"/>
        <w:pBdr>
          <w:bottom w:val="single" w:color="1F3A5F" w:sz="8" w:space="4"/>
        </w:pBdr>
        <w:spacing w:after="200" w:before="400"/>
      </w:pPr>
      <w:r>
        <w:rPr>
          <w:b/>
          <w:bCs/>
          <w:color w:val="1F3A5F"/>
          <w:sz w:val="30"/>
          <w:szCs w:val="30"/>
        </w:rPr>
        <w:t xml:space="preserve">4. Research Thread 2 — Exposure &amp; Configuration Checks</w:t>
      </w:r>
    </w:p>
    <w:p>
      <w:pPr>
        <w:spacing w:after="160" w:line="300"/>
      </w:pPr>
      <w:r>
        <w:rPr>
          <w:sz w:val="21"/>
          <w:szCs w:val="21"/>
        </w:rPr>
        <w:t xml:space="preserve">Research question: which checks give SMB customers the highest-value, lowest-noise signal about real exposure, and how do we run them without the false confidence of “version detected = vulnerable” claims?</w:t>
      </w:r>
    </w:p>
    <w:p>
      <w:pPr>
        <w:pStyle w:val="Heading2"/>
        <w:spacing w:after="120" w:before="300"/>
      </w:pPr>
      <w:r>
        <w:rPr>
          <w:b/>
          <w:bCs/>
          <w:color w:val="2E75B6"/>
          <w:sz w:val="24"/>
          <w:szCs w:val="24"/>
        </w:rPr>
        <w:t xml:space="preserve">4.1 Check Categories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900"/>
      </w:tblGrid>
      <w:tr>
        <w:trPr>
          <w:tblHeader/>
        </w:trPr>
        <w:tc>
          <w:tcPr>
            <w:tcW w:type="dxa" w:w="2700"/>
            <w:shd w:fill="1F3A5F" w:val="clear"/>
            <w:tcMar>
              <w:top w:type="dxa" w:w="80"/>
              <w:left w:type="dxa" w:w="100"/>
              <w:bottom w:type="dxa" w:w="80"/>
              <w:right w:type="dxa" w:w="100"/>
            </w:tcMar>
            <w:vAlign w:val="center"/>
          </w:tcPr>
          <w:p>
            <w:r>
              <w:rPr>
                <w:b/>
                <w:bCs/>
                <w:color w:val="FFFFFF"/>
                <w:sz w:val="19"/>
                <w:szCs w:val="19"/>
              </w:rPr>
              <w:t xml:space="preserve">Category</w:t>
            </w:r>
          </w:p>
        </w:tc>
        <w:tc>
          <w:tcPr>
            <w:tcW w:type="dxa" w:w="4200"/>
            <w:shd w:fill="1F3A5F" w:val="clear"/>
            <w:tcMar>
              <w:top w:type="dxa" w:w="80"/>
              <w:left w:type="dxa" w:w="100"/>
              <w:bottom w:type="dxa" w:w="80"/>
              <w:right w:type="dxa" w:w="100"/>
            </w:tcMar>
            <w:vAlign w:val="center"/>
          </w:tcPr>
          <w:p>
            <w:r>
              <w:rPr>
                <w:b/>
                <w:bCs/>
                <w:color w:val="FFFFFF"/>
                <w:sz w:val="19"/>
                <w:szCs w:val="19"/>
              </w:rPr>
              <w:t xml:space="preserve">Example checks</w:t>
            </w:r>
          </w:p>
        </w:tc>
        <w:tc>
          <w:tcPr>
            <w:tcW w:type="dxa" w:w="2900"/>
            <w:shd w:fill="1F3A5F" w:val="clear"/>
            <w:tcMar>
              <w:top w:type="dxa" w:w="80"/>
              <w:left w:type="dxa" w:w="100"/>
              <w:bottom w:type="dxa" w:w="80"/>
              <w:right w:type="dxa" w:w="100"/>
            </w:tcMar>
            <w:vAlign w:val="center"/>
          </w:tcPr>
          <w:p>
            <w:r>
              <w:rPr>
                <w:b/>
                <w:bCs/>
                <w:color w:val="FFFFFF"/>
                <w:sz w:val="19"/>
                <w:szCs w:val="19"/>
              </w:rPr>
              <w:t xml:space="preserve">Confidence ceiling</w:t>
            </w:r>
          </w:p>
        </w:tc>
      </w:tr>
      <w:tr>
        <w:tc>
          <w:tcPr>
            <w:tcW w:type="dxa" w:w="2700"/>
            <w:tcMar>
              <w:top w:type="dxa" w:w="80"/>
              <w:left w:type="dxa" w:w="100"/>
              <w:bottom w:type="dxa" w:w="80"/>
              <w:right w:type="dxa" w:w="100"/>
            </w:tcMar>
            <w:vAlign w:val="center"/>
          </w:tcPr>
          <w:p>
            <w:r>
              <w:rPr>
                <w:b w:val="false"/>
                <w:bCs w:val="false"/>
                <w:color w:val="1A1A1A"/>
                <w:sz w:val="19"/>
                <w:szCs w:val="19"/>
              </w:rPr>
              <w:t xml:space="preserve">Transport security</w:t>
            </w:r>
          </w:p>
        </w:tc>
        <w:tc>
          <w:tcPr>
            <w:tcW w:type="dxa" w:w="4200"/>
            <w:tcMar>
              <w:top w:type="dxa" w:w="80"/>
              <w:left w:type="dxa" w:w="100"/>
              <w:bottom w:type="dxa" w:w="80"/>
              <w:right w:type="dxa" w:w="100"/>
            </w:tcMar>
            <w:vAlign w:val="center"/>
          </w:tcPr>
          <w:p>
            <w:r>
              <w:rPr>
                <w:b w:val="false"/>
                <w:bCs w:val="false"/>
                <w:color w:val="1A1A1A"/>
                <w:sz w:val="19"/>
                <w:szCs w:val="19"/>
              </w:rPr>
              <w:t xml:space="preserve">TLS protocol/cipher strength, certificate validity/expiry, HSTS presence</w:t>
            </w:r>
          </w:p>
        </w:tc>
        <w:tc>
          <w:tcPr>
            <w:tcW w:type="dxa" w:w="2900"/>
            <w:tcMar>
              <w:top w:type="dxa" w:w="80"/>
              <w:left w:type="dxa" w:w="100"/>
              <w:bottom w:type="dxa" w:w="80"/>
              <w:right w:type="dxa" w:w="100"/>
            </w:tcMar>
            <w:vAlign w:val="center"/>
          </w:tcPr>
          <w:p>
            <w:r>
              <w:rPr>
                <w:b w:val="false"/>
                <w:bCs w:val="false"/>
                <w:color w:val="1A1A1A"/>
                <w:sz w:val="19"/>
                <w:szCs w:val="19"/>
              </w:rPr>
              <w:t xml:space="preserve">Confirmed — directly observable, deterministic</w:t>
            </w:r>
          </w:p>
        </w:tc>
      </w:tr>
      <w:tr>
        <w:tc>
          <w:tcPr>
            <w:tcW w:type="dxa" w:w="2700"/>
            <w:shd w:fill="F5F8FB" w:val="clear"/>
            <w:tcMar>
              <w:top w:type="dxa" w:w="80"/>
              <w:left w:type="dxa" w:w="100"/>
              <w:bottom w:type="dxa" w:w="80"/>
              <w:right w:type="dxa" w:w="100"/>
            </w:tcMar>
            <w:vAlign w:val="center"/>
          </w:tcPr>
          <w:p>
            <w:r>
              <w:rPr>
                <w:b w:val="false"/>
                <w:bCs w:val="false"/>
                <w:color w:val="1A1A1A"/>
                <w:sz w:val="19"/>
                <w:szCs w:val="19"/>
              </w:rPr>
              <w:t xml:space="preserve">HTTP security headers</w:t>
            </w:r>
          </w:p>
        </w:tc>
        <w:tc>
          <w:tcPr>
            <w:tcW w:type="dxa" w:w="4200"/>
            <w:shd w:fill="F5F8FB" w:val="clear"/>
            <w:tcMar>
              <w:top w:type="dxa" w:w="80"/>
              <w:left w:type="dxa" w:w="100"/>
              <w:bottom w:type="dxa" w:w="80"/>
              <w:right w:type="dxa" w:w="100"/>
            </w:tcMar>
            <w:vAlign w:val="center"/>
          </w:tcPr>
          <w:p>
            <w:r>
              <w:rPr>
                <w:b w:val="false"/>
                <w:bCs w:val="false"/>
                <w:color w:val="1A1A1A"/>
                <w:sz w:val="19"/>
                <w:szCs w:val="19"/>
              </w:rPr>
              <w:t xml:space="preserve">CSP, X-Frame-Options, Referrer-Policy, Permissions-Policy presence/quality</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Confirmed — directly observable</w:t>
            </w:r>
          </w:p>
        </w:tc>
      </w:tr>
      <w:tr>
        <w:tc>
          <w:tcPr>
            <w:tcW w:type="dxa" w:w="2700"/>
            <w:tcMar>
              <w:top w:type="dxa" w:w="80"/>
              <w:left w:type="dxa" w:w="100"/>
              <w:bottom w:type="dxa" w:w="80"/>
              <w:right w:type="dxa" w:w="100"/>
            </w:tcMar>
            <w:vAlign w:val="center"/>
          </w:tcPr>
          <w:p>
            <w:r>
              <w:rPr>
                <w:b w:val="false"/>
                <w:bCs w:val="false"/>
                <w:color w:val="1A1A1A"/>
                <w:sz w:val="19"/>
                <w:szCs w:val="19"/>
              </w:rPr>
              <w:t xml:space="preserve">Exposed services &amp; ports</w:t>
            </w:r>
          </w:p>
        </w:tc>
        <w:tc>
          <w:tcPr>
            <w:tcW w:type="dxa" w:w="4200"/>
            <w:tcMar>
              <w:top w:type="dxa" w:w="80"/>
              <w:left w:type="dxa" w:w="100"/>
              <w:bottom w:type="dxa" w:w="80"/>
              <w:right w:type="dxa" w:w="100"/>
            </w:tcMar>
            <w:vAlign w:val="center"/>
          </w:tcPr>
          <w:p>
            <w:r>
              <w:rPr>
                <w:b w:val="false"/>
                <w:bCs w:val="false"/>
                <w:color w:val="1A1A1A"/>
                <w:sz w:val="19"/>
                <w:szCs w:val="19"/>
              </w:rPr>
              <w:t xml:space="preserve">Databases, admin panels, remote-access services reachable from the internet</w:t>
            </w:r>
          </w:p>
        </w:tc>
        <w:tc>
          <w:tcPr>
            <w:tcW w:type="dxa" w:w="2900"/>
            <w:tcMar>
              <w:top w:type="dxa" w:w="80"/>
              <w:left w:type="dxa" w:w="100"/>
              <w:bottom w:type="dxa" w:w="80"/>
              <w:right w:type="dxa" w:w="100"/>
            </w:tcMar>
            <w:vAlign w:val="center"/>
          </w:tcPr>
          <w:p>
            <w:r>
              <w:rPr>
                <w:b w:val="false"/>
                <w:bCs w:val="false"/>
                <w:color w:val="1A1A1A"/>
                <w:sz w:val="19"/>
                <w:szCs w:val="19"/>
              </w:rPr>
              <w:t xml:space="preserve">Confirmed exposure; confirmed vulnerability only with further evidence</w:t>
            </w:r>
          </w:p>
        </w:tc>
      </w:tr>
      <w:tr>
        <w:tc>
          <w:tcPr>
            <w:tcW w:type="dxa" w:w="2700"/>
            <w:shd w:fill="F5F8FB" w:val="clear"/>
            <w:tcMar>
              <w:top w:type="dxa" w:w="80"/>
              <w:left w:type="dxa" w:w="100"/>
              <w:bottom w:type="dxa" w:w="80"/>
              <w:right w:type="dxa" w:w="100"/>
            </w:tcMar>
            <w:vAlign w:val="center"/>
          </w:tcPr>
          <w:p>
            <w:r>
              <w:rPr>
                <w:b w:val="false"/>
                <w:bCs w:val="false"/>
                <w:color w:val="1A1A1A"/>
                <w:sz w:val="19"/>
                <w:szCs w:val="19"/>
              </w:rPr>
              <w:t xml:space="preserve">Technology &amp; version fingerprinting</w:t>
            </w:r>
          </w:p>
        </w:tc>
        <w:tc>
          <w:tcPr>
            <w:tcW w:type="dxa" w:w="4200"/>
            <w:shd w:fill="F5F8FB" w:val="clear"/>
            <w:tcMar>
              <w:top w:type="dxa" w:w="80"/>
              <w:left w:type="dxa" w:w="100"/>
              <w:bottom w:type="dxa" w:w="80"/>
              <w:right w:type="dxa" w:w="100"/>
            </w:tcMar>
            <w:vAlign w:val="center"/>
          </w:tcPr>
          <w:p>
            <w:r>
              <w:rPr>
                <w:b w:val="false"/>
                <w:bCs w:val="false"/>
                <w:color w:val="1A1A1A"/>
                <w:sz w:val="19"/>
                <w:szCs w:val="19"/>
              </w:rPr>
              <w:t xml:space="preserve">CMS, framework, server software and version banners</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Informational/Medium by default — a version match is a hypothesis, not proof</w:t>
            </w:r>
          </w:p>
        </w:tc>
      </w:tr>
      <w:tr>
        <w:tc>
          <w:tcPr>
            <w:tcW w:type="dxa" w:w="2700"/>
            <w:tcMar>
              <w:top w:type="dxa" w:w="80"/>
              <w:left w:type="dxa" w:w="100"/>
              <w:bottom w:type="dxa" w:w="80"/>
              <w:right w:type="dxa" w:w="100"/>
            </w:tcMar>
            <w:vAlign w:val="center"/>
          </w:tcPr>
          <w:p>
            <w:r>
              <w:rPr>
                <w:b w:val="false"/>
                <w:bCs w:val="false"/>
                <w:color w:val="1A1A1A"/>
                <w:sz w:val="19"/>
                <w:szCs w:val="19"/>
              </w:rPr>
              <w:t xml:space="preserve">Known-vulnerability correlation</w:t>
            </w:r>
          </w:p>
        </w:tc>
        <w:tc>
          <w:tcPr>
            <w:tcW w:type="dxa" w:w="4200"/>
            <w:tcMar>
              <w:top w:type="dxa" w:w="80"/>
              <w:left w:type="dxa" w:w="100"/>
              <w:bottom w:type="dxa" w:w="80"/>
              <w:right w:type="dxa" w:w="100"/>
            </w:tcMar>
            <w:vAlign w:val="center"/>
          </w:tcPr>
          <w:p>
            <w:r>
              <w:rPr>
                <w:b w:val="false"/>
                <w:bCs w:val="false"/>
                <w:color w:val="1A1A1A"/>
                <w:sz w:val="19"/>
                <w:szCs w:val="19"/>
              </w:rPr>
              <w:t xml:space="preserve">Matching fingerprinted technology/version against public CVE and advisory data</w:t>
            </w:r>
          </w:p>
        </w:tc>
        <w:tc>
          <w:tcPr>
            <w:tcW w:type="dxa" w:w="2900"/>
            <w:tcMar>
              <w:top w:type="dxa" w:w="80"/>
              <w:left w:type="dxa" w:w="100"/>
              <w:bottom w:type="dxa" w:w="80"/>
              <w:right w:type="dxa" w:w="100"/>
            </w:tcMar>
            <w:vAlign w:val="center"/>
          </w:tcPr>
          <w:p>
            <w:r>
              <w:rPr>
                <w:b w:val="false"/>
                <w:bCs w:val="false"/>
                <w:color w:val="1A1A1A"/>
                <w:sz w:val="19"/>
                <w:szCs w:val="19"/>
              </w:rPr>
              <w:t xml:space="preserve">Medium — escalate to High only with corroborating evidence (e.g., reachable vulnerable endpoint behavior, not just banner match)</w:t>
            </w:r>
          </w:p>
        </w:tc>
      </w:tr>
      <w:tr>
        <w:tc>
          <w:tcPr>
            <w:tcW w:type="dxa" w:w="2700"/>
            <w:shd w:fill="F5F8FB" w:val="clear"/>
            <w:tcMar>
              <w:top w:type="dxa" w:w="80"/>
              <w:left w:type="dxa" w:w="100"/>
              <w:bottom w:type="dxa" w:w="80"/>
              <w:right w:type="dxa" w:w="100"/>
            </w:tcMar>
            <w:vAlign w:val="center"/>
          </w:tcPr>
          <w:p>
            <w:r>
              <w:rPr>
                <w:b w:val="false"/>
                <w:bCs w:val="false"/>
                <w:color w:val="1A1A1A"/>
                <w:sz w:val="19"/>
                <w:szCs w:val="19"/>
              </w:rPr>
              <w:t xml:space="preserve">Information disclosure</w:t>
            </w:r>
          </w:p>
        </w:tc>
        <w:tc>
          <w:tcPr>
            <w:tcW w:type="dxa" w:w="4200"/>
            <w:shd w:fill="F5F8FB" w:val="clear"/>
            <w:tcMar>
              <w:top w:type="dxa" w:w="80"/>
              <w:left w:type="dxa" w:w="100"/>
              <w:bottom w:type="dxa" w:w="80"/>
              <w:right w:type="dxa" w:w="100"/>
            </w:tcMar>
            <w:vAlign w:val="center"/>
          </w:tcPr>
          <w:p>
            <w:r>
              <w:rPr>
                <w:b w:val="false"/>
                <w:bCs w:val="false"/>
                <w:color w:val="1A1A1A"/>
                <w:sz w:val="19"/>
                <w:szCs w:val="19"/>
              </w:rPr>
              <w:t xml:space="preserve">Directory listings, exposed config/backup files, verbose error pages</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Confirmed — directly observable content</w:t>
            </w:r>
          </w:p>
        </w:tc>
      </w:tr>
    </w:tbl>
    <w:p>
      <w:pPr>
        <w:pBdr>
          <w:left w:val="single" w:color="2E75B6" w:sz="24" w:space="8"/>
        </w:pBdr>
        <w:shd w:fill="EAF1F8" w:val="clear"/>
        <w:spacing w:after="200" w:before="120"/>
        <w:ind w:left="120"/>
      </w:pPr>
      <w:r>
        <w:rPr>
          <w:i/>
          <w:iCs/>
          <w:color w:val="203040"/>
          <w:sz w:val="21"/>
          <w:szCs w:val="21"/>
        </w:rPr>
        <w:t xml:space="preserve">Design principle from the strategy carries through here directly: a version banner is a lead for the risk engine to weigh, never itself a “vulnerable” finding. The exposure-check layer's job is to produce well-labeled evidence, not verdicts.</w:t>
      </w:r>
    </w:p>
    <w:p>
      <w:pPr>
        <w:pStyle w:val="Heading2"/>
        <w:spacing w:after="120" w:before="300"/>
      </w:pPr>
      <w:r>
        <w:rPr>
          <w:b/>
          <w:bCs/>
          <w:color w:val="2E75B6"/>
          <w:sz w:val="24"/>
          <w:szCs w:val="24"/>
        </w:rPr>
        <w:t xml:space="preserve">4.2 Vulnerability Intelligence Sourcing</w:t>
      </w:r>
    </w:p>
    <w:p>
      <w:pPr>
        <w:spacing w:after="160" w:line="300"/>
      </w:pPr>
      <w:r>
        <w:rPr>
          <w:sz w:val="21"/>
          <w:szCs w:val="21"/>
        </w:rPr>
        <w:t xml:space="preserve">For the “known-vulnerability correlation” check category, the realistic MVP approach is to correlate fingerprinted technology/version pairs against public vulnerability and advisory databases (e.g., the National Vulnerability Database and vendor advisories), and where available, factor in real-world exploitation-likelihood signals (such as the Exploit Prediction Scoring System, EPSS) rather than raw severity alone — a technically severe but rarely-exploited issue should not outrank a lower-severity, actively-exploited one.</w:t>
      </w:r>
    </w:p>
    <w:p>
      <w:pPr>
        <w:pStyle w:val="ListParagraph"/>
        <w:numPr>
          <w:ilvl w:val="0"/>
          <w:numId w:val="3"/>
        </w:numPr>
        <w:spacing w:after="80" w:line="280"/>
      </w:pPr>
      <w:r>
        <w:rPr>
          <w:sz w:val="21"/>
          <w:szCs w:val="21"/>
        </w:rPr>
        <w:t xml:space="preserve">MVP scope: automated banner/version fingerprinting + CVE database correlation, surfaced as Medium confidence by default.</w:t>
      </w:r>
    </w:p>
    <w:p>
      <w:pPr>
        <w:pStyle w:val="ListParagraph"/>
        <w:numPr>
          <w:ilvl w:val="0"/>
          <w:numId w:val="3"/>
        </w:numPr>
        <w:spacing w:after="80" w:line="280"/>
      </w:pPr>
      <w:r>
        <w:rPr>
          <w:sz w:val="21"/>
          <w:szCs w:val="21"/>
        </w:rPr>
        <w:t xml:space="preserve">Deferred: authenticated or credentialed configuration auditing, which requires a materially higher trust relationship with the customer.</w:t>
      </w:r>
    </w:p>
    <w:p>
      <w:pPr>
        <w:pStyle w:val="ListParagraph"/>
        <w:numPr>
          <w:ilvl w:val="0"/>
          <w:numId w:val="3"/>
        </w:numPr>
        <w:spacing w:after="80" w:line="280"/>
      </w:pPr>
      <w:r>
        <w:rPr>
          <w:sz w:val="21"/>
          <w:szCs w:val="21"/>
        </w:rPr>
        <w:t xml:space="preserve">Explicitly out of scope per the strategy: any active exploitation or proof-of-concept payload delivery against discovered services.</w:t>
      </w:r>
    </w:p>
    <w:p>
      <w:pPr>
        <w:pStyle w:val="Heading2"/>
        <w:spacing w:after="120" w:before="300"/>
      </w:pPr>
      <w:r>
        <w:rPr>
          <w:b/>
          <w:bCs/>
          <w:color w:val="2E75B6"/>
          <w:sz w:val="24"/>
          <w:szCs w:val="24"/>
        </w:rPr>
        <w:t xml:space="preserve">4.3 Open Research Questions</w:t>
      </w:r>
    </w:p>
    <w:p>
      <w:pPr>
        <w:pStyle w:val="ListParagraph"/>
        <w:numPr>
          <w:ilvl w:val="0"/>
          <w:numId w:val="3"/>
        </w:numPr>
        <w:spacing w:after="80" w:line="280"/>
      </w:pPr>
      <w:r>
        <w:rPr>
          <w:sz w:val="21"/>
          <w:szCs w:val="21"/>
        </w:rPr>
        <w:t xml:space="preserve">What is an acceptable check timeout/retry budget per asset so a slow or defensive target doesn't blow the worker's scan budget?</w:t>
      </w:r>
    </w:p>
    <w:p>
      <w:pPr>
        <w:pStyle w:val="ListParagraph"/>
        <w:numPr>
          <w:ilvl w:val="0"/>
          <w:numId w:val="3"/>
        </w:numPr>
        <w:spacing w:after="80" w:line="280"/>
      </w:pPr>
      <w:r>
        <w:rPr>
          <w:sz w:val="21"/>
          <w:szCs w:val="21"/>
        </w:rPr>
        <w:t xml:space="preserve">How do we detect and gracefully back off from targets protected by WAFs or bot-mitigation, so checks don't get misclassified as findings (e.g., a WAF block page mistaken for information disclosure)?</w:t>
      </w:r>
    </w:p>
    <w:p>
      <w:pPr>
        <w:pStyle w:val="ListParagraph"/>
        <w:numPr>
          <w:ilvl w:val="0"/>
          <w:numId w:val="3"/>
        </w:numPr>
        <w:spacing w:after="80" w:line="280"/>
      </w:pPr>
      <w:r>
        <w:rPr>
          <w:sz w:val="21"/>
          <w:szCs w:val="21"/>
        </w:rPr>
        <w:t xml:space="preserve">Which header/config baseline (e.g., current OWASP secure-headers guidance) should the MVP encode as “expected good practice” for scoring purposes, and how often does that baseline need review?</w:t>
      </w:r>
    </w:p>
    <w:p>
      <w:r>
        <w:br w:type="page"/>
      </w:r>
    </w:p>
    <w:p>
      <w:pPr>
        <w:pStyle w:val="Heading1"/>
        <w:pBdr>
          <w:bottom w:val="single" w:color="1F3A5F" w:sz="8" w:space="4"/>
        </w:pBdr>
        <w:spacing w:after="200" w:before="400"/>
      </w:pPr>
      <w:r>
        <w:rPr>
          <w:b/>
          <w:bCs/>
          <w:color w:val="1F3A5F"/>
          <w:sz w:val="30"/>
          <w:szCs w:val="30"/>
        </w:rPr>
        <w:t xml:space="preserve">5. Research Thread 3 — Threat &amp; Brand Monitoring</w:t>
      </w:r>
    </w:p>
    <w:p>
      <w:pPr>
        <w:spacing w:after="160" w:line="300"/>
      </w:pPr>
      <w:r>
        <w:rPr>
          <w:sz w:val="21"/>
          <w:szCs w:val="21"/>
        </w:rPr>
        <w:t xml:space="preserve">Research question: how do we detect suspicious domains and brand-impersonation activity targeting a customer with few enough false positives that the alert is trustworthy, not noise?</w:t>
      </w:r>
    </w:p>
    <w:p>
      <w:pPr>
        <w:pStyle w:val="Heading2"/>
        <w:spacing w:after="120" w:before="300"/>
      </w:pPr>
      <w:r>
        <w:rPr>
          <w:b/>
          <w:bCs/>
          <w:color w:val="2E75B6"/>
          <w:sz w:val="24"/>
          <w:szCs w:val="24"/>
        </w:rPr>
        <w:t xml:space="preserve">5.1 Detection Approaches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900"/>
      </w:tblGrid>
      <w:tr>
        <w:trPr>
          <w:tblHeader/>
        </w:trPr>
        <w:tc>
          <w:tcPr>
            <w:tcW w:type="dxa" w:w="2700"/>
            <w:shd w:fill="1F3A5F" w:val="clear"/>
            <w:tcMar>
              <w:top w:type="dxa" w:w="80"/>
              <w:left w:type="dxa" w:w="100"/>
              <w:bottom w:type="dxa" w:w="80"/>
              <w:right w:type="dxa" w:w="100"/>
            </w:tcMar>
            <w:vAlign w:val="center"/>
          </w:tcPr>
          <w:p>
            <w:r>
              <w:rPr>
                <w:b/>
                <w:bCs/>
                <w:color w:val="FFFFFF"/>
                <w:sz w:val="19"/>
                <w:szCs w:val="19"/>
              </w:rPr>
              <w:t xml:space="preserve">Signal</w:t>
            </w:r>
          </w:p>
        </w:tc>
        <w:tc>
          <w:tcPr>
            <w:tcW w:type="dxa" w:w="4200"/>
            <w:shd w:fill="1F3A5F" w:val="clear"/>
            <w:tcMar>
              <w:top w:type="dxa" w:w="80"/>
              <w:left w:type="dxa" w:w="100"/>
              <w:bottom w:type="dxa" w:w="80"/>
              <w:right w:type="dxa" w:w="100"/>
            </w:tcMar>
            <w:vAlign w:val="center"/>
          </w:tcPr>
          <w:p>
            <w:r>
              <w:rPr>
                <w:b/>
                <w:bCs/>
                <w:color w:val="FFFFFF"/>
                <w:sz w:val="19"/>
                <w:szCs w:val="19"/>
              </w:rPr>
              <w:t xml:space="preserve">Method</w:t>
            </w:r>
          </w:p>
        </w:tc>
        <w:tc>
          <w:tcPr>
            <w:tcW w:type="dxa" w:w="2900"/>
            <w:shd w:fill="1F3A5F" w:val="clear"/>
            <w:tcMar>
              <w:top w:type="dxa" w:w="80"/>
              <w:left w:type="dxa" w:w="100"/>
              <w:bottom w:type="dxa" w:w="80"/>
              <w:right w:type="dxa" w:w="100"/>
            </w:tcMar>
            <w:vAlign w:val="center"/>
          </w:tcPr>
          <w:p>
            <w:r>
              <w:rPr>
                <w:b/>
                <w:bCs/>
                <w:color w:val="FFFFFF"/>
                <w:sz w:val="19"/>
                <w:szCs w:val="19"/>
              </w:rPr>
              <w:t xml:space="preserve">False-positive driver</w:t>
            </w:r>
          </w:p>
        </w:tc>
      </w:tr>
      <w:tr>
        <w:tc>
          <w:tcPr>
            <w:tcW w:type="dxa" w:w="2700"/>
            <w:tcMar>
              <w:top w:type="dxa" w:w="80"/>
              <w:left w:type="dxa" w:w="100"/>
              <w:bottom w:type="dxa" w:w="80"/>
              <w:right w:type="dxa" w:w="100"/>
            </w:tcMar>
            <w:vAlign w:val="center"/>
          </w:tcPr>
          <w:p>
            <w:r>
              <w:rPr>
                <w:b w:val="false"/>
                <w:bCs w:val="false"/>
                <w:color w:val="1A1A1A"/>
                <w:sz w:val="19"/>
                <w:szCs w:val="19"/>
              </w:rPr>
              <w:t xml:space="preserve">Look-alike domain registration</w:t>
            </w:r>
          </w:p>
        </w:tc>
        <w:tc>
          <w:tcPr>
            <w:tcW w:type="dxa" w:w="4200"/>
            <w:tcMar>
              <w:top w:type="dxa" w:w="80"/>
              <w:left w:type="dxa" w:w="100"/>
              <w:bottom w:type="dxa" w:w="80"/>
              <w:right w:type="dxa" w:w="100"/>
            </w:tcMar>
            <w:vAlign w:val="center"/>
          </w:tcPr>
          <w:p>
            <w:r>
              <w:rPr>
                <w:b w:val="false"/>
                <w:bCs w:val="false"/>
                <w:color w:val="1A1A1A"/>
                <w:sz w:val="19"/>
                <w:szCs w:val="19"/>
              </w:rPr>
              <w:t xml:space="preserve">String-distance and homoglyph permutation generation (character swaps, additions, TLD variants) matched against newly observed CT-log / zone-file domains</w:t>
            </w:r>
          </w:p>
        </w:tc>
        <w:tc>
          <w:tcPr>
            <w:tcW w:type="dxa" w:w="2900"/>
            <w:tcMar>
              <w:top w:type="dxa" w:w="80"/>
              <w:left w:type="dxa" w:w="100"/>
              <w:bottom w:type="dxa" w:w="80"/>
              <w:right w:type="dxa" w:w="100"/>
            </w:tcMar>
            <w:vAlign w:val="center"/>
          </w:tcPr>
          <w:p>
            <w:r>
              <w:rPr>
                <w:b w:val="false"/>
                <w:bCs w:val="false"/>
                <w:color w:val="1A1A1A"/>
                <w:sz w:val="19"/>
                <w:szCs w:val="19"/>
              </w:rPr>
              <w:t xml:space="preserve">Common short brand names generate many coincidental, unrelated matches — needs registrar-age and hosting-similarity corroboration</w:t>
            </w:r>
          </w:p>
        </w:tc>
      </w:tr>
      <w:tr>
        <w:tc>
          <w:tcPr>
            <w:tcW w:type="dxa" w:w="2700"/>
            <w:shd w:fill="F5F8FB" w:val="clear"/>
            <w:tcMar>
              <w:top w:type="dxa" w:w="80"/>
              <w:left w:type="dxa" w:w="100"/>
              <w:bottom w:type="dxa" w:w="80"/>
              <w:right w:type="dxa" w:w="100"/>
            </w:tcMar>
            <w:vAlign w:val="center"/>
          </w:tcPr>
          <w:p>
            <w:r>
              <w:rPr>
                <w:b w:val="false"/>
                <w:bCs w:val="false"/>
                <w:color w:val="1A1A1A"/>
                <w:sz w:val="19"/>
                <w:szCs w:val="19"/>
              </w:rPr>
              <w:t xml:space="preserve">New certificate issuance mentioning the brand</w:t>
            </w:r>
          </w:p>
        </w:tc>
        <w:tc>
          <w:tcPr>
            <w:tcW w:type="dxa" w:w="4200"/>
            <w:shd w:fill="F5F8FB" w:val="clear"/>
            <w:tcMar>
              <w:top w:type="dxa" w:w="80"/>
              <w:left w:type="dxa" w:w="100"/>
              <w:bottom w:type="dxa" w:w="80"/>
              <w:right w:type="dxa" w:w="100"/>
            </w:tcMar>
            <w:vAlign w:val="center"/>
          </w:tcPr>
          <w:p>
            <w:r>
              <w:rPr>
                <w:b w:val="false"/>
                <w:bCs w:val="false"/>
                <w:color w:val="1A1A1A"/>
                <w:sz w:val="19"/>
                <w:szCs w:val="19"/>
              </w:rPr>
              <w:t xml:space="preserve">CT log keyword and fuzzy-match monitoring on certificate Subject/SAN fields</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Legitimate third parties (resellers, review sites) referencing the brand name</w:t>
            </w:r>
          </w:p>
        </w:tc>
      </w:tr>
      <w:tr>
        <w:tc>
          <w:tcPr>
            <w:tcW w:type="dxa" w:w="2700"/>
            <w:tcMar>
              <w:top w:type="dxa" w:w="80"/>
              <w:left w:type="dxa" w:w="100"/>
              <w:bottom w:type="dxa" w:w="80"/>
              <w:right w:type="dxa" w:w="100"/>
            </w:tcMar>
            <w:vAlign w:val="center"/>
          </w:tcPr>
          <w:p>
            <w:r>
              <w:rPr>
                <w:b w:val="false"/>
                <w:bCs w:val="false"/>
                <w:color w:val="1A1A1A"/>
                <w:sz w:val="19"/>
                <w:szCs w:val="19"/>
              </w:rPr>
              <w:t xml:space="preserve">Content-similarity phishing detection</w:t>
            </w:r>
          </w:p>
        </w:tc>
        <w:tc>
          <w:tcPr>
            <w:tcW w:type="dxa" w:w="4200"/>
            <w:tcMar>
              <w:top w:type="dxa" w:w="80"/>
              <w:left w:type="dxa" w:w="100"/>
              <w:bottom w:type="dxa" w:w="80"/>
              <w:right w:type="dxa" w:w="100"/>
            </w:tcMar>
            <w:vAlign w:val="center"/>
          </w:tcPr>
          <w:p>
            <w:r>
              <w:rPr>
                <w:b w:val="false"/>
                <w:bCs w:val="false"/>
                <w:color w:val="1A1A1A"/>
                <w:sz w:val="19"/>
                <w:szCs w:val="19"/>
              </w:rPr>
              <w:t xml:space="preserve">Visual/DOM similarity scoring between a suspicious site and the customer's verified site (layout, logo assets, login-form structure)</w:t>
            </w:r>
          </w:p>
        </w:tc>
        <w:tc>
          <w:tcPr>
            <w:tcW w:type="dxa" w:w="2900"/>
            <w:tcMar>
              <w:top w:type="dxa" w:w="80"/>
              <w:left w:type="dxa" w:w="100"/>
              <w:bottom w:type="dxa" w:w="80"/>
              <w:right w:type="dxa" w:w="100"/>
            </w:tcMar>
            <w:vAlign w:val="center"/>
          </w:tcPr>
          <w:p>
            <w:r>
              <w:rPr>
                <w:b w:val="false"/>
                <w:bCs w:val="false"/>
                <w:color w:val="1A1A1A"/>
                <w:sz w:val="19"/>
                <w:szCs w:val="19"/>
              </w:rPr>
              <w:t xml:space="preserve">Template reuse across unrelated legitimate sites (shared page builders/themes)</w:t>
            </w:r>
          </w:p>
        </w:tc>
      </w:tr>
      <w:tr>
        <w:tc>
          <w:tcPr>
            <w:tcW w:type="dxa" w:w="2700"/>
            <w:shd w:fill="F5F8FB" w:val="clear"/>
            <w:tcMar>
              <w:top w:type="dxa" w:w="80"/>
              <w:left w:type="dxa" w:w="100"/>
              <w:bottom w:type="dxa" w:w="80"/>
              <w:right w:type="dxa" w:w="100"/>
            </w:tcMar>
            <w:vAlign w:val="center"/>
          </w:tcPr>
          <w:p>
            <w:r>
              <w:rPr>
                <w:b w:val="false"/>
                <w:bCs w:val="false"/>
                <w:color w:val="1A1A1A"/>
                <w:sz w:val="19"/>
                <w:szCs w:val="19"/>
              </w:rPr>
              <w:t xml:space="preserve">Credential-phishing infrastructure reuse</w:t>
            </w:r>
          </w:p>
        </w:tc>
        <w:tc>
          <w:tcPr>
            <w:tcW w:type="dxa" w:w="4200"/>
            <w:shd w:fill="F5F8FB" w:val="clear"/>
            <w:tcMar>
              <w:top w:type="dxa" w:w="80"/>
              <w:left w:type="dxa" w:w="100"/>
              <w:bottom w:type="dxa" w:w="80"/>
              <w:right w:type="dxa" w:w="100"/>
            </w:tcMar>
            <w:vAlign w:val="center"/>
          </w:tcPr>
          <w:p>
            <w:r>
              <w:rPr>
                <w:b w:val="false"/>
                <w:bCs w:val="false"/>
                <w:color w:val="1A1A1A"/>
                <w:sz w:val="19"/>
                <w:szCs w:val="19"/>
              </w:rPr>
              <w:t xml:space="preserve">Correlating suspicious domains against known phishing-kit hosting patterns and community threat-intel feeds</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Feed staleness and shared hosting providers with many unrelated tenants</w:t>
            </w:r>
          </w:p>
        </w:tc>
      </w:tr>
    </w:tbl>
    <w:p>
      <w:pPr>
        <w:pStyle w:val="Heading2"/>
        <w:spacing w:after="120" w:before="300"/>
      </w:pPr>
      <w:r>
        <w:rPr>
          <w:b/>
          <w:bCs/>
          <w:color w:val="2E75B6"/>
          <w:sz w:val="24"/>
          <w:szCs w:val="24"/>
        </w:rPr>
        <w:t xml:space="preserve">5.2 Recommended MVP Pipeline</w:t>
      </w:r>
    </w:p>
    <w:p>
      <w:pPr>
        <w:pStyle w:val="ListParagraph"/>
        <w:numPr>
          <w:ilvl w:val="0"/>
          <w:numId w:val="2"/>
        </w:numPr>
        <w:spacing w:after="80" w:line="280"/>
      </w:pPr>
      <w:r>
        <w:rPr>
          <w:sz w:val="21"/>
          <w:szCs w:val="21"/>
        </w:rPr>
        <w:t xml:space="preserve">Generate a bounded permutation set from each verified brand/domain (typosquat-style transformations), refreshed as new verified assets are added.</w:t>
      </w:r>
    </w:p>
    <w:p>
      <w:pPr>
        <w:pStyle w:val="ListParagraph"/>
        <w:numPr>
          <w:ilvl w:val="0"/>
          <w:numId w:val="2"/>
        </w:numPr>
        <w:spacing w:after="80" w:line="280"/>
      </w:pPr>
      <w:r>
        <w:rPr>
          <w:sz w:val="21"/>
          <w:szCs w:val="21"/>
        </w:rPr>
        <w:t xml:space="preserve">Match permutations against CT-log stream and passive-DNS in near real time; this is the highest-signal, lowest-cost first filter.</w:t>
      </w:r>
    </w:p>
    <w:p>
      <w:pPr>
        <w:pStyle w:val="ListParagraph"/>
        <w:numPr>
          <w:ilvl w:val="0"/>
          <w:numId w:val="2"/>
        </w:numPr>
        <w:spacing w:after="80" w:line="280"/>
      </w:pPr>
      <w:r>
        <w:rPr>
          <w:sz w:val="21"/>
          <w:szCs w:val="21"/>
        </w:rPr>
        <w:t xml:space="preserve">Score candidate matches with corroborating signals (registrar age, hosting ASN reputation, content similarity) before creating a Threat record — raw permutation matches alone are Informational at best.</w:t>
      </w:r>
    </w:p>
    <w:p>
      <w:pPr>
        <w:pStyle w:val="ListParagraph"/>
        <w:numPr>
          <w:ilvl w:val="0"/>
          <w:numId w:val="2"/>
        </w:numPr>
        <w:spacing w:after="80" w:line="280"/>
      </w:pPr>
      <w:r>
        <w:rPr>
          <w:sz w:val="21"/>
          <w:szCs w:val="21"/>
        </w:rPr>
        <w:t xml:space="preserve">Only promote a Threat to an Alert once confidence crosses a defined threshold, consistent with the platform-wide confidence model.</w:t>
      </w:r>
    </w:p>
    <w:p>
      <w:pPr>
        <w:pBdr>
          <w:left w:val="single" w:color="2E75B6" w:sz="24" w:space="8"/>
        </w:pBdr>
        <w:shd w:fill="EAF1F8" w:val="clear"/>
        <w:spacing w:after="200" w:before="120"/>
        <w:ind w:left="120"/>
      </w:pPr>
      <w:r>
        <w:rPr>
          <w:i/>
          <w:iCs/>
          <w:color w:val="203040"/>
          <w:sz w:val="21"/>
          <w:szCs w:val="21"/>
        </w:rPr>
        <w:t xml:space="preserve">This mirrors an established, well-documented open-source technique (permutation generation plus DNS/WHOIS scoring) rather than anything novel — the R&amp;D risk here is in tuning thresholds for the SMB brand-name distribution, not in inventing the detection method.</w:t>
      </w:r>
    </w:p>
    <w:p>
      <w:pPr>
        <w:pStyle w:val="Heading2"/>
        <w:spacing w:after="120" w:before="300"/>
      </w:pPr>
      <w:r>
        <w:rPr>
          <w:b/>
          <w:bCs/>
          <w:color w:val="2E75B6"/>
          <w:sz w:val="24"/>
          <w:szCs w:val="24"/>
        </w:rPr>
        <w:t xml:space="preserve">5.3 Open Research Questions</w:t>
      </w:r>
    </w:p>
    <w:p>
      <w:pPr>
        <w:pStyle w:val="ListParagraph"/>
        <w:numPr>
          <w:ilvl w:val="0"/>
          <w:numId w:val="3"/>
        </w:numPr>
        <w:spacing w:after="80" w:line="280"/>
      </w:pPr>
      <w:r>
        <w:rPr>
          <w:sz w:val="21"/>
          <w:szCs w:val="21"/>
        </w:rPr>
        <w:t xml:space="preserve">What permutation depth (edit distance, homoglyph sets, TLD list breadth) gives adequate coverage without generating an unmanageable candidate volume per brand per day?</w:t>
      </w:r>
    </w:p>
    <w:p>
      <w:pPr>
        <w:pStyle w:val="ListParagraph"/>
        <w:numPr>
          <w:ilvl w:val="0"/>
          <w:numId w:val="3"/>
        </w:numPr>
        <w:spacing w:after="80" w:line="280"/>
      </w:pPr>
      <w:r>
        <w:rPr>
          <w:sz w:val="21"/>
          <w:szCs w:val="21"/>
        </w:rPr>
        <w:t xml:space="preserve">Which content-similarity technique is cheap enough to run at scale — lightweight DOM/asset hashing vs. full visual screenshot comparison — and where does the MVP draw that line?</w:t>
      </w:r>
    </w:p>
    <w:p>
      <w:pPr>
        <w:pStyle w:val="ListParagraph"/>
        <w:numPr>
          <w:ilvl w:val="0"/>
          <w:numId w:val="3"/>
        </w:numPr>
        <w:spacing w:after="80" w:line="280"/>
      </w:pPr>
      <w:r>
        <w:rPr>
          <w:sz w:val="21"/>
          <w:szCs w:val="21"/>
        </w:rPr>
        <w:t xml:space="preserve">How should threat-intel feed licensing/rate limits factor into which community or commercial sources are integrated first?</w:t>
      </w:r>
    </w:p>
    <w:p>
      <w:r>
        <w:br w:type="page"/>
      </w:r>
    </w:p>
    <w:p>
      <w:pPr>
        <w:pStyle w:val="Heading1"/>
        <w:pBdr>
          <w:bottom w:val="single" w:color="1F3A5F" w:sz="8" w:space="4"/>
        </w:pBdr>
        <w:spacing w:after="200" w:before="400"/>
      </w:pPr>
      <w:r>
        <w:rPr>
          <w:b/>
          <w:bCs/>
          <w:color w:val="1F3A5F"/>
          <w:sz w:val="30"/>
          <w:szCs w:val="30"/>
        </w:rPr>
        <w:t xml:space="preserve">6. Research Thread 4 — Risk Scoring Engine</w:t>
      </w:r>
    </w:p>
    <w:p>
      <w:pPr>
        <w:spacing w:after="160" w:line="300"/>
      </w:pPr>
      <w:r>
        <w:rPr>
          <w:sz w:val="21"/>
          <w:szCs w:val="21"/>
        </w:rPr>
        <w:t xml:space="preserve">Research question: how do we turn heterogeneous findings (transport issues, exposed services, brand threats) into one 0–100 number an SMB owner will trust, without hiding the technical severity that a security-literate user still wants to see?</w:t>
      </w:r>
    </w:p>
    <w:p>
      <w:pPr>
        <w:pStyle w:val="Heading2"/>
        <w:spacing w:after="120" w:before="300"/>
      </w:pPr>
      <w:r>
        <w:rPr>
          <w:b/>
          <w:bCs/>
          <w:color w:val="2E75B6"/>
          <w:sz w:val="24"/>
          <w:szCs w:val="24"/>
        </w:rPr>
        <w:t xml:space="preserve">6.1 Formula Design</w:t>
      </w:r>
    </w:p>
    <w:p>
      <w:pPr>
        <w:spacing w:after="160" w:line="300"/>
      </w:pPr>
      <w:r>
        <w:rPr>
          <w:sz w:val="21"/>
          <w:szCs w:val="21"/>
        </w:rPr>
        <w:t xml:space="preserve">The strategy specifies Risk = Severity × Exposure × Confidence × Asset Importance, normalized to 0–100. The R&amp;D task is to define each factor concretely: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700"/>
      </w:tblGrid>
      <w:tr>
        <w:trPr>
          <w:tblHeader/>
        </w:trPr>
        <w:tc>
          <w:tcPr>
            <w:tcW w:type="dxa" w:w="2300"/>
            <w:shd w:fill="1F3A5F" w:val="clear"/>
            <w:tcMar>
              <w:top w:type="dxa" w:w="80"/>
              <w:left w:type="dxa" w:w="100"/>
              <w:bottom w:type="dxa" w:w="80"/>
              <w:right w:type="dxa" w:w="100"/>
            </w:tcMar>
            <w:vAlign w:val="center"/>
          </w:tcPr>
          <w:p>
            <w:r>
              <w:rPr>
                <w:b/>
                <w:bCs/>
                <w:color w:val="FFFFFF"/>
                <w:sz w:val="19"/>
                <w:szCs w:val="19"/>
              </w:rPr>
              <w:t xml:space="preserve">Factor</w:t>
            </w:r>
          </w:p>
        </w:tc>
        <w:tc>
          <w:tcPr>
            <w:tcW w:type="dxa" w:w="3800"/>
            <w:shd w:fill="1F3A5F" w:val="clear"/>
            <w:tcMar>
              <w:top w:type="dxa" w:w="80"/>
              <w:left w:type="dxa" w:w="100"/>
              <w:bottom w:type="dxa" w:w="80"/>
              <w:right w:type="dxa" w:w="100"/>
            </w:tcMar>
            <w:vAlign w:val="center"/>
          </w:tcPr>
          <w:p>
            <w:r>
              <w:rPr>
                <w:b/>
                <w:bCs/>
                <w:color w:val="FFFFFF"/>
                <w:sz w:val="19"/>
                <w:szCs w:val="19"/>
              </w:rPr>
              <w:t xml:space="preserve">Definition</w:t>
            </w:r>
          </w:p>
        </w:tc>
        <w:tc>
          <w:tcPr>
            <w:tcW w:type="dxa" w:w="3700"/>
            <w:shd w:fill="1F3A5F" w:val="clear"/>
            <w:tcMar>
              <w:top w:type="dxa" w:w="80"/>
              <w:left w:type="dxa" w:w="100"/>
              <w:bottom w:type="dxa" w:w="80"/>
              <w:right w:type="dxa" w:w="100"/>
            </w:tcMar>
            <w:vAlign w:val="center"/>
          </w:tcPr>
          <w:p>
            <w:r>
              <w:rPr>
                <w:b/>
                <w:bCs/>
                <w:color w:val="FFFFFF"/>
                <w:sz w:val="19"/>
                <w:szCs w:val="19"/>
              </w:rPr>
              <w:t xml:space="preserve">Research need</w:t>
            </w:r>
          </w:p>
        </w:tc>
      </w:tr>
      <w:tr>
        <w:tc>
          <w:tcPr>
            <w:tcW w:type="dxa" w:w="2300"/>
            <w:tcMar>
              <w:top w:type="dxa" w:w="80"/>
              <w:left w:type="dxa" w:w="100"/>
              <w:bottom w:type="dxa" w:w="80"/>
              <w:right w:type="dxa" w:w="100"/>
            </w:tcMar>
            <w:vAlign w:val="center"/>
          </w:tcPr>
          <w:p>
            <w:r>
              <w:rPr>
                <w:b w:val="false"/>
                <w:bCs w:val="false"/>
                <w:color w:val="1A1A1A"/>
                <w:sz w:val="19"/>
                <w:szCs w:val="19"/>
              </w:rPr>
              <w:t xml:space="preserve">Severity</w:t>
            </w:r>
          </w:p>
        </w:tc>
        <w:tc>
          <w:tcPr>
            <w:tcW w:type="dxa" w:w="3800"/>
            <w:tcMar>
              <w:top w:type="dxa" w:w="80"/>
              <w:left w:type="dxa" w:w="100"/>
              <w:bottom w:type="dxa" w:w="80"/>
              <w:right w:type="dxa" w:w="100"/>
            </w:tcMar>
            <w:vAlign w:val="center"/>
          </w:tcPr>
          <w:p>
            <w:r>
              <w:rPr>
                <w:b w:val="false"/>
                <w:bCs w:val="false"/>
                <w:color w:val="1A1A1A"/>
                <w:sz w:val="19"/>
                <w:szCs w:val="19"/>
              </w:rPr>
              <w:t xml:space="preserve">Intrinsic seriousness of the finding class, independent of context</w:t>
            </w:r>
          </w:p>
        </w:tc>
        <w:tc>
          <w:tcPr>
            <w:tcW w:type="dxa" w:w="3700"/>
            <w:tcMar>
              <w:top w:type="dxa" w:w="80"/>
              <w:left w:type="dxa" w:w="100"/>
              <w:bottom w:type="dxa" w:w="80"/>
              <w:right w:type="dxa" w:w="100"/>
            </w:tcMar>
            <w:vAlign w:val="center"/>
          </w:tcPr>
          <w:p>
            <w:r>
              <w:rPr>
                <w:b w:val="false"/>
                <w:bCs w:val="false"/>
                <w:color w:val="1A1A1A"/>
                <w:sz w:val="19"/>
                <w:szCs w:val="19"/>
              </w:rPr>
              <w:t xml:space="preserve">Can largely borrow from established severity frameworks (e.g., CVSS base metrics) rather than inventing a new scale</w:t>
            </w:r>
          </w:p>
        </w:tc>
      </w:tr>
      <w:tr>
        <w:tc>
          <w:tcPr>
            <w:tcW w:type="dxa" w:w="2300"/>
            <w:shd w:fill="F5F8FB" w:val="clear"/>
            <w:tcMar>
              <w:top w:type="dxa" w:w="80"/>
              <w:left w:type="dxa" w:w="100"/>
              <w:bottom w:type="dxa" w:w="80"/>
              <w:right w:type="dxa" w:w="100"/>
            </w:tcMar>
            <w:vAlign w:val="center"/>
          </w:tcPr>
          <w:p>
            <w:r>
              <w:rPr>
                <w:b w:val="false"/>
                <w:bCs w:val="false"/>
                <w:color w:val="1A1A1A"/>
                <w:sz w:val="19"/>
                <w:szCs w:val="19"/>
              </w:rPr>
              <w:t xml:space="preserve">Exposure</w:t>
            </w:r>
          </w:p>
        </w:tc>
        <w:tc>
          <w:tcPr>
            <w:tcW w:type="dxa" w:w="3800"/>
            <w:shd w:fill="F5F8FB" w:val="clear"/>
            <w:tcMar>
              <w:top w:type="dxa" w:w="80"/>
              <w:left w:type="dxa" w:w="100"/>
              <w:bottom w:type="dxa" w:w="80"/>
              <w:right w:type="dxa" w:w="100"/>
            </w:tcMar>
            <w:vAlign w:val="center"/>
          </w:tcPr>
          <w:p>
            <w:r>
              <w:rPr>
                <w:b w:val="false"/>
                <w:bCs w:val="false"/>
                <w:color w:val="1A1A1A"/>
                <w:sz w:val="19"/>
                <w:szCs w:val="19"/>
              </w:rPr>
              <w:t xml:space="preserve">How reachable/visible the affected asset is (public internet vs. semi-restricted; production vs. staging)</w:t>
            </w:r>
          </w:p>
        </w:tc>
        <w:tc>
          <w:tcPr>
            <w:tcW w:type="dxa" w:w="3700"/>
            <w:shd w:fill="F5F8FB" w:val="clear"/>
            <w:tcMar>
              <w:top w:type="dxa" w:w="80"/>
              <w:left w:type="dxa" w:w="100"/>
              <w:bottom w:type="dxa" w:w="80"/>
              <w:right w:type="dxa" w:w="100"/>
            </w:tcMar>
            <w:vAlign w:val="center"/>
          </w:tcPr>
          <w:p>
            <w:r>
              <w:rPr>
                <w:b w:val="false"/>
                <w:bCs w:val="false"/>
                <w:color w:val="1A1A1A"/>
                <w:sz w:val="19"/>
                <w:szCs w:val="19"/>
              </w:rPr>
              <w:t xml:space="preserve">Needs an internal exposure taxonomy tied to the Asset model (asset role, network reachability)</w:t>
            </w:r>
          </w:p>
        </w:tc>
      </w:tr>
      <w:tr>
        <w:tc>
          <w:tcPr>
            <w:tcW w:type="dxa" w:w="2300"/>
            <w:tcMar>
              <w:top w:type="dxa" w:w="80"/>
              <w:left w:type="dxa" w:w="100"/>
              <w:bottom w:type="dxa" w:w="80"/>
              <w:right w:type="dxa" w:w="100"/>
            </w:tcMar>
            <w:vAlign w:val="center"/>
          </w:tcPr>
          <w:p>
            <w:r>
              <w:rPr>
                <w:b w:val="false"/>
                <w:bCs w:val="false"/>
                <w:color w:val="1A1A1A"/>
                <w:sz w:val="19"/>
                <w:szCs w:val="19"/>
              </w:rPr>
              <w:t xml:space="preserve">Confidence</w:t>
            </w:r>
          </w:p>
        </w:tc>
        <w:tc>
          <w:tcPr>
            <w:tcW w:type="dxa" w:w="3800"/>
            <w:tcMar>
              <w:top w:type="dxa" w:w="80"/>
              <w:left w:type="dxa" w:w="100"/>
              <w:bottom w:type="dxa" w:w="80"/>
              <w:right w:type="dxa" w:w="100"/>
            </w:tcMar>
            <w:vAlign w:val="center"/>
          </w:tcPr>
          <w:p>
            <w:r>
              <w:rPr>
                <w:b w:val="false"/>
                <w:bCs w:val="false"/>
                <w:color w:val="1A1A1A"/>
                <w:sz w:val="19"/>
                <w:szCs w:val="19"/>
              </w:rPr>
              <w:t xml:space="preserve">Confirmed / High / Medium / Low / Informational, as defined platform-wide</w:t>
            </w:r>
          </w:p>
        </w:tc>
        <w:tc>
          <w:tcPr>
            <w:tcW w:type="dxa" w:w="3700"/>
            <w:tcMar>
              <w:top w:type="dxa" w:w="80"/>
              <w:left w:type="dxa" w:w="100"/>
              <w:bottom w:type="dxa" w:w="80"/>
              <w:right w:type="dxa" w:w="100"/>
            </w:tcMar>
            <w:vAlign w:val="center"/>
          </w:tcPr>
          <w:p>
            <w:r>
              <w:rPr>
                <w:b w:val="false"/>
                <w:bCs w:val="false"/>
                <w:color w:val="1A1A1A"/>
                <w:sz w:val="19"/>
                <w:szCs w:val="19"/>
              </w:rPr>
              <w:t xml:space="preserve">Needs calibration data — track how often each confidence tier turns out to be a true positive during beta</w:t>
            </w:r>
          </w:p>
        </w:tc>
      </w:tr>
      <w:tr>
        <w:tc>
          <w:tcPr>
            <w:tcW w:type="dxa" w:w="2300"/>
            <w:shd w:fill="F5F8FB" w:val="clear"/>
            <w:tcMar>
              <w:top w:type="dxa" w:w="80"/>
              <w:left w:type="dxa" w:w="100"/>
              <w:bottom w:type="dxa" w:w="80"/>
              <w:right w:type="dxa" w:w="100"/>
            </w:tcMar>
            <w:vAlign w:val="center"/>
          </w:tcPr>
          <w:p>
            <w:r>
              <w:rPr>
                <w:b w:val="false"/>
                <w:bCs w:val="false"/>
                <w:color w:val="1A1A1A"/>
                <w:sz w:val="19"/>
                <w:szCs w:val="19"/>
              </w:rPr>
              <w:t xml:space="preserve">Asset Importance</w:t>
            </w:r>
          </w:p>
        </w:tc>
        <w:tc>
          <w:tcPr>
            <w:tcW w:type="dxa" w:w="3800"/>
            <w:shd w:fill="F5F8FB" w:val="clear"/>
            <w:tcMar>
              <w:top w:type="dxa" w:w="80"/>
              <w:left w:type="dxa" w:w="100"/>
              <w:bottom w:type="dxa" w:w="80"/>
              <w:right w:type="dxa" w:w="100"/>
            </w:tcMar>
            <w:vAlign w:val="center"/>
          </w:tcPr>
          <w:p>
            <w:r>
              <w:rPr>
                <w:b w:val="false"/>
                <w:bCs w:val="false"/>
                <w:color w:val="1A1A1A"/>
                <w:sz w:val="19"/>
                <w:szCs w:val="19"/>
              </w:rPr>
              <w:t xml:space="preserve">Business criticality of the affected asset (customer-facing app vs. marketing microsite)</w:t>
            </w:r>
          </w:p>
        </w:tc>
        <w:tc>
          <w:tcPr>
            <w:tcW w:type="dxa" w:w="3700"/>
            <w:shd w:fill="F5F8FB" w:val="clear"/>
            <w:tcMar>
              <w:top w:type="dxa" w:w="80"/>
              <w:left w:type="dxa" w:w="100"/>
              <w:bottom w:type="dxa" w:w="80"/>
              <w:right w:type="dxa" w:w="100"/>
            </w:tcMar>
            <w:vAlign w:val="center"/>
          </w:tcPr>
          <w:p>
            <w:r>
              <w:rPr>
                <w:b w:val="false"/>
                <w:bCs w:val="false"/>
                <w:color w:val="1A1A1A"/>
                <w:sz w:val="19"/>
                <w:szCs w:val="19"/>
              </w:rPr>
              <w:t xml:space="preserve">Requires either customer-supplied tagging or a heuristic default (e.g., primary domain &gt; subdomain)</w:t>
            </w:r>
          </w:p>
        </w:tc>
      </w:tr>
    </w:tbl>
    <w:p>
      <w:pPr>
        <w:pStyle w:val="Heading2"/>
        <w:spacing w:after="120" w:before="300"/>
      </w:pPr>
      <w:r>
        <w:rPr>
          <w:b/>
          <w:bCs/>
          <w:color w:val="2E75B6"/>
          <w:sz w:val="24"/>
          <w:szCs w:val="24"/>
        </w:rPr>
        <w:t xml:space="preserve">6.2 Business Risk vs. Raw Severity</w:t>
      </w:r>
    </w:p>
    <w:p>
      <w:pPr>
        <w:spacing w:after="160" w:line="300"/>
      </w:pPr>
      <w:r>
        <w:rPr>
          <w:sz w:val="21"/>
          <w:szCs w:val="21"/>
        </w:rPr>
        <w:t xml:space="preserve">Keeping a separate business risk score from raw technical severity, as the strategy directs, is itself a research decision worth documenting: it means the dashboard's top-line number can down-rank a technically severe finding on an unimportant, non-exposed asset, and up-rank a modest issue on a customer's primary login page. The technical severity should remain visible (not hidden) for security-literate users evaluating a finding in detail.</w:t>
      </w:r>
    </w:p>
    <w:p>
      <w:pPr>
        <w:pStyle w:val="Heading2"/>
        <w:spacing w:after="120" w:before="300"/>
      </w:pPr>
      <w:r>
        <w:rPr>
          <w:b/>
          <w:bCs/>
          <w:color w:val="2E75B6"/>
          <w:sz w:val="24"/>
          <w:szCs w:val="24"/>
        </w:rPr>
        <w:t xml:space="preserve">6.3 Open Research Questions</w:t>
      </w:r>
    </w:p>
    <w:p>
      <w:pPr>
        <w:pStyle w:val="ListParagraph"/>
        <w:numPr>
          <w:ilvl w:val="0"/>
          <w:numId w:val="3"/>
        </w:numPr>
        <w:spacing w:after="80" w:line="280"/>
      </w:pPr>
      <w:r>
        <w:rPr>
          <w:sz w:val="21"/>
          <w:szCs w:val="21"/>
        </w:rPr>
        <w:t xml:space="preserve">What weighting function (multiplicative as specified, vs. a weighted-sum alternative) best avoids one near-zero factor silently zeroing out an otherwise important finding?</w:t>
      </w:r>
    </w:p>
    <w:p>
      <w:pPr>
        <w:pStyle w:val="ListParagraph"/>
        <w:numPr>
          <w:ilvl w:val="0"/>
          <w:numId w:val="3"/>
        </w:numPr>
        <w:spacing w:after="80" w:line="280"/>
      </w:pPr>
      <w:r>
        <w:rPr>
          <w:sz w:val="21"/>
          <w:szCs w:val="21"/>
        </w:rPr>
        <w:t xml:space="preserve">How should the score decay or persist over time for findings the customer has not yet remediated — does an unresolved High finding get more urgent over time?</w:t>
      </w:r>
    </w:p>
    <w:p>
      <w:pPr>
        <w:pStyle w:val="ListParagraph"/>
        <w:numPr>
          <w:ilvl w:val="0"/>
          <w:numId w:val="3"/>
        </w:numPr>
        <w:spacing w:after="80" w:line="280"/>
      </w:pPr>
      <w:r>
        <w:rPr>
          <w:sz w:val="21"/>
          <w:szCs w:val="21"/>
        </w:rPr>
        <w:t xml:space="preserve">What calibration process (beta customer feedback, security-researcher review) validates that the 0–100 output actually correlates with what a human analyst would prioritize?</w:t>
      </w:r>
    </w:p>
    <w:p>
      <w:r>
        <w:br w:type="page"/>
      </w:r>
    </w:p>
    <w:p>
      <w:pPr>
        <w:pStyle w:val="Heading1"/>
        <w:pBdr>
          <w:bottom w:val="single" w:color="1F3A5F" w:sz="8" w:space="4"/>
        </w:pBdr>
        <w:spacing w:after="200" w:before="400"/>
      </w:pPr>
      <w:r>
        <w:rPr>
          <w:b/>
          <w:bCs/>
          <w:color w:val="1F3A5F"/>
          <w:sz w:val="30"/>
          <w:szCs w:val="30"/>
        </w:rPr>
        <w:t xml:space="preserve">7. Research Thread 5 — AI Security Analyst Grounding</w:t>
      </w:r>
    </w:p>
    <w:p>
      <w:pPr>
        <w:spacing w:after="160" w:line="300"/>
      </w:pPr>
      <w:r>
        <w:rPr>
          <w:sz w:val="21"/>
          <w:szCs w:val="21"/>
        </w:rPr>
        <w:t xml:space="preserve">Research question: how do we get genuinely useful plain-language explanations out of an LLM while making it structurally impossible for the model to assert a security claim that isn't backed by stored evidence?</w:t>
      </w:r>
    </w:p>
    <w:p>
      <w:pPr>
        <w:pStyle w:val="Heading2"/>
        <w:spacing w:after="120" w:before="300"/>
      </w:pPr>
      <w:r>
        <w:rPr>
          <w:b/>
          <w:bCs/>
          <w:color w:val="2E75B6"/>
          <w:sz w:val="24"/>
          <w:szCs w:val="24"/>
        </w:rPr>
        <w:t xml:space="preserve">7.1 Grounding Architecture</w:t>
      </w:r>
    </w:p>
    <w:p>
      <w:pPr>
        <w:spacing w:after="160" w:line="300"/>
      </w:pPr>
      <w:r>
        <w:rPr>
          <w:sz w:val="21"/>
          <w:szCs w:val="21"/>
        </w:rPr>
        <w:t xml:space="preserve">The recommended pattern is retrieval-constrained generation: the AI layer never reasons from open-ended knowledge about “what this technology's vulnerabilities generally are.” It is given only the structured Finding record — evidence, confidence tier, asset context, and pre-approved remediation guidance — and instructed to explain, prioritize, and summarize strictly from that input.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800"/>
      </w:tblGrid>
      <w:tr>
        <w:trPr>
          <w:tblHeader/>
        </w:trPr>
        <w:tc>
          <w:tcPr>
            <w:tcW w:type="dxa" w:w="2000"/>
            <w:shd w:fill="1F3A5F" w:val="clear"/>
            <w:tcMar>
              <w:top w:type="dxa" w:w="80"/>
              <w:left w:type="dxa" w:w="100"/>
              <w:bottom w:type="dxa" w:w="80"/>
              <w:right w:type="dxa" w:w="100"/>
            </w:tcMar>
            <w:vAlign w:val="center"/>
          </w:tcPr>
          <w:p>
            <w:r>
              <w:rPr>
                <w:b/>
                <w:bCs/>
                <w:color w:val="FFFFFF"/>
                <w:sz w:val="19"/>
                <w:szCs w:val="19"/>
              </w:rPr>
              <w:t xml:space="preserve">AI task (from strategy)</w:t>
            </w:r>
          </w:p>
        </w:tc>
        <w:tc>
          <w:tcPr>
            <w:tcW w:type="dxa" w:w="4000"/>
            <w:shd w:fill="1F3A5F" w:val="clear"/>
            <w:tcMar>
              <w:top w:type="dxa" w:w="80"/>
              <w:left w:type="dxa" w:w="100"/>
              <w:bottom w:type="dxa" w:w="80"/>
              <w:right w:type="dxa" w:w="100"/>
            </w:tcMar>
            <w:vAlign w:val="center"/>
          </w:tcPr>
          <w:p>
            <w:r>
              <w:rPr>
                <w:b/>
                <w:bCs/>
                <w:color w:val="FFFFFF"/>
                <w:sz w:val="19"/>
                <w:szCs w:val="19"/>
              </w:rPr>
              <w:t xml:space="preserve">Grounding constraint</w:t>
            </w:r>
          </w:p>
        </w:tc>
        <w:tc>
          <w:tcPr>
            <w:tcW w:type="dxa" w:w="3800"/>
            <w:shd w:fill="1F3A5F" w:val="clear"/>
            <w:tcMar>
              <w:top w:type="dxa" w:w="80"/>
              <w:left w:type="dxa" w:w="100"/>
              <w:bottom w:type="dxa" w:w="80"/>
              <w:right w:type="dxa" w:w="100"/>
            </w:tcMar>
            <w:vAlign w:val="center"/>
          </w:tcPr>
          <w:p>
            <w:r>
              <w:rPr>
                <w:b/>
                <w:bCs/>
                <w:color w:val="FFFFFF"/>
                <w:sz w:val="19"/>
                <w:szCs w:val="19"/>
              </w:rPr>
              <w:t xml:space="preserve">Failure mode being prevented</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Explain</w:t>
            </w:r>
          </w:p>
        </w:tc>
        <w:tc>
          <w:tcPr>
            <w:tcW w:type="dxa" w:w="4000"/>
            <w:tcMar>
              <w:top w:type="dxa" w:w="80"/>
              <w:left w:type="dxa" w:w="100"/>
              <w:bottom w:type="dxa" w:w="80"/>
              <w:right w:type="dxa" w:w="100"/>
            </w:tcMar>
            <w:vAlign w:val="center"/>
          </w:tcPr>
          <w:p>
            <w:r>
              <w:rPr>
                <w:b w:val="false"/>
                <w:bCs w:val="false"/>
                <w:color w:val="1A1A1A"/>
                <w:sz w:val="19"/>
                <w:szCs w:val="19"/>
              </w:rPr>
              <w:t xml:space="preserve">Must restate only fields present in the Finding record, in plain language</w:t>
            </w:r>
          </w:p>
        </w:tc>
        <w:tc>
          <w:tcPr>
            <w:tcW w:type="dxa" w:w="3800"/>
            <w:tcMar>
              <w:top w:type="dxa" w:w="80"/>
              <w:left w:type="dxa" w:w="100"/>
              <w:bottom w:type="dxa" w:w="80"/>
              <w:right w:type="dxa" w:w="100"/>
            </w:tcMar>
            <w:vAlign w:val="center"/>
          </w:tcPr>
          <w:p>
            <w:r>
              <w:rPr>
                <w:b w:val="false"/>
                <w:bCs w:val="false"/>
                <w:color w:val="1A1A1A"/>
                <w:sz w:val="19"/>
                <w:szCs w:val="19"/>
              </w:rPr>
              <w:t xml:space="preserve">Model inventing plausible-sounding but unverified impact details</w:t>
            </w:r>
          </w:p>
        </w:tc>
      </w:tr>
      <w:tr>
        <w:tc>
          <w:tcPr>
            <w:tcW w:type="dxa" w:w="2000"/>
            <w:shd w:fill="F5F8FB" w:val="clear"/>
            <w:tcMar>
              <w:top w:type="dxa" w:w="80"/>
              <w:left w:type="dxa" w:w="100"/>
              <w:bottom w:type="dxa" w:w="80"/>
              <w:right w:type="dxa" w:w="100"/>
            </w:tcMar>
            <w:vAlign w:val="center"/>
          </w:tcPr>
          <w:p>
            <w:r>
              <w:rPr>
                <w:b w:val="false"/>
                <w:bCs w:val="false"/>
                <w:color w:val="1A1A1A"/>
                <w:sz w:val="19"/>
                <w:szCs w:val="19"/>
              </w:rPr>
              <w:t xml:space="preserve">Prioritize</w:t>
            </w:r>
          </w:p>
        </w:tc>
        <w:tc>
          <w:tcPr>
            <w:tcW w:type="dxa" w:w="4000"/>
            <w:shd w:fill="F5F8FB" w:val="clear"/>
            <w:tcMar>
              <w:top w:type="dxa" w:w="80"/>
              <w:left w:type="dxa" w:w="100"/>
              <w:bottom w:type="dxa" w:w="80"/>
              <w:right w:type="dxa" w:w="100"/>
            </w:tcMar>
            <w:vAlign w:val="center"/>
          </w:tcPr>
          <w:p>
            <w:r>
              <w:rPr>
                <w:b w:val="false"/>
                <w:bCs w:val="false"/>
                <w:color w:val="1A1A1A"/>
                <w:sz w:val="19"/>
                <w:szCs w:val="19"/>
              </w:rPr>
              <w:t xml:space="preserve">May reference the computed risk score and its factors, not re-derive its own score</w:t>
            </w:r>
          </w:p>
        </w:tc>
        <w:tc>
          <w:tcPr>
            <w:tcW w:type="dxa" w:w="3800"/>
            <w:shd w:fill="F5F8FB" w:val="clear"/>
            <w:tcMar>
              <w:top w:type="dxa" w:w="80"/>
              <w:left w:type="dxa" w:w="100"/>
              <w:bottom w:type="dxa" w:w="80"/>
              <w:right w:type="dxa" w:w="100"/>
            </w:tcMar>
            <w:vAlign w:val="center"/>
          </w:tcPr>
          <w:p>
            <w:r>
              <w:rPr>
                <w:b w:val="false"/>
                <w:bCs w:val="false"/>
                <w:color w:val="1A1A1A"/>
                <w:sz w:val="19"/>
                <w:szCs w:val="19"/>
              </w:rPr>
              <w:t xml:space="preserve">Inconsistent or unexplainable prioritization drift between the risk engine and the narrative</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Remediate</w:t>
            </w:r>
          </w:p>
        </w:tc>
        <w:tc>
          <w:tcPr>
            <w:tcW w:type="dxa" w:w="4000"/>
            <w:tcMar>
              <w:top w:type="dxa" w:w="80"/>
              <w:left w:type="dxa" w:w="100"/>
              <w:bottom w:type="dxa" w:w="80"/>
              <w:right w:type="dxa" w:w="100"/>
            </w:tcMar>
            <w:vAlign w:val="center"/>
          </w:tcPr>
          <w:p>
            <w:r>
              <w:rPr>
                <w:b w:val="false"/>
                <w:bCs w:val="false"/>
                <w:color w:val="1A1A1A"/>
                <w:sz w:val="19"/>
                <w:szCs w:val="19"/>
              </w:rPr>
              <w:t xml:space="preserve">Must select from an approved remediation-guidance library keyed to finding type, not free-generate fixes</w:t>
            </w:r>
          </w:p>
        </w:tc>
        <w:tc>
          <w:tcPr>
            <w:tcW w:type="dxa" w:w="3800"/>
            <w:tcMar>
              <w:top w:type="dxa" w:w="80"/>
              <w:left w:type="dxa" w:w="100"/>
              <w:bottom w:type="dxa" w:w="80"/>
              <w:right w:type="dxa" w:w="100"/>
            </w:tcMar>
            <w:vAlign w:val="center"/>
          </w:tcPr>
          <w:p>
            <w:r>
              <w:rPr>
                <w:b w:val="false"/>
                <w:bCs w:val="false"/>
                <w:color w:val="1A1A1A"/>
                <w:sz w:val="19"/>
                <w:szCs w:val="19"/>
              </w:rPr>
              <w:t xml:space="preserve">Recommending an action that is technically incorrect or unsafe for the customer's stack</w:t>
            </w:r>
          </w:p>
        </w:tc>
      </w:tr>
      <w:tr>
        <w:tc>
          <w:tcPr>
            <w:tcW w:type="dxa" w:w="2000"/>
            <w:shd w:fill="F5F8FB" w:val="clear"/>
            <w:tcMar>
              <w:top w:type="dxa" w:w="80"/>
              <w:left w:type="dxa" w:w="100"/>
              <w:bottom w:type="dxa" w:w="80"/>
              <w:right w:type="dxa" w:w="100"/>
            </w:tcMar>
            <w:vAlign w:val="center"/>
          </w:tcPr>
          <w:p>
            <w:r>
              <w:rPr>
                <w:b w:val="false"/>
                <w:bCs w:val="false"/>
                <w:color w:val="1A1A1A"/>
                <w:sz w:val="19"/>
                <w:szCs w:val="19"/>
              </w:rPr>
              <w:t xml:space="preserve">Summarize</w:t>
            </w:r>
          </w:p>
        </w:tc>
        <w:tc>
          <w:tcPr>
            <w:tcW w:type="dxa" w:w="4000"/>
            <w:shd w:fill="F5F8FB" w:val="clear"/>
            <w:tcMar>
              <w:top w:type="dxa" w:w="80"/>
              <w:left w:type="dxa" w:w="100"/>
              <w:bottom w:type="dxa" w:w="80"/>
              <w:right w:type="dxa" w:w="100"/>
            </w:tcMar>
            <w:vAlign w:val="center"/>
          </w:tcPr>
          <w:p>
            <w:r>
              <w:rPr>
                <w:b w:val="false"/>
                <w:bCs w:val="false"/>
                <w:color w:val="1A1A1A"/>
                <w:sz w:val="19"/>
                <w:szCs w:val="19"/>
              </w:rPr>
              <w:t xml:space="preserve">Aggregates only already-confirmed/high-confidence findings across a time window</w:t>
            </w:r>
          </w:p>
        </w:tc>
        <w:tc>
          <w:tcPr>
            <w:tcW w:type="dxa" w:w="3800"/>
            <w:shd w:fill="F5F8FB" w:val="clear"/>
            <w:tcMar>
              <w:top w:type="dxa" w:w="80"/>
              <w:left w:type="dxa" w:w="100"/>
              <w:bottom w:type="dxa" w:w="80"/>
              <w:right w:type="dxa" w:w="100"/>
            </w:tcMar>
            <w:vAlign w:val="center"/>
          </w:tcPr>
          <w:p>
            <w:r>
              <w:rPr>
                <w:b w:val="false"/>
                <w:bCs w:val="false"/>
                <w:color w:val="1A1A1A"/>
                <w:sz w:val="19"/>
                <w:szCs w:val="19"/>
              </w:rPr>
              <w:t xml:space="preserve">Executive summaries overstating risk based on Low/Informational noise</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Investigate</w:t>
            </w:r>
          </w:p>
        </w:tc>
        <w:tc>
          <w:tcPr>
            <w:tcW w:type="dxa" w:w="4000"/>
            <w:tcMar>
              <w:top w:type="dxa" w:w="80"/>
              <w:left w:type="dxa" w:w="100"/>
              <w:bottom w:type="dxa" w:w="80"/>
              <w:right w:type="dxa" w:w="100"/>
            </w:tcMar>
            <w:vAlign w:val="center"/>
          </w:tcPr>
          <w:p>
            <w:r>
              <w:rPr>
                <w:b w:val="false"/>
                <w:bCs w:val="false"/>
                <w:color w:val="1A1A1A"/>
                <w:sz w:val="19"/>
                <w:szCs w:val="19"/>
              </w:rPr>
              <w:t xml:space="preserve">Allowed to ask for more evidence or flag insufficient data; not allowed to assert a conclusion under uncertainty</w:t>
            </w:r>
          </w:p>
        </w:tc>
        <w:tc>
          <w:tcPr>
            <w:tcW w:type="dxa" w:w="3800"/>
            <w:tcMar>
              <w:top w:type="dxa" w:w="80"/>
              <w:left w:type="dxa" w:w="100"/>
              <w:bottom w:type="dxa" w:w="80"/>
              <w:right w:type="dxa" w:w="100"/>
            </w:tcMar>
            <w:vAlign w:val="center"/>
          </w:tcPr>
          <w:p>
            <w:r>
              <w:rPr>
                <w:b w:val="false"/>
                <w:bCs w:val="false"/>
                <w:color w:val="1A1A1A"/>
                <w:sz w:val="19"/>
                <w:szCs w:val="19"/>
              </w:rPr>
              <w:t xml:space="preserve">Silent hallucination when evidence is thin</w:t>
            </w:r>
          </w:p>
        </w:tc>
      </w:tr>
    </w:tbl>
    <w:p>
      <w:pPr>
        <w:pStyle w:val="Heading2"/>
        <w:spacing w:after="120" w:before="300"/>
      </w:pPr>
      <w:r>
        <w:rPr>
          <w:b/>
          <w:bCs/>
          <w:color w:val="2E75B6"/>
          <w:sz w:val="24"/>
          <w:szCs w:val="24"/>
        </w:rPr>
        <w:t xml:space="preserve">7.2 Open Research Questions</w:t>
      </w:r>
    </w:p>
    <w:p>
      <w:pPr>
        <w:pStyle w:val="ListParagraph"/>
        <w:numPr>
          <w:ilvl w:val="0"/>
          <w:numId w:val="3"/>
        </w:numPr>
        <w:spacing w:after="80" w:line="280"/>
      </w:pPr>
      <w:r>
        <w:rPr>
          <w:sz w:val="21"/>
          <w:szCs w:val="21"/>
        </w:rPr>
        <w:t xml:space="preserve">What structured-output format (e.g., schema-constrained JSON) most reliably keeps the model inside the approved remediation library without sounding templated to the customer?</w:t>
      </w:r>
    </w:p>
    <w:p>
      <w:pPr>
        <w:pStyle w:val="ListParagraph"/>
        <w:numPr>
          <w:ilvl w:val="0"/>
          <w:numId w:val="3"/>
        </w:numPr>
        <w:spacing w:after="80" w:line="280"/>
      </w:pPr>
      <w:r>
        <w:rPr>
          <w:sz w:val="21"/>
          <w:szCs w:val="21"/>
        </w:rPr>
        <w:t xml:space="preserve">How is a hallucination or ungrounded claim caught before it reaches a customer — automated evidence-matching checks on the output, human review sampling during beta, or both?</w:t>
      </w:r>
    </w:p>
    <w:p>
      <w:pPr>
        <w:pStyle w:val="ListParagraph"/>
        <w:numPr>
          <w:ilvl w:val="0"/>
          <w:numId w:val="3"/>
        </w:numPr>
        <w:spacing w:after="80" w:line="280"/>
      </w:pPr>
      <w:r>
        <w:rPr>
          <w:sz w:val="21"/>
          <w:szCs w:val="21"/>
        </w:rPr>
        <w:t xml:space="preserve">Should the AI layer be allowed to phrase uncertainty itself (“we can't confirm this is exploitable”), or should uncertainty language be templated to avoid the model softening or overstating confidence inconsistently?</w:t>
      </w:r>
    </w:p>
    <w:p>
      <w:r>
        <w:br w:type="page"/>
      </w:r>
    </w:p>
    <w:p>
      <w:pPr>
        <w:pStyle w:val="Heading1"/>
        <w:pBdr>
          <w:bottom w:val="single" w:color="1F3A5F" w:sz="8" w:space="4"/>
        </w:pBdr>
        <w:spacing w:after="200" w:before="400"/>
      </w:pPr>
      <w:r>
        <w:rPr>
          <w:b/>
          <w:bCs/>
          <w:color w:val="1F3A5F"/>
          <w:sz w:val="30"/>
          <w:szCs w:val="30"/>
        </w:rPr>
        <w:t xml:space="preserve">8. Cross-Cutting Thread — False-Positive Control</w:t>
      </w:r>
    </w:p>
    <w:p>
      <w:pPr>
        <w:spacing w:after="160" w:line="300"/>
      </w:pPr>
      <w:r>
        <w:rPr>
          <w:sz w:val="21"/>
          <w:szCs w:val="21"/>
        </w:rPr>
        <w:t xml:space="preserve">This isn't a separate module in the strategy's five pillars, but it is arguably the single research area that determines whether the product is trusted or ignored. It touches every other thread above.</w:t>
      </w:r>
    </w:p>
    <w:p>
      <w:pPr>
        <w:pStyle w:val="Heading2"/>
        <w:spacing w:after="120" w:before="300"/>
      </w:pPr>
      <w:r>
        <w:rPr>
          <w:b/>
          <w:bCs/>
          <w:color w:val="2E75B6"/>
          <w:sz w:val="24"/>
          <w:szCs w:val="24"/>
        </w:rPr>
        <w:t xml:space="preserve">8.1 Layered Controls</w:t>
      </w:r>
    </w:p>
    <w:p>
      <w:pPr>
        <w:pStyle w:val="ListParagraph"/>
        <w:numPr>
          <w:ilvl w:val="0"/>
          <w:numId w:val="2"/>
        </w:numPr>
        <w:spacing w:after="80" w:line="280"/>
      </w:pPr>
      <w:r>
        <w:rPr>
          <w:sz w:val="21"/>
          <w:szCs w:val="21"/>
        </w:rPr>
        <w:t xml:space="preserve">Evidence-first storage: every finding stores the raw observation (header value, banner string, screenshot hash) so a human or the AI layer can always re-verify the claim, not just trust a cached verdict.</w:t>
      </w:r>
    </w:p>
    <w:p>
      <w:pPr>
        <w:pStyle w:val="ListParagraph"/>
        <w:numPr>
          <w:ilvl w:val="0"/>
          <w:numId w:val="2"/>
        </w:numPr>
        <w:spacing w:after="80" w:line="280"/>
      </w:pPr>
      <w:r>
        <w:rPr>
          <w:sz w:val="21"/>
          <w:szCs w:val="21"/>
        </w:rPr>
        <w:t xml:space="preserve">Confidence gating: only Confirmed/High findings generate alerts by default; Medium/Low/Informational surface in the dashboard but don't interrupt the customer.</w:t>
      </w:r>
    </w:p>
    <w:p>
      <w:pPr>
        <w:pStyle w:val="ListParagraph"/>
        <w:numPr>
          <w:ilvl w:val="0"/>
          <w:numId w:val="2"/>
        </w:numPr>
        <w:spacing w:after="80" w:line="280"/>
      </w:pPr>
      <w:r>
        <w:rPr>
          <w:sz w:val="21"/>
          <w:szCs w:val="21"/>
        </w:rPr>
        <w:t xml:space="preserve">Deduplication across scans: a finding re-observed on the next scan updates last_seen rather than creating a duplicate record and a duplicate alert.</w:t>
      </w:r>
    </w:p>
    <w:p>
      <w:pPr>
        <w:pStyle w:val="ListParagraph"/>
        <w:numPr>
          <w:ilvl w:val="0"/>
          <w:numId w:val="2"/>
        </w:numPr>
        <w:spacing w:after="80" w:line="280"/>
      </w:pPr>
      <w:r>
        <w:rPr>
          <w:sz w:val="21"/>
          <w:szCs w:val="21"/>
        </w:rPr>
        <w:t xml:space="preserve">Customer feedback loop: “accepted risk” and “false positive” actions on a finding should feed back into confidence calibration, not just suppress the individual finding.</w:t>
      </w:r>
    </w:p>
    <w:p>
      <w:pPr>
        <w:pStyle w:val="ListParagraph"/>
        <w:numPr>
          <w:ilvl w:val="0"/>
          <w:numId w:val="2"/>
        </w:numPr>
        <w:spacing w:after="80" w:line="280"/>
      </w:pPr>
      <w:r>
        <w:rPr>
          <w:sz w:val="21"/>
          <w:szCs w:val="21"/>
        </w:rPr>
        <w:t xml:space="preserve">Human-in-the-loop during beta: a security researcher reviews high-impact findings before they reach a customer, specifically to build the calibration dataset referenced in Section 6.1.</w:t>
      </w:r>
    </w:p>
    <w:p>
      <w:pPr>
        <w:pStyle w:val="Heading2"/>
        <w:spacing w:after="120" w:before="300"/>
      </w:pPr>
      <w:r>
        <w:rPr>
          <w:b/>
          <w:bCs/>
          <w:color w:val="2E75B6"/>
          <w:sz w:val="24"/>
          <w:szCs w:val="24"/>
        </w:rPr>
        <w:t xml:space="preserve">8.2 The North-Star Metric, Operationalized</w:t>
      </w:r>
    </w:p>
    <w:p>
      <w:pPr>
        <w:spacing w:after="160" w:line="300"/>
      </w:pPr>
      <w:r>
        <w:rPr>
          <w:sz w:val="21"/>
          <w:szCs w:val="21"/>
        </w:rPr>
        <w:t xml:space="preserve">The strategy's chosen technical quality metric — percentage of high/critical findings customers consider actionable and valid — requires an explicit mechanism to collect that judgment (e.g., a one-tap “was this useful” control on every alert) from day one of beta, not retrofitted later. This is a small product decision with an outsized research payoff: it's the only way the confidence model in Section 6.1 gets real calibration data.</w:t>
      </w:r>
    </w:p>
    <w:p>
      <w:r>
        <w:br w:type="page"/>
      </w:r>
    </w:p>
    <w:p>
      <w:pPr>
        <w:pStyle w:val="Heading1"/>
        <w:pBdr>
          <w:bottom w:val="single" w:color="1F3A5F" w:sz="8" w:space="4"/>
        </w:pBdr>
        <w:spacing w:after="200" w:before="400"/>
      </w:pPr>
      <w:r>
        <w:rPr>
          <w:b/>
          <w:bCs/>
          <w:color w:val="1F3A5F"/>
          <w:sz w:val="30"/>
          <w:szCs w:val="30"/>
        </w:rPr>
        <w:t xml:space="preserve">9. Architecture &amp; Data Model Research Notes</w:t>
      </w:r>
    </w:p>
    <w:p>
      <w:pPr>
        <w:pStyle w:val="Heading2"/>
        <w:spacing w:after="120" w:before="300"/>
      </w:pPr>
      <w:r>
        <w:rPr>
          <w:b/>
          <w:bCs/>
          <w:color w:val="2E75B6"/>
          <w:sz w:val="24"/>
          <w:szCs w:val="24"/>
        </w:rPr>
        <w:t xml:space="preserve">9.1 Async Processing &amp; Worker Isolation</w:t>
      </w:r>
    </w:p>
    <w:p>
      <w:pPr>
        <w:spacing w:after="160" w:line="300"/>
      </w:pPr>
      <w:r>
        <w:rPr>
          <w:sz w:val="21"/>
          <w:szCs w:val="21"/>
        </w:rPr>
        <w:t xml:space="preserve">The strategy's non-negotiable design principle — the API must never block on a scan — has a security dimension worth calling out explicitly in R&amp;D: scanning workers make outbound requests to arbitrary customer-supplied targets, which is a classic server-side request forgery (SSRF) surface if not isolated. Worker processes should run with restricted network egress (allow-listed to the check's actual target, not the platform's internal network) and no access to platform credentials or the primary database beyond a narrow evidence-write path.</w:t>
      </w:r>
    </w:p>
    <w:p>
      <w:pPr>
        <w:pStyle w:val="ListParagraph"/>
        <w:numPr>
          <w:ilvl w:val="0"/>
          <w:numId w:val="3"/>
        </w:numPr>
        <w:spacing w:after="80" w:line="280"/>
      </w:pPr>
      <w:r>
        <w:rPr>
          <w:sz w:val="21"/>
          <w:szCs w:val="21"/>
        </w:rPr>
        <w:t xml:space="preserve">Research task: define the worker sandboxing boundary (container-level network policy vs. a stronger isolation layer) before the first discovery job ships, not after.</w:t>
      </w:r>
    </w:p>
    <w:p>
      <w:pPr>
        <w:pStyle w:val="ListParagraph"/>
        <w:numPr>
          <w:ilvl w:val="0"/>
          <w:numId w:val="3"/>
        </w:numPr>
        <w:spacing w:after="80" w:line="280"/>
      </w:pPr>
      <w:r>
        <w:rPr>
          <w:sz w:val="21"/>
          <w:szCs w:val="21"/>
        </w:rPr>
        <w:t xml:space="preserve">Research task: define a per-organization and per-asset scan budget (job count, bandwidth, concurrency) enforced at the queue level to bound infrastructure cost and avoid a single customer's asset list starving others.</w:t>
      </w:r>
    </w:p>
    <w:p>
      <w:pPr>
        <w:pStyle w:val="Heading2"/>
        <w:spacing w:after="120" w:before="300"/>
      </w:pPr>
      <w:r>
        <w:rPr>
          <w:b/>
          <w:bCs/>
          <w:color w:val="2E75B6"/>
          <w:sz w:val="24"/>
          <w:szCs w:val="24"/>
        </w:rPr>
        <w:t xml:space="preserve">9.2 Data Model Extensions Worth Piloting Early</w:t>
      </w:r>
    </w:p>
    <w:p>
      <w:pPr>
        <w:spacing w:after="160" w:line="300"/>
      </w:pPr>
      <w:r>
        <w:rPr>
          <w:sz w:val="21"/>
          <w:szCs w:val="21"/>
        </w:rPr>
        <w:t xml:space="preserve">The core entities in the strategy (Organization, Asset, Scan, Finding, Threat, Alert, Audit Log) are sufficient to start, but two additions will save rework once threads above are implemented:</w:t>
      </w:r>
    </w:p>
    <w:p>
      <w:pPr>
        <w:pStyle w:val="ListParagraph"/>
        <w:numPr>
          <w:ilvl w:val="0"/>
          <w:numId w:val="3"/>
        </w:numPr>
        <w:spacing w:after="80" w:line="280"/>
      </w:pPr>
      <w:r>
        <w:rPr>
          <w:sz w:val="21"/>
          <w:szCs w:val="21"/>
        </w:rPr>
        <w:t xml:space="preserve">Evidence as a first-class, immutable record linked to Finding (rather than a free-text field), so re-verification and AI grounding always have a stable reference.</w:t>
      </w:r>
    </w:p>
    <w:p>
      <w:pPr>
        <w:pStyle w:val="ListParagraph"/>
        <w:numPr>
          <w:ilvl w:val="0"/>
          <w:numId w:val="3"/>
        </w:numPr>
        <w:spacing w:after="80" w:line="280"/>
      </w:pPr>
      <w:r>
        <w:rPr>
          <w:sz w:val="21"/>
          <w:szCs w:val="21"/>
        </w:rPr>
        <w:t xml:space="preserve">A Confidence-calibration or Feedback record capturing customer accept/false-positive actions, feeding the risk-model tuning described in Sections 6 and 8.</w:t>
      </w:r>
    </w:p>
    <w:p>
      <w:pPr>
        <w:pStyle w:val="Heading2"/>
        <w:spacing w:after="120" w:before="300"/>
      </w:pPr>
      <w:r>
        <w:rPr>
          <w:b/>
          <w:bCs/>
          <w:color w:val="2E75B6"/>
          <w:sz w:val="24"/>
          <w:szCs w:val="24"/>
        </w:rPr>
        <w:t xml:space="preserve">9.3 Open Research Questions</w:t>
      </w:r>
    </w:p>
    <w:p>
      <w:pPr>
        <w:pStyle w:val="ListParagraph"/>
        <w:numPr>
          <w:ilvl w:val="0"/>
          <w:numId w:val="3"/>
        </w:numPr>
        <w:spacing w:after="80" w:line="280"/>
      </w:pPr>
      <w:r>
        <w:rPr>
          <w:sz w:val="21"/>
          <w:szCs w:val="21"/>
        </w:rPr>
        <w:t xml:space="preserve">What is the right retention policy for raw evidence (screenshots, banners, headers) balancing audit/re-verification value against storage cost at scale?</w:t>
      </w:r>
    </w:p>
    <w:p>
      <w:pPr>
        <w:pStyle w:val="ListParagraph"/>
        <w:numPr>
          <w:ilvl w:val="0"/>
          <w:numId w:val="3"/>
        </w:numPr>
        <w:spacing w:after="80" w:line="280"/>
      </w:pPr>
      <w:r>
        <w:rPr>
          <w:sz w:val="21"/>
          <w:szCs w:val="21"/>
        </w:rPr>
        <w:t xml:space="preserve">Should worker isolation start as container network policies (fast to build) or a stronger sandbox (e.g., microVM-based isolation), and at what customer/scan volume does the stronger option become necessary?</w:t>
      </w:r>
    </w:p>
    <w:p>
      <w:r>
        <w:br w:type="page"/>
      </w:r>
    </w:p>
    <w:p>
      <w:pPr>
        <w:pStyle w:val="Heading1"/>
        <w:pBdr>
          <w:bottom w:val="single" w:color="1F3A5F" w:sz="8" w:space="4"/>
        </w:pBdr>
        <w:spacing w:after="200" w:before="400"/>
      </w:pPr>
      <w:r>
        <w:rPr>
          <w:b/>
          <w:bCs/>
          <w:color w:val="1F3A5F"/>
          <w:sz w:val="30"/>
          <w:szCs w:val="30"/>
        </w:rPr>
        <w:t xml:space="preserve">10. Feasibility &amp; Effort Assessment</w:t>
      </w:r>
    </w:p>
    <w:p>
      <w:pPr>
        <w:spacing w:after="160" w:line="300"/>
      </w:pPr>
      <w:r>
        <w:rPr>
          <w:sz w:val="21"/>
          <w:szCs w:val="21"/>
        </w:rPr>
        <w:t xml:space="preserve">A rough relative-effort view across the five pillars, assuming a small team and reliance on mature open-source building blocks wherever one exists (per the build-vs-buy notes above).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600"/>
      </w:tblGrid>
      <w:tr>
        <w:trPr>
          <w:tblHeader/>
        </w:trPr>
        <w:tc>
          <w:tcPr>
            <w:tcW w:type="dxa" w:w="2600"/>
            <w:shd w:fill="1F3A5F" w:val="clear"/>
            <w:tcMar>
              <w:top w:type="dxa" w:w="80"/>
              <w:left w:type="dxa" w:w="100"/>
              <w:bottom w:type="dxa" w:w="80"/>
              <w:right w:type="dxa" w:w="100"/>
            </w:tcMar>
            <w:vAlign w:val="center"/>
          </w:tcPr>
          <w:p>
            <w:r>
              <w:rPr>
                <w:b/>
                <w:bCs/>
                <w:color w:val="FFFFFF"/>
                <w:sz w:val="19"/>
                <w:szCs w:val="19"/>
              </w:rPr>
              <w:t xml:space="preserve">Module</w:t>
            </w:r>
          </w:p>
        </w:tc>
        <w:tc>
          <w:tcPr>
            <w:tcW w:type="dxa" w:w="2400"/>
            <w:shd w:fill="1F3A5F" w:val="clear"/>
            <w:tcMar>
              <w:top w:type="dxa" w:w="80"/>
              <w:left w:type="dxa" w:w="100"/>
              <w:bottom w:type="dxa" w:w="80"/>
              <w:right w:type="dxa" w:w="100"/>
            </w:tcMar>
            <w:vAlign w:val="center"/>
          </w:tcPr>
          <w:p>
            <w:r>
              <w:rPr>
                <w:b/>
                <w:bCs/>
                <w:color w:val="FFFFFF"/>
                <w:sz w:val="19"/>
                <w:szCs w:val="19"/>
              </w:rPr>
              <w:t xml:space="preserve">Technical novelty</w:t>
            </w:r>
          </w:p>
        </w:tc>
        <w:tc>
          <w:tcPr>
            <w:tcW w:type="dxa" w:w="2200"/>
            <w:shd w:fill="1F3A5F" w:val="clear"/>
            <w:tcMar>
              <w:top w:type="dxa" w:w="80"/>
              <w:left w:type="dxa" w:w="100"/>
              <w:bottom w:type="dxa" w:w="80"/>
              <w:right w:type="dxa" w:w="100"/>
            </w:tcMar>
            <w:vAlign w:val="center"/>
          </w:tcPr>
          <w:p>
            <w:r>
              <w:rPr>
                <w:b/>
                <w:bCs/>
                <w:color w:val="FFFFFF"/>
                <w:sz w:val="19"/>
                <w:szCs w:val="19"/>
              </w:rPr>
              <w:t xml:space="preserve">Relative build effort</w:t>
            </w:r>
          </w:p>
        </w:tc>
        <w:tc>
          <w:tcPr>
            <w:tcW w:type="dxa" w:w="2600"/>
            <w:shd w:fill="1F3A5F" w:val="clear"/>
            <w:tcMar>
              <w:top w:type="dxa" w:w="80"/>
              <w:left w:type="dxa" w:w="100"/>
              <w:bottom w:type="dxa" w:w="80"/>
              <w:right w:type="dxa" w:w="100"/>
            </w:tcMar>
            <w:vAlign w:val="center"/>
          </w:tcPr>
          <w:p>
            <w:r>
              <w:rPr>
                <w:b/>
                <w:bCs/>
                <w:color w:val="FFFFFF"/>
                <w:sz w:val="19"/>
                <w:szCs w:val="19"/>
              </w:rPr>
              <w:t xml:space="preserve">Primary R&amp;D risk</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Asset Discovery</w:t>
            </w:r>
          </w:p>
        </w:tc>
        <w:tc>
          <w:tcPr>
            <w:tcW w:type="dxa" w:w="2400"/>
            <w:tcMar>
              <w:top w:type="dxa" w:w="80"/>
              <w:left w:type="dxa" w:w="100"/>
              <w:bottom w:type="dxa" w:w="80"/>
              <w:right w:type="dxa" w:w="100"/>
            </w:tcMar>
            <w:vAlign w:val="center"/>
          </w:tcPr>
          <w:p>
            <w:r>
              <w:rPr>
                <w:b w:val="false"/>
                <w:bCs w:val="false"/>
                <w:color w:val="1A1A1A"/>
                <w:sz w:val="19"/>
                <w:szCs w:val="19"/>
              </w:rPr>
              <w:t xml:space="preserve">Low — well-established open-source techniques</w:t>
            </w:r>
          </w:p>
        </w:tc>
        <w:tc>
          <w:tcPr>
            <w:tcW w:type="dxa" w:w="2200"/>
            <w:tcMar>
              <w:top w:type="dxa" w:w="80"/>
              <w:left w:type="dxa" w:w="100"/>
              <w:bottom w:type="dxa" w:w="80"/>
              <w:right w:type="dxa" w:w="100"/>
            </w:tcMar>
            <w:vAlign w:val="center"/>
          </w:tcPr>
          <w:p>
            <w:r>
              <w:rPr>
                <w:b w:val="false"/>
                <w:bCs w:val="false"/>
                <w:color w:val="1A1A1A"/>
                <w:sz w:val="19"/>
                <w:szCs w:val="19"/>
              </w:rPr>
              <w:t xml:space="preserve">Medium</w:t>
            </w:r>
          </w:p>
        </w:tc>
        <w:tc>
          <w:tcPr>
            <w:tcW w:type="dxa" w:w="2600"/>
            <w:tcMar>
              <w:top w:type="dxa" w:w="80"/>
              <w:left w:type="dxa" w:w="100"/>
              <w:bottom w:type="dxa" w:w="80"/>
              <w:right w:type="dxa" w:w="100"/>
            </w:tcMar>
            <w:vAlign w:val="center"/>
          </w:tcPr>
          <w:p>
            <w:r>
              <w:rPr>
                <w:b w:val="false"/>
                <w:bCs w:val="false"/>
                <w:color w:val="1A1A1A"/>
                <w:sz w:val="19"/>
                <w:szCs w:val="19"/>
              </w:rPr>
              <w:t xml:space="preserve">Provider rate-limiting / reliability at scale</w:t>
            </w:r>
          </w:p>
        </w:tc>
      </w:tr>
      <w:tr>
        <w:tc>
          <w:tcPr>
            <w:tcW w:type="dxa" w:w="2600"/>
            <w:shd w:fill="F5F8FB" w:val="clear"/>
            <w:tcMar>
              <w:top w:type="dxa" w:w="80"/>
              <w:left w:type="dxa" w:w="100"/>
              <w:bottom w:type="dxa" w:w="80"/>
              <w:right w:type="dxa" w:w="100"/>
            </w:tcMar>
            <w:vAlign w:val="center"/>
          </w:tcPr>
          <w:p>
            <w:r>
              <w:rPr>
                <w:b w:val="false"/>
                <w:bCs w:val="false"/>
                <w:color w:val="1A1A1A"/>
                <w:sz w:val="19"/>
                <w:szCs w:val="19"/>
              </w:rPr>
              <w:t xml:space="preserve">Exposure Checks</w:t>
            </w:r>
          </w:p>
        </w:tc>
        <w:tc>
          <w:tcPr>
            <w:tcW w:type="dxa" w:w="2400"/>
            <w:shd w:fill="F5F8FB" w:val="clear"/>
            <w:tcMar>
              <w:top w:type="dxa" w:w="80"/>
              <w:left w:type="dxa" w:w="100"/>
              <w:bottom w:type="dxa" w:w="80"/>
              <w:right w:type="dxa" w:w="100"/>
            </w:tcMar>
            <w:vAlign w:val="center"/>
          </w:tcPr>
          <w:p>
            <w:r>
              <w:rPr>
                <w:b w:val="false"/>
                <w:bCs w:val="false"/>
                <w:color w:val="1A1A1A"/>
                <w:sz w:val="19"/>
                <w:szCs w:val="19"/>
              </w:rPr>
              <w:t xml:space="preserve">Low–Medium</w:t>
            </w:r>
          </w:p>
        </w:tc>
        <w:tc>
          <w:tcPr>
            <w:tcW w:type="dxa" w:w="2200"/>
            <w:shd w:fill="F5F8FB" w:val="clear"/>
            <w:tcMar>
              <w:top w:type="dxa" w:w="80"/>
              <w:left w:type="dxa" w:w="100"/>
              <w:bottom w:type="dxa" w:w="80"/>
              <w:right w:type="dxa" w:w="100"/>
            </w:tcMar>
            <w:vAlign w:val="center"/>
          </w:tcPr>
          <w:p>
            <w:r>
              <w:rPr>
                <w:b w:val="false"/>
                <w:bCs w:val="false"/>
                <w:color w:val="1A1A1A"/>
                <w:sz w:val="19"/>
                <w:szCs w:val="19"/>
              </w:rPr>
              <w:t xml:space="preserve">Medium</w:t>
            </w:r>
          </w:p>
        </w:tc>
        <w:tc>
          <w:tcPr>
            <w:tcW w:type="dxa" w:w="2600"/>
            <w:shd w:fill="F5F8FB" w:val="clear"/>
            <w:tcMar>
              <w:top w:type="dxa" w:w="80"/>
              <w:left w:type="dxa" w:w="100"/>
              <w:bottom w:type="dxa" w:w="80"/>
              <w:right w:type="dxa" w:w="100"/>
            </w:tcMar>
            <w:vAlign w:val="center"/>
          </w:tcPr>
          <w:p>
            <w:r>
              <w:rPr>
                <w:b w:val="false"/>
                <w:bCs w:val="false"/>
                <w:color w:val="1A1A1A"/>
                <w:sz w:val="19"/>
                <w:szCs w:val="19"/>
              </w:rPr>
              <w:t xml:space="preserve">Avoiding false confidence from version-only signals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Threat &amp; Brand Monitoring</w:t>
            </w:r>
          </w:p>
        </w:tc>
        <w:tc>
          <w:tcPr>
            <w:tcW w:type="dxa" w:w="2400"/>
            <w:tcMar>
              <w:top w:type="dxa" w:w="80"/>
              <w:left w:type="dxa" w:w="100"/>
              <w:bottom w:type="dxa" w:w="80"/>
              <w:right w:type="dxa" w:w="100"/>
            </w:tcMar>
            <w:vAlign w:val="center"/>
          </w:tcPr>
          <w:p>
            <w:r>
              <w:rPr>
                <w:b w:val="false"/>
                <w:bCs w:val="false"/>
                <w:color w:val="1A1A1A"/>
                <w:sz w:val="19"/>
                <w:szCs w:val="19"/>
              </w:rPr>
              <w:t xml:space="preserve">Medium</w:t>
            </w:r>
          </w:p>
        </w:tc>
        <w:tc>
          <w:tcPr>
            <w:tcW w:type="dxa" w:w="2200"/>
            <w:tcMar>
              <w:top w:type="dxa" w:w="80"/>
              <w:left w:type="dxa" w:w="100"/>
              <w:bottom w:type="dxa" w:w="80"/>
              <w:right w:type="dxa" w:w="100"/>
            </w:tcMar>
            <w:vAlign w:val="center"/>
          </w:tcPr>
          <w:p>
            <w:r>
              <w:rPr>
                <w:b w:val="false"/>
                <w:bCs w:val="false"/>
                <w:color w:val="1A1A1A"/>
                <w:sz w:val="19"/>
                <w:szCs w:val="19"/>
              </w:rPr>
              <w:t xml:space="preserve">Medium–High</w:t>
            </w:r>
          </w:p>
        </w:tc>
        <w:tc>
          <w:tcPr>
            <w:tcW w:type="dxa" w:w="2600"/>
            <w:tcMar>
              <w:top w:type="dxa" w:w="80"/>
              <w:left w:type="dxa" w:w="100"/>
              <w:bottom w:type="dxa" w:w="80"/>
              <w:right w:type="dxa" w:w="100"/>
            </w:tcMar>
            <w:vAlign w:val="center"/>
          </w:tcPr>
          <w:p>
            <w:r>
              <w:rPr>
                <w:b w:val="false"/>
                <w:bCs w:val="false"/>
                <w:color w:val="1A1A1A"/>
                <w:sz w:val="19"/>
                <w:szCs w:val="19"/>
              </w:rPr>
              <w:t xml:space="preserve">Tuning permutation + corroboration thresholds for low false positives</w:t>
            </w:r>
          </w:p>
        </w:tc>
      </w:tr>
      <w:tr>
        <w:tc>
          <w:tcPr>
            <w:tcW w:type="dxa" w:w="2600"/>
            <w:shd w:fill="F5F8FB" w:val="clear"/>
            <w:tcMar>
              <w:top w:type="dxa" w:w="80"/>
              <w:left w:type="dxa" w:w="100"/>
              <w:bottom w:type="dxa" w:w="80"/>
              <w:right w:type="dxa" w:w="100"/>
            </w:tcMar>
            <w:vAlign w:val="center"/>
          </w:tcPr>
          <w:p>
            <w:r>
              <w:rPr>
                <w:b w:val="false"/>
                <w:bCs w:val="false"/>
                <w:color w:val="1A1A1A"/>
                <w:sz w:val="19"/>
                <w:szCs w:val="19"/>
              </w:rPr>
              <w:t xml:space="preserve">Risk Engine</w:t>
            </w:r>
          </w:p>
        </w:tc>
        <w:tc>
          <w:tcPr>
            <w:tcW w:type="dxa" w:w="2400"/>
            <w:shd w:fill="F5F8FB" w:val="clear"/>
            <w:tcMar>
              <w:top w:type="dxa" w:w="80"/>
              <w:left w:type="dxa" w:w="100"/>
              <w:bottom w:type="dxa" w:w="80"/>
              <w:right w:type="dxa" w:w="100"/>
            </w:tcMar>
            <w:vAlign w:val="center"/>
          </w:tcPr>
          <w:p>
            <w:r>
              <w:rPr>
                <w:b w:val="false"/>
                <w:bCs w:val="false"/>
                <w:color w:val="1A1A1A"/>
                <w:sz w:val="19"/>
                <w:szCs w:val="19"/>
              </w:rPr>
              <w:t xml:space="preserve">Medium — conceptually simple, calibration is the hard part</w:t>
            </w:r>
          </w:p>
        </w:tc>
        <w:tc>
          <w:tcPr>
            <w:tcW w:type="dxa" w:w="2200"/>
            <w:shd w:fill="F5F8FB" w:val="clear"/>
            <w:tcMar>
              <w:top w:type="dxa" w:w="80"/>
              <w:left w:type="dxa" w:w="100"/>
              <w:bottom w:type="dxa" w:w="80"/>
              <w:right w:type="dxa" w:w="100"/>
            </w:tcMar>
            <w:vAlign w:val="center"/>
          </w:tcPr>
          <w:p>
            <w:r>
              <w:rPr>
                <w:b w:val="false"/>
                <w:bCs w:val="false"/>
                <w:color w:val="1A1A1A"/>
                <w:sz w:val="19"/>
                <w:szCs w:val="19"/>
              </w:rPr>
              <w:t xml:space="preserve">Low–Medium</w:t>
            </w:r>
          </w:p>
        </w:tc>
        <w:tc>
          <w:tcPr>
            <w:tcW w:type="dxa" w:w="2600"/>
            <w:shd w:fill="F5F8FB" w:val="clear"/>
            <w:tcMar>
              <w:top w:type="dxa" w:w="80"/>
              <w:left w:type="dxa" w:w="100"/>
              <w:bottom w:type="dxa" w:w="80"/>
              <w:right w:type="dxa" w:w="100"/>
            </w:tcMar>
            <w:vAlign w:val="center"/>
          </w:tcPr>
          <w:p>
            <w:r>
              <w:rPr>
                <w:b w:val="false"/>
                <w:bCs w:val="false"/>
                <w:color w:val="1A1A1A"/>
                <w:sz w:val="19"/>
                <w:szCs w:val="19"/>
              </w:rPr>
              <w:t xml:space="preserve">Lack of real calibration data until beta feedback arrives</w:t>
            </w:r>
          </w:p>
        </w:tc>
      </w:tr>
      <w:tr>
        <w:tc>
          <w:tcPr>
            <w:tcW w:type="dxa" w:w="2600"/>
            <w:tcMar>
              <w:top w:type="dxa" w:w="80"/>
              <w:left w:type="dxa" w:w="100"/>
              <w:bottom w:type="dxa" w:w="80"/>
              <w:right w:type="dxa" w:w="100"/>
            </w:tcMar>
            <w:vAlign w:val="center"/>
          </w:tcPr>
          <w:p>
            <w:r>
              <w:rPr>
                <w:b w:val="false"/>
                <w:bCs w:val="false"/>
                <w:color w:val="1A1A1A"/>
                <w:sz w:val="19"/>
                <w:szCs w:val="19"/>
              </w:rPr>
              <w:t xml:space="preserve">AI Security Analyst</w:t>
            </w:r>
          </w:p>
        </w:tc>
        <w:tc>
          <w:tcPr>
            <w:tcW w:type="dxa" w:w="2400"/>
            <w:tcMar>
              <w:top w:type="dxa" w:w="80"/>
              <w:left w:type="dxa" w:w="100"/>
              <w:bottom w:type="dxa" w:w="80"/>
              <w:right w:type="dxa" w:w="100"/>
            </w:tcMar>
            <w:vAlign w:val="center"/>
          </w:tcPr>
          <w:p>
            <w:r>
              <w:rPr>
                <w:b w:val="false"/>
                <w:bCs w:val="false"/>
                <w:color w:val="1A1A1A"/>
                <w:sz w:val="19"/>
                <w:szCs w:val="19"/>
              </w:rPr>
              <w:t xml:space="preserve">Medium–High</w:t>
            </w:r>
          </w:p>
        </w:tc>
        <w:tc>
          <w:tcPr>
            <w:tcW w:type="dxa" w:w="2200"/>
            <w:tcMar>
              <w:top w:type="dxa" w:w="80"/>
              <w:left w:type="dxa" w:w="100"/>
              <w:bottom w:type="dxa" w:w="80"/>
              <w:right w:type="dxa" w:w="100"/>
            </w:tcMar>
            <w:vAlign w:val="center"/>
          </w:tcPr>
          <w:p>
            <w:r>
              <w:rPr>
                <w:b w:val="false"/>
                <w:bCs w:val="false"/>
                <w:color w:val="1A1A1A"/>
                <w:sz w:val="19"/>
                <w:szCs w:val="19"/>
              </w:rPr>
              <w:t xml:space="preserve">Medium</w:t>
            </w:r>
          </w:p>
        </w:tc>
        <w:tc>
          <w:tcPr>
            <w:tcW w:type="dxa" w:w="2600"/>
            <w:tcMar>
              <w:top w:type="dxa" w:w="80"/>
              <w:left w:type="dxa" w:w="100"/>
              <w:bottom w:type="dxa" w:w="80"/>
              <w:right w:type="dxa" w:w="100"/>
            </w:tcMar>
            <w:vAlign w:val="center"/>
          </w:tcPr>
          <w:p>
            <w:r>
              <w:rPr>
                <w:b w:val="false"/>
                <w:bCs w:val="false"/>
                <w:color w:val="1A1A1A"/>
                <w:sz w:val="19"/>
                <w:szCs w:val="19"/>
              </w:rPr>
              <w:t xml:space="preserve">Keeping generation strictly evidence-grounded under real-world finding variety</w:t>
            </w:r>
          </w:p>
        </w:tc>
      </w:tr>
    </w:tbl>
    <w:p>
      <w:pPr>
        <w:spacing w:after="160" w:line="300"/>
      </w:pPr>
      <w:r>
        <w:rPr>
          <w:sz w:val="21"/>
          <w:szCs w:val="21"/>
        </w:rPr>
        <w:t xml:space="preserve">None of the five pillars requires inventing fundamentally new detection science; the R&amp;D risk is concentrated in tuning (thresholds, calibration, confidence weighting) rather than in basic feasibility. This supports the strategy's 8–10 week MVP timeline, provided the team resists scope creep into deeper checks (e.g., authenticated auditing, active exploitation) that the strategy already correctly excludes.</w:t>
      </w:r>
    </w:p>
    <w:p>
      <w:r>
        <w:br w:type="page"/>
      </w:r>
    </w:p>
    <w:p>
      <w:pPr>
        <w:pStyle w:val="Heading1"/>
        <w:pBdr>
          <w:bottom w:val="single" w:color="1F3A5F" w:sz="8" w:space="4"/>
        </w:pBdr>
        <w:spacing w:after="200" w:before="400"/>
      </w:pPr>
      <w:r>
        <w:rPr>
          <w:b/>
          <w:bCs/>
          <w:color w:val="1F3A5F"/>
          <w:sz w:val="30"/>
          <w:szCs w:val="30"/>
        </w:rPr>
        <w:t xml:space="preserve">11. Mapping R&amp;D Threads to the 90-Day Plan</w:t>
      </w:r>
    </w:p>
    <w:p>
      <w:pPr>
        <w:spacing w:after="160" w:line="300"/>
      </w:pPr>
      <w:r>
        <w:rPr>
          <w:sz w:val="21"/>
          <w:szCs w:val="21"/>
        </w:rPr>
        <w:t xml:space="preserve">The research threads above don't require a separate timeline — they slot directly into the existing execution plan as explicit decision 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1F3A5F" w:val="clear"/>
            <w:tcMar>
              <w:top w:type="dxa" w:w="80"/>
              <w:left w:type="dxa" w:w="100"/>
              <w:bottom w:type="dxa" w:w="80"/>
              <w:right w:type="dxa" w:w="100"/>
            </w:tcMar>
            <w:vAlign w:val="center"/>
          </w:tcPr>
          <w:p>
            <w:r>
              <w:rPr>
                <w:b/>
                <w:bCs/>
                <w:color w:val="FFFFFF"/>
                <w:sz w:val="19"/>
                <w:szCs w:val="19"/>
              </w:rPr>
              <w:t xml:space="preserve">Period (from Master Strategy)</w:t>
            </w:r>
          </w:p>
        </w:tc>
        <w:tc>
          <w:tcPr>
            <w:tcW w:type="dxa" w:w="6200"/>
            <w:shd w:fill="1F3A5F" w:val="clear"/>
            <w:tcMar>
              <w:top w:type="dxa" w:w="80"/>
              <w:left w:type="dxa" w:w="100"/>
              <w:bottom w:type="dxa" w:w="80"/>
              <w:right w:type="dxa" w:w="100"/>
            </w:tcMar>
            <w:vAlign w:val="center"/>
          </w:tcPr>
          <w:p>
            <w:r>
              <w:rPr>
                <w:b/>
                <w:bCs/>
                <w:color w:val="FFFFFF"/>
                <w:sz w:val="19"/>
                <w:szCs w:val="19"/>
              </w:rPr>
              <w:t xml:space="preserve">R&amp;D decisions to lock in during this window</w:t>
            </w:r>
          </w:p>
        </w:tc>
      </w:tr>
      <w:tr>
        <w:tc>
          <w:tcPr>
            <w:tcW w:type="dxa" w:w="3600"/>
            <w:tcMar>
              <w:top w:type="dxa" w:w="80"/>
              <w:left w:type="dxa" w:w="100"/>
              <w:bottom w:type="dxa" w:w="80"/>
              <w:right w:type="dxa" w:w="100"/>
            </w:tcMar>
            <w:vAlign w:val="center"/>
          </w:tcPr>
          <w:p>
            <w:r>
              <w:rPr>
                <w:b w:val="false"/>
                <w:bCs w:val="false"/>
                <w:color w:val="1A1A1A"/>
                <w:sz w:val="19"/>
                <w:szCs w:val="19"/>
              </w:rPr>
              <w:t xml:space="preserve">Days 1–14 — Validation &amp; architecture</w:t>
            </w:r>
          </w:p>
        </w:tc>
        <w:tc>
          <w:tcPr>
            <w:tcW w:type="dxa" w:w="6200"/>
            <w:tcMar>
              <w:top w:type="dxa" w:w="80"/>
              <w:left w:type="dxa" w:w="100"/>
              <w:bottom w:type="dxa" w:w="80"/>
              <w:right w:type="dxa" w:w="100"/>
            </w:tcMar>
            <w:vAlign w:val="center"/>
          </w:tcPr>
          <w:p>
            <w:r>
              <w:rPr>
                <w:b w:val="false"/>
                <w:bCs w:val="false"/>
                <w:color w:val="1A1A1A"/>
                <w:sz w:val="19"/>
                <w:szCs w:val="19"/>
              </w:rPr>
              <w:t xml:space="preserve">Confirm worker isolation approach (§9.1); pick initial CT-log and enumeration tooling (§3.2)</w:t>
            </w:r>
          </w:p>
        </w:tc>
      </w:tr>
      <w:tr>
        <w:tc>
          <w:tcPr>
            <w:tcW w:type="dxa" w:w="3600"/>
            <w:shd w:fill="F5F8FB" w:val="clear"/>
            <w:tcMar>
              <w:top w:type="dxa" w:w="80"/>
              <w:left w:type="dxa" w:w="100"/>
              <w:bottom w:type="dxa" w:w="80"/>
              <w:right w:type="dxa" w:w="100"/>
            </w:tcMar>
            <w:vAlign w:val="center"/>
          </w:tcPr>
          <w:p>
            <w:r>
              <w:rPr>
                <w:b w:val="false"/>
                <w:bCs w:val="false"/>
                <w:color w:val="1A1A1A"/>
                <w:sz w:val="19"/>
                <w:szCs w:val="19"/>
              </w:rPr>
              <w:t xml:space="preserve">Days 15–30 — Foundation</w:t>
            </w:r>
          </w:p>
        </w:tc>
        <w:tc>
          <w:tcPr>
            <w:tcW w:type="dxa" w:w="6200"/>
            <w:shd w:fill="F5F8FB" w:val="clear"/>
            <w:tcMar>
              <w:top w:type="dxa" w:w="80"/>
              <w:left w:type="dxa" w:w="100"/>
              <w:bottom w:type="dxa" w:w="80"/>
              <w:right w:type="dxa" w:w="100"/>
            </w:tcMar>
            <w:vAlign w:val="center"/>
          </w:tcPr>
          <w:p>
            <w:r>
              <w:rPr>
                <w:b w:val="false"/>
                <w:bCs w:val="false"/>
                <w:color w:val="1A1A1A"/>
                <w:sz w:val="19"/>
                <w:szCs w:val="19"/>
              </w:rPr>
              <w:t xml:space="preserve">Finalize Evidence and Confidence-calibration data model extensions (§9.2)</w:t>
            </w:r>
          </w:p>
        </w:tc>
      </w:tr>
      <w:tr>
        <w:tc>
          <w:tcPr>
            <w:tcW w:type="dxa" w:w="3600"/>
            <w:tcMar>
              <w:top w:type="dxa" w:w="80"/>
              <w:left w:type="dxa" w:w="100"/>
              <w:bottom w:type="dxa" w:w="80"/>
              <w:right w:type="dxa" w:w="100"/>
            </w:tcMar>
            <w:vAlign w:val="center"/>
          </w:tcPr>
          <w:p>
            <w:r>
              <w:rPr>
                <w:b w:val="false"/>
                <w:bCs w:val="false"/>
                <w:color w:val="1A1A1A"/>
                <w:sz w:val="19"/>
                <w:szCs w:val="19"/>
              </w:rPr>
              <w:t xml:space="preserve">Days 31–50 — Detection</w:t>
            </w:r>
          </w:p>
        </w:tc>
        <w:tc>
          <w:tcPr>
            <w:tcW w:type="dxa" w:w="6200"/>
            <w:tcMar>
              <w:top w:type="dxa" w:w="80"/>
              <w:left w:type="dxa" w:w="100"/>
              <w:bottom w:type="dxa" w:w="80"/>
              <w:right w:type="dxa" w:w="100"/>
            </w:tcMar>
            <w:vAlign w:val="center"/>
          </w:tcPr>
          <w:p>
            <w:r>
              <w:rPr>
                <w:b w:val="false"/>
                <w:bCs w:val="false"/>
                <w:color w:val="1A1A1A"/>
                <w:sz w:val="19"/>
                <w:szCs w:val="19"/>
              </w:rPr>
              <w:t xml:space="preserve">Calibrate exposure-check confidence tiers (§4.1); implement CVE correlation with Medium-confidence default (§4.2)</w:t>
            </w:r>
          </w:p>
        </w:tc>
      </w:tr>
      <w:tr>
        <w:tc>
          <w:tcPr>
            <w:tcW w:type="dxa" w:w="3600"/>
            <w:shd w:fill="F5F8FB" w:val="clear"/>
            <w:tcMar>
              <w:top w:type="dxa" w:w="80"/>
              <w:left w:type="dxa" w:w="100"/>
              <w:bottom w:type="dxa" w:w="80"/>
              <w:right w:type="dxa" w:w="100"/>
            </w:tcMar>
            <w:vAlign w:val="center"/>
          </w:tcPr>
          <w:p>
            <w:r>
              <w:rPr>
                <w:b w:val="false"/>
                <w:bCs w:val="false"/>
                <w:color w:val="1A1A1A"/>
                <w:sz w:val="19"/>
                <w:szCs w:val="19"/>
              </w:rPr>
              <w:t xml:space="preserve">Days 51–65 — Threat monitoring</w:t>
            </w:r>
          </w:p>
        </w:tc>
        <w:tc>
          <w:tcPr>
            <w:tcW w:type="dxa" w:w="6200"/>
            <w:shd w:fill="F5F8FB" w:val="clear"/>
            <w:tcMar>
              <w:top w:type="dxa" w:w="80"/>
              <w:left w:type="dxa" w:w="100"/>
              <w:bottom w:type="dxa" w:w="80"/>
              <w:right w:type="dxa" w:w="100"/>
            </w:tcMar>
            <w:vAlign w:val="center"/>
          </w:tcPr>
          <w:p>
            <w:r>
              <w:rPr>
                <w:b w:val="false"/>
                <w:bCs w:val="false"/>
                <w:color w:val="1A1A1A"/>
                <w:sz w:val="19"/>
                <w:szCs w:val="19"/>
              </w:rPr>
              <w:t xml:space="preserve">Tune permutation depth and corroboration thresholds (§5.3); wire CT-log brand keyword matching</w:t>
            </w:r>
          </w:p>
        </w:tc>
      </w:tr>
      <w:tr>
        <w:tc>
          <w:tcPr>
            <w:tcW w:type="dxa" w:w="3600"/>
            <w:tcMar>
              <w:top w:type="dxa" w:w="80"/>
              <w:left w:type="dxa" w:w="100"/>
              <w:bottom w:type="dxa" w:w="80"/>
              <w:right w:type="dxa" w:w="100"/>
            </w:tcMar>
            <w:vAlign w:val="center"/>
          </w:tcPr>
          <w:p>
            <w:r>
              <w:rPr>
                <w:b w:val="false"/>
                <w:bCs w:val="false"/>
                <w:color w:val="1A1A1A"/>
                <w:sz w:val="19"/>
                <w:szCs w:val="19"/>
              </w:rPr>
              <w:t xml:space="preserve">Days 66–80 — AI + reporting</w:t>
            </w:r>
          </w:p>
        </w:tc>
        <w:tc>
          <w:tcPr>
            <w:tcW w:type="dxa" w:w="6200"/>
            <w:tcMar>
              <w:top w:type="dxa" w:w="80"/>
              <w:left w:type="dxa" w:w="100"/>
              <w:bottom w:type="dxa" w:w="80"/>
              <w:right w:type="dxa" w:w="100"/>
            </w:tcMar>
            <w:vAlign w:val="center"/>
          </w:tcPr>
          <w:p>
            <w:r>
              <w:rPr>
                <w:b w:val="false"/>
                <w:bCs w:val="false"/>
                <w:color w:val="1A1A1A"/>
                <w:sz w:val="19"/>
                <w:szCs w:val="19"/>
              </w:rPr>
              <w:t xml:space="preserve">Finalize schema-constrained AI output format and remediation-library structure (§7.1)</w:t>
            </w:r>
          </w:p>
        </w:tc>
      </w:tr>
      <w:tr>
        <w:tc>
          <w:tcPr>
            <w:tcW w:type="dxa" w:w="3600"/>
            <w:shd w:fill="F5F8FB" w:val="clear"/>
            <w:tcMar>
              <w:top w:type="dxa" w:w="80"/>
              <w:left w:type="dxa" w:w="100"/>
              <w:bottom w:type="dxa" w:w="80"/>
              <w:right w:type="dxa" w:w="100"/>
            </w:tcMar>
            <w:vAlign w:val="center"/>
          </w:tcPr>
          <w:p>
            <w:r>
              <w:rPr>
                <w:b w:val="false"/>
                <w:bCs w:val="false"/>
                <w:color w:val="1A1A1A"/>
                <w:sz w:val="19"/>
                <w:szCs w:val="19"/>
              </w:rPr>
              <w:t xml:space="preserve">Days 81–90 — Beta → paid</w:t>
            </w:r>
          </w:p>
        </w:tc>
        <w:tc>
          <w:tcPr>
            <w:tcW w:type="dxa" w:w="6200"/>
            <w:shd w:fill="F5F8FB" w:val="clear"/>
            <w:tcMar>
              <w:top w:type="dxa" w:w="80"/>
              <w:left w:type="dxa" w:w="100"/>
              <w:bottom w:type="dxa" w:w="80"/>
              <w:right w:type="dxa" w:w="100"/>
            </w:tcMar>
            <w:vAlign w:val="center"/>
          </w:tcPr>
          <w:p>
            <w:r>
              <w:rPr>
                <w:b w:val="false"/>
                <w:bCs w:val="false"/>
                <w:color w:val="1A1A1A"/>
                <w:sz w:val="19"/>
                <w:szCs w:val="19"/>
              </w:rPr>
              <w:t xml:space="preserve">Stand up the “was this useful” feedback capture (§8.2) to begin real confidence calibration</w:t>
            </w:r>
          </w:p>
        </w:tc>
      </w:tr>
    </w:tbl>
    <w:p>
      <w:r>
        <w:br w:type="page"/>
      </w:r>
    </w:p>
    <w:p>
      <w:pPr>
        <w:pStyle w:val="Heading1"/>
        <w:pBdr>
          <w:bottom w:val="single" w:color="1F3A5F" w:sz="8" w:space="4"/>
        </w:pBdr>
        <w:spacing w:after="200" w:before="400"/>
      </w:pPr>
      <w:r>
        <w:rPr>
          <w:b/>
          <w:bCs/>
          <w:color w:val="1F3A5F"/>
          <w:sz w:val="30"/>
          <w:szCs w:val="30"/>
        </w:rPr>
        <w:t xml:space="preserve">12. Consolidated Open Technical Risks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700"/>
      </w:tblGrid>
      <w:tr>
        <w:trPr>
          <w:tblHeader/>
        </w:trPr>
        <w:tc>
          <w:tcPr>
            <w:tcW w:type="dxa" w:w="3200"/>
            <w:shd w:fill="1F3A5F" w:val="clear"/>
            <w:tcMar>
              <w:top w:type="dxa" w:w="80"/>
              <w:left w:type="dxa" w:w="100"/>
              <w:bottom w:type="dxa" w:w="80"/>
              <w:right w:type="dxa" w:w="100"/>
            </w:tcMar>
            <w:vAlign w:val="center"/>
          </w:tcPr>
          <w:p>
            <w:r>
              <w:rPr>
                <w:b/>
                <w:bCs/>
                <w:color w:val="FFFFFF"/>
                <w:sz w:val="19"/>
                <w:szCs w:val="19"/>
              </w:rPr>
              <w:t xml:space="preserve">Risk</w:t>
            </w:r>
          </w:p>
        </w:tc>
        <w:tc>
          <w:tcPr>
            <w:tcW w:type="dxa" w:w="2900"/>
            <w:shd w:fill="1F3A5F" w:val="clear"/>
            <w:tcMar>
              <w:top w:type="dxa" w:w="80"/>
              <w:left w:type="dxa" w:w="100"/>
              <w:bottom w:type="dxa" w:w="80"/>
              <w:right w:type="dxa" w:w="100"/>
            </w:tcMar>
            <w:vAlign w:val="center"/>
          </w:tcPr>
          <w:p>
            <w:r>
              <w:rPr>
                <w:b/>
                <w:bCs/>
                <w:color w:val="FFFFFF"/>
                <w:sz w:val="19"/>
                <w:szCs w:val="19"/>
              </w:rPr>
              <w:t xml:space="preserve">Where it surfaces</w:t>
            </w:r>
          </w:p>
        </w:tc>
        <w:tc>
          <w:tcPr>
            <w:tcW w:type="dxa" w:w="3700"/>
            <w:shd w:fill="1F3A5F" w:val="clear"/>
            <w:tcMar>
              <w:top w:type="dxa" w:w="80"/>
              <w:left w:type="dxa" w:w="100"/>
              <w:bottom w:type="dxa" w:w="80"/>
              <w:right w:type="dxa" w:w="100"/>
            </w:tcMar>
            <w:vAlign w:val="center"/>
          </w:tcPr>
          <w:p>
            <w:r>
              <w:rPr>
                <w:b/>
                <w:bCs/>
                <w:color w:val="FFFFFF"/>
                <w:sz w:val="19"/>
                <w:szCs w:val="19"/>
              </w:rPr>
              <w:t xml:space="preserve">Recommended mitigation owner</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Upstream provider rate-limiting / blocking on discovery or DNS lookups</w:t>
            </w:r>
          </w:p>
        </w:tc>
        <w:tc>
          <w:tcPr>
            <w:tcW w:type="dxa" w:w="2900"/>
            <w:tcMar>
              <w:top w:type="dxa" w:w="80"/>
              <w:left w:type="dxa" w:w="100"/>
              <w:bottom w:type="dxa" w:w="80"/>
              <w:right w:type="dxa" w:w="100"/>
            </w:tcMar>
            <w:vAlign w:val="center"/>
          </w:tcPr>
          <w:p>
            <w:r>
              <w:rPr>
                <w:b w:val="false"/>
                <w:bCs w:val="false"/>
                <w:color w:val="1A1A1A"/>
                <w:sz w:val="19"/>
                <w:szCs w:val="19"/>
              </w:rPr>
              <w:t xml:space="preserve">§3</w:t>
            </w:r>
          </w:p>
        </w:tc>
        <w:tc>
          <w:tcPr>
            <w:tcW w:type="dxa" w:w="3700"/>
            <w:tcMar>
              <w:top w:type="dxa" w:w="80"/>
              <w:left w:type="dxa" w:w="100"/>
              <w:bottom w:type="dxa" w:w="80"/>
              <w:right w:type="dxa" w:w="100"/>
            </w:tcMar>
            <w:vAlign w:val="center"/>
          </w:tcPr>
          <w:p>
            <w:r>
              <w:rPr>
                <w:b w:val="false"/>
                <w:bCs w:val="false"/>
                <w:color w:val="1A1A1A"/>
                <w:sz w:val="19"/>
                <w:szCs w:val="19"/>
              </w:rPr>
              <w:t xml:space="preserve">Technical Lead — resolver diversity + backoff strategy before scaling beta</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Version-fingerprint findings mistaken for confirmed vulnerabilities by customers</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§4</w:t>
            </w:r>
          </w:p>
        </w:tc>
        <w:tc>
          <w:tcPr>
            <w:tcW w:type="dxa" w:w="3700"/>
            <w:shd w:fill="F5F8FB" w:val="clear"/>
            <w:tcMar>
              <w:top w:type="dxa" w:w="80"/>
              <w:left w:type="dxa" w:w="100"/>
              <w:bottom w:type="dxa" w:w="80"/>
              <w:right w:type="dxa" w:w="100"/>
            </w:tcMar>
            <w:vAlign w:val="center"/>
          </w:tcPr>
          <w:p>
            <w:r>
              <w:rPr>
                <w:b w:val="false"/>
                <w:bCs w:val="false"/>
                <w:color w:val="1A1A1A"/>
                <w:sz w:val="19"/>
                <w:szCs w:val="19"/>
              </w:rPr>
              <w:t xml:space="preserve">Security Research — UI/label wording review, not just backend confidence tagging</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Brand-monitoring false positives eroding trust in alerts specifically (vs. dashboard findings generally)</w:t>
            </w:r>
          </w:p>
        </w:tc>
        <w:tc>
          <w:tcPr>
            <w:tcW w:type="dxa" w:w="2900"/>
            <w:tcMar>
              <w:top w:type="dxa" w:w="80"/>
              <w:left w:type="dxa" w:w="100"/>
              <w:bottom w:type="dxa" w:w="80"/>
              <w:right w:type="dxa" w:w="100"/>
            </w:tcMar>
            <w:vAlign w:val="center"/>
          </w:tcPr>
          <w:p>
            <w:r>
              <w:rPr>
                <w:b w:val="false"/>
                <w:bCs w:val="false"/>
                <w:color w:val="1A1A1A"/>
                <w:sz w:val="19"/>
                <w:szCs w:val="19"/>
              </w:rPr>
              <w:t xml:space="preserve">§5</w:t>
            </w:r>
          </w:p>
        </w:tc>
        <w:tc>
          <w:tcPr>
            <w:tcW w:type="dxa" w:w="3700"/>
            <w:tcMar>
              <w:top w:type="dxa" w:w="80"/>
              <w:left w:type="dxa" w:w="100"/>
              <w:bottom w:type="dxa" w:w="80"/>
              <w:right w:type="dxa" w:w="100"/>
            </w:tcMar>
            <w:vAlign w:val="center"/>
          </w:tcPr>
          <w:p>
            <w:r>
              <w:rPr>
                <w:b w:val="false"/>
                <w:bCs w:val="false"/>
                <w:color w:val="1A1A1A"/>
                <w:sz w:val="19"/>
                <w:szCs w:val="19"/>
              </w:rPr>
              <w:t xml:space="preserve">Security Research — keep alert threshold higher than dashboard-visibility threshold</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Risk score lacking real calibration data at launch</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§6, §8.2</w:t>
            </w:r>
          </w:p>
        </w:tc>
        <w:tc>
          <w:tcPr>
            <w:tcW w:type="dxa" w:w="3700"/>
            <w:shd w:fill="F5F8FB" w:val="clear"/>
            <w:tcMar>
              <w:top w:type="dxa" w:w="80"/>
              <w:left w:type="dxa" w:w="100"/>
              <w:bottom w:type="dxa" w:w="80"/>
              <w:right w:type="dxa" w:w="100"/>
            </w:tcMar>
            <w:vAlign w:val="center"/>
          </w:tcPr>
          <w:p>
            <w:r>
              <w:rPr>
                <w:b w:val="false"/>
                <w:bCs w:val="false"/>
                <w:color w:val="1A1A1A"/>
                <w:sz w:val="19"/>
                <w:szCs w:val="19"/>
              </w:rPr>
              <w:t xml:space="preserve">Product — ship feedback capture in the very first beta cohort, not as a later iteration</w:t>
            </w:r>
          </w:p>
        </w:tc>
      </w:tr>
      <w:tr>
        <w:tc>
          <w:tcPr>
            <w:tcW w:type="dxa" w:w="3200"/>
            <w:tcMar>
              <w:top w:type="dxa" w:w="80"/>
              <w:left w:type="dxa" w:w="100"/>
              <w:bottom w:type="dxa" w:w="80"/>
              <w:right w:type="dxa" w:w="100"/>
            </w:tcMar>
            <w:vAlign w:val="center"/>
          </w:tcPr>
          <w:p>
            <w:r>
              <w:rPr>
                <w:b w:val="false"/>
                <w:bCs w:val="false"/>
                <w:color w:val="1A1A1A"/>
                <w:sz w:val="19"/>
                <w:szCs w:val="19"/>
              </w:rPr>
              <w:t xml:space="preserve">AI layer drifting from evidence-grounded output as finding variety grows</w:t>
            </w:r>
          </w:p>
        </w:tc>
        <w:tc>
          <w:tcPr>
            <w:tcW w:type="dxa" w:w="2900"/>
            <w:tcMar>
              <w:top w:type="dxa" w:w="80"/>
              <w:left w:type="dxa" w:w="100"/>
              <w:bottom w:type="dxa" w:w="80"/>
              <w:right w:type="dxa" w:w="100"/>
            </w:tcMar>
            <w:vAlign w:val="center"/>
          </w:tcPr>
          <w:p>
            <w:r>
              <w:rPr>
                <w:b w:val="false"/>
                <w:bCs w:val="false"/>
                <w:color w:val="1A1A1A"/>
                <w:sz w:val="19"/>
                <w:szCs w:val="19"/>
              </w:rPr>
              <w:t xml:space="preserve">§7</w:t>
            </w:r>
          </w:p>
        </w:tc>
        <w:tc>
          <w:tcPr>
            <w:tcW w:type="dxa" w:w="3700"/>
            <w:tcMar>
              <w:top w:type="dxa" w:w="80"/>
              <w:left w:type="dxa" w:w="100"/>
              <w:bottom w:type="dxa" w:w="80"/>
              <w:right w:type="dxa" w:w="100"/>
            </w:tcMar>
            <w:vAlign w:val="center"/>
          </w:tcPr>
          <w:p>
            <w:r>
              <w:rPr>
                <w:b w:val="false"/>
                <w:bCs w:val="false"/>
                <w:color w:val="1A1A1A"/>
                <w:sz w:val="19"/>
                <w:szCs w:val="19"/>
              </w:rPr>
              <w:t xml:space="preserve">Technical Lead — automated evidence-consistency checks on AI output, sampled human review during beta</w:t>
            </w:r>
          </w:p>
        </w:tc>
      </w:tr>
      <w:tr>
        <w:tc>
          <w:tcPr>
            <w:tcW w:type="dxa" w:w="3200"/>
            <w:shd w:fill="F5F8FB" w:val="clear"/>
            <w:tcMar>
              <w:top w:type="dxa" w:w="80"/>
              <w:left w:type="dxa" w:w="100"/>
              <w:bottom w:type="dxa" w:w="80"/>
              <w:right w:type="dxa" w:w="100"/>
            </w:tcMar>
            <w:vAlign w:val="center"/>
          </w:tcPr>
          <w:p>
            <w:r>
              <w:rPr>
                <w:b w:val="false"/>
                <w:bCs w:val="false"/>
                <w:color w:val="1A1A1A"/>
                <w:sz w:val="19"/>
                <w:szCs w:val="19"/>
              </w:rPr>
              <w:t xml:space="preserve">Worker network access becoming an SSRF or lateral-movement vector</w:t>
            </w:r>
          </w:p>
        </w:tc>
        <w:tc>
          <w:tcPr>
            <w:tcW w:type="dxa" w:w="2900"/>
            <w:shd w:fill="F5F8FB" w:val="clear"/>
            <w:tcMar>
              <w:top w:type="dxa" w:w="80"/>
              <w:left w:type="dxa" w:w="100"/>
              <w:bottom w:type="dxa" w:w="80"/>
              <w:right w:type="dxa" w:w="100"/>
            </w:tcMar>
            <w:vAlign w:val="center"/>
          </w:tcPr>
          <w:p>
            <w:r>
              <w:rPr>
                <w:b w:val="false"/>
                <w:bCs w:val="false"/>
                <w:color w:val="1A1A1A"/>
                <w:sz w:val="19"/>
                <w:szCs w:val="19"/>
              </w:rPr>
              <w:t xml:space="preserve">§9.1</w:t>
            </w:r>
          </w:p>
        </w:tc>
        <w:tc>
          <w:tcPr>
            <w:tcW w:type="dxa" w:w="3700"/>
            <w:shd w:fill="F5F8FB" w:val="clear"/>
            <w:tcMar>
              <w:top w:type="dxa" w:w="80"/>
              <w:left w:type="dxa" w:w="100"/>
              <w:bottom w:type="dxa" w:w="80"/>
              <w:right w:type="dxa" w:w="100"/>
            </w:tcMar>
            <w:vAlign w:val="center"/>
          </w:tcPr>
          <w:p>
            <w:r>
              <w:rPr>
                <w:b w:val="false"/>
                <w:bCs w:val="false"/>
                <w:color w:val="1A1A1A"/>
                <w:sz w:val="19"/>
                <w:szCs w:val="19"/>
              </w:rPr>
              <w:t xml:space="preserve">Technical Lead — isolation boundary decided before first discovery job, not retrofitted</w:t>
            </w:r>
          </w:p>
        </w:tc>
      </w:tr>
    </w:tbl>
    <w:p>
      <w:r>
        <w:br w:type="page"/>
      </w:r>
    </w:p>
    <w:p>
      <w:pPr>
        <w:pStyle w:val="Heading1"/>
        <w:pBdr>
          <w:bottom w:val="single" w:color="1F3A5F" w:sz="8" w:space="4"/>
        </w:pBdr>
        <w:spacing w:after="200" w:before="400"/>
      </w:pPr>
      <w:r>
        <w:rPr>
          <w:b/>
          <w:bCs/>
          <w:color w:val="1F3A5F"/>
          <w:sz w:val="30"/>
          <w:szCs w:val="30"/>
        </w:rPr>
        <w:t xml:space="preserve">13. Recommendations &amp; Immediate Next Steps</w:t>
      </w:r>
    </w:p>
    <w:p>
      <w:pPr>
        <w:pStyle w:val="ListParagraph"/>
        <w:numPr>
          <w:ilvl w:val="0"/>
          <w:numId w:val="2"/>
        </w:numPr>
        <w:spacing w:after="80" w:line="280"/>
      </w:pPr>
      <w:r>
        <w:rPr>
          <w:sz w:val="21"/>
          <w:szCs w:val="21"/>
        </w:rPr>
        <w:t xml:space="preserve">Lock the worker-isolation and scan-budget approach in Week 1 — it's the one architectural decision that is expensive to retrofit later.</w:t>
      </w:r>
    </w:p>
    <w:p>
      <w:pPr>
        <w:pStyle w:val="ListParagraph"/>
        <w:numPr>
          <w:ilvl w:val="0"/>
          <w:numId w:val="2"/>
        </w:numPr>
        <w:spacing w:after="80" w:line="280"/>
      </w:pPr>
      <w:r>
        <w:rPr>
          <w:sz w:val="21"/>
          <w:szCs w:val="21"/>
        </w:rPr>
        <w:t xml:space="preserve">Start CT-log tailing on day one of the Foundation phase; it is the single highest-leverage, lowest-cost data source and feeds both asset discovery and brand monitoring.</w:t>
      </w:r>
    </w:p>
    <w:p>
      <w:pPr>
        <w:pStyle w:val="ListParagraph"/>
        <w:numPr>
          <w:ilvl w:val="0"/>
          <w:numId w:val="2"/>
        </w:numPr>
        <w:spacing w:after="80" w:line="280"/>
      </w:pPr>
      <w:r>
        <w:rPr>
          <w:sz w:val="21"/>
          <w:szCs w:val="21"/>
        </w:rPr>
        <w:t xml:space="preserve">Treat the Evidence record and the customer feedback (“accepted risk” / “false positive”) capture as MVP-critical data-model work, not post-launch polish — both are prerequisites for the confidence-calibration research described in §6 and §8.</w:t>
      </w:r>
    </w:p>
    <w:p>
      <w:pPr>
        <w:pStyle w:val="ListParagraph"/>
        <w:numPr>
          <w:ilvl w:val="0"/>
          <w:numId w:val="2"/>
        </w:numPr>
        <w:spacing w:after="80" w:line="280"/>
      </w:pPr>
      <w:r>
        <w:rPr>
          <w:sz w:val="21"/>
          <w:szCs w:val="21"/>
        </w:rPr>
        <w:t xml:space="preserve">Write the AI layer's output schema and approved remediation-guidance library before connecting it to real findings, so grounding is structural rather than prompt-only.</w:t>
      </w:r>
    </w:p>
    <w:p>
      <w:pPr>
        <w:pStyle w:val="ListParagraph"/>
        <w:numPr>
          <w:ilvl w:val="0"/>
          <w:numId w:val="2"/>
        </w:numPr>
        <w:spacing w:after="80" w:line="280"/>
      </w:pPr>
      <w:r>
        <w:rPr>
          <w:sz w:val="21"/>
          <w:szCs w:val="21"/>
        </w:rPr>
        <w:t xml:space="preserve">Assign explicit ownership (per §12) for each open technical risk before the Detection phase begins, so tuning decisions aren't made ad hoc under launch pressure.</w:t>
      </w:r>
    </w:p>
    <w:p>
      <w:pPr>
        <w:spacing w:after="160" w:line="300"/>
      </w:pPr>
      <w:r>
        <w:rPr>
          <w:sz w:val="21"/>
          <w:szCs w:val="21"/>
        </w:rPr>
        <w:t xml:space="preserve">Taken together, this report's central finding is reassuring: the MVP's technical risk is concentrated in calibration and tuning, not in unsolved detection science. That supports the strategy's aggressive 90-day timeline, provided the team treats false-positive control and evidence-grounding as first-class engineering work from week one rather than a beta-phase cleanup task.</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Digital Threat Monitoring Platform — R&amp;D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2026-09-04T07:31:30.378Z</dcterms:created>
  <dcterms:modified xsi:type="dcterms:W3CDTF">2026-09-04T07:31:30.379Z</dcterms:modified>
</cp:coreProperties>
</file>

<file path=docProps/custom.xml><?xml version="1.0" encoding="utf-8"?>
<Properties xmlns="http://schemas.openxmlformats.org/officeDocument/2006/custom-properties" xmlns:vt="http://schemas.openxmlformats.org/officeDocument/2006/docPropsVTypes"/>
</file>