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color="000000"/>
          <w:left w:val="none" w:sz="0" w:color="000000"/>
          <w:bottom w:val="none" w:sz="0" w:color="000000"/>
          <w:right w:val="none" w:sz="0" w:color="000000"/>
          <w:insideH w:val="none" w:sz="0" w:color="000000"/>
          <w:insideV w:val="none" w:sz="0" w:color="000000"/>
        </w:tblBorders>
        <w:tblLayout w:type="fixed"/>
        <w:tblCellMar>
          <w:top w:w="0" w:type="dxa"/>
          <w:bottom w:w="0" w:type="dxa"/>
          <w:left w:w="0" w:type="dxa"/>
          <w:right w:w="0" w:type="dxa"/>
        </w:tblCellMar>
        <w:tblLayout w:type="fixed"/>
      </w:tblPr>
      <w:tblGrid>
        <w:gridCol w:w="5896"/>
        <w:gridCol w:w="3175"/>
      </w:tblGrid>
      <w:tr>
        <w:tc>
          <w:tcPr>
            <w:tcW w:type="dxa" w:w="5896"/>
          </w:tcPr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UNIVERSITY OF INFORMATION TECHNOLOGY</w:t>
            </w:r>
          </w:p>
          <w:p>
            <w:pPr>
              <w:spacing w:after="40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ADVANCED PROGRAM</w:t>
            </w:r>
          </w:p>
          <w:p>
            <w:pPr>
              <w:spacing w:after="40"/>
              <w:jc w:val="center"/>
              <w:pBdr>
                <w:bottom w:val="single" w:sz="8" w:space="2" w:color="000000"/>
              </w:pBdr>
            </w:pPr>
            <w:r>
              <w:rPr>
                <w:rFonts w:ascii="Times New Roman" w:hAnsi="Times New Roman"/>
                <w:b/>
                <w:sz w:val="22"/>
              </w:rPr>
              <w:t>IN INFORMATION SYSTEMS</w:t>
            </w:r>
          </w:p>
        </w:tc>
        <w:tc>
          <w:tcPr>
            <w:tcW w:type="dxa" w:w="3175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655999" cy="57828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p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578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/>
      </w:pPr>
    </w:p>
    <w:p>
      <w:pPr>
        <w:spacing w:after="240"/>
        <w:jc w:val="center"/>
      </w:pPr>
      <w:r>
        <w:rPr>
          <w:rFonts w:ascii="Times New Roman" w:hAnsi="Times New Roman"/>
          <w:b/>
          <w:sz w:val="38"/>
        </w:rPr>
        <w:t>THESIS PROPOSAL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single" w:sz="8" w:color="000000"/>
          <w:insideV w:val="none" w:sz="0" w:color="000000"/>
        </w:tblBorders>
        <w:tblCellMar>
          <w:top w:w="80" w:type="dxa"/>
          <w:bottom w:w="80" w:type="dxa"/>
          <w:left w:w="110" w:type="dxa"/>
          <w:right w:w="110" w:type="dxa"/>
        </w:tblCellMar>
      </w:tblPr>
      <w:tblGrid>
        <w:gridCol w:w="9973"/>
      </w:tblGrid>
      <w:tr>
        <w:tc>
          <w:tcPr>
            <w:tcW w:type="dxa" w:w="9973"/>
          </w:tcPr>
          <w:p>
            <w:pPr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THESIS TITLE: BUILDING A STATISTICALLY VALIDATED DECISION SUPPORT SYSTEM FOR FOREIGN EXCHANGE TRADING WITH CALIBRATED UNCERTAINTY AND RISK CONTROL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 xml:space="preserve">Advisor: </w:t>
            </w:r>
            <w:r>
              <w:rPr>
                <w:rFonts w:ascii="Times New Roman" w:hAnsi="Times New Roman"/>
                <w:sz w:val="24"/>
              </w:rPr>
              <w:t>ASSOCIATE PROFESSOR NGUYEN DINH THUAN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 xml:space="preserve">Implementation period: </w:t>
            </w:r>
            <w:r>
              <w:rPr>
                <w:rFonts w:ascii="Times New Roman" w:hAnsi="Times New Roman"/>
                <w:sz w:val="24"/>
              </w:rPr>
              <w:t>09/2026 to 12/2026 (16 weeks)</w:t>
            </w:r>
          </w:p>
        </w:tc>
      </w:tr>
      <w:tr>
        <w:tc>
          <w:tcPr>
            <w:tcW w:type="dxa" w:w="9973"/>
          </w:tcPr>
          <w:p>
            <w:r>
              <w:rPr>
                <w:rFonts w:ascii="Times New Roman" w:hAnsi="Times New Roman"/>
                <w:b/>
                <w:sz w:val="24"/>
              </w:rPr>
              <w:t>Students:</w:t>
            </w:r>
          </w:p>
          <w:p>
            <w:pPr>
              <w:spacing w:after="40"/>
              <w:ind w:left="680"/>
            </w:pPr>
            <w:r>
              <w:rPr>
                <w:rFonts w:ascii="Times New Roman" w:hAnsi="Times New Roman"/>
                <w:sz w:val="24"/>
              </w:rPr>
              <w:t>NGUYEN QUOC HUY – 22520566</w:t>
            </w:r>
          </w:p>
          <w:p>
            <w:pPr>
              <w:spacing w:after="40"/>
              <w:ind w:left="680"/>
            </w:pPr>
            <w:r>
              <w:rPr>
                <w:rFonts w:ascii="Times New Roman" w:hAnsi="Times New Roman"/>
                <w:sz w:val="24"/>
              </w:rPr>
              <w:t>HUYNH TRAN QUOC HUY – 22520544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Introduction: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Retail FX decision-support tools typically display a directional forecast and a confidence label whose empirical foundation is weaker than their presentation suggests: daily returns have resisted prediction since Meese and Rogoff [1], and technical-rule replications show in-sample profitability largely disappearing out of sample, absorbed by a momentum factor [2], [3]. The core difficulty is inference under a low signal-to-noise ratio with a large hypothesis space — evaluating thousands of candidate rules finds spurious relationships unless the hypothesis space is enumerated in advance and the family-wise error rate is controlled [4]–[6] — compounded by the fact that a negative finding is uninformative without its minimum detectable effect size (MDES). Predictability also differs by axis: the HAR model of realized volatility [7]–[9] gives well-established </w:t>
            </w:r>
            <w:r>
              <w:rPr>
                <w:rFonts w:ascii="Times New Roman" w:hAnsi="Times New Roman"/>
                <w:i/>
                <w:sz w:val="24"/>
              </w:rPr>
              <w:t>magnitude</w:t>
            </w:r>
            <w:r>
              <w:rPr>
                <w:rFonts w:ascii="Times New Roman" w:hAnsi="Times New Roman"/>
                <w:sz w:val="24"/>
              </w:rPr>
              <w:t xml:space="preserve"> forecasts while </w:t>
            </w:r>
            <w:r>
              <w:rPr>
                <w:rFonts w:ascii="Times New Roman" w:hAnsi="Times New Roman"/>
                <w:i/>
                <w:sz w:val="24"/>
              </w:rPr>
              <w:t>direction</w:t>
            </w:r>
            <w:r>
              <w:rPr>
                <w:rFonts w:ascii="Times New Roman" w:hAnsi="Times New Roman"/>
                <w:sz w:val="24"/>
              </w:rPr>
              <w:t xml:space="preserve"> remains contested [10], [11], so a system should state explicitly which axis it claims skill on.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Preliminary work has established feasibility through three pre-registered phases, each closed with a written decision record. A complete pipeline covers six pairs (EUR/USD, GBP/USD, USD/JPY, AUD/USD, USD/CAD, USD/CHF) over 2010–2025 (≈34.9M one-minute bars); a production volatility layer, a three-class probability layer, and a risk layer run end to end through a web application updated daily. The extended HAR model attains test-set QLIKE 0.1585 vs. 0.2172 for the prior baseline, and 14 ML/DL alternatives plus 509 combinations fail to displace it from the Model Confidence Set [12]. On direction, 8,652 rule hypotheses across twelve discovery branches yield zero survivors after family-wise error control. A pre-registered causal-vs-validation feature-selection ablation is completed and frozen; its sealed-set evaluation was withheld because the pre-specified opening rule was not met.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This thesis is therefore as much an </w:t>
            </w:r>
            <w:r>
              <w:rPr>
                <w:rFonts w:ascii="Times New Roman" w:hAnsi="Times New Roman"/>
                <w:b/>
                <w:sz w:val="24"/>
              </w:rPr>
              <w:t>engineering</w:t>
            </w:r>
            <w:r>
              <w:rPr>
                <w:rFonts w:ascii="Times New Roman" w:hAnsi="Times New Roman"/>
                <w:sz w:val="24"/>
              </w:rPr>
              <w:t xml:space="preserve"> problem as a statistical one: a decision support system whose every number is traceable to a pre-registered measurement, delivered as software that runs continuously rather than a script for a report. The data pipeline, computation layer, API, and web application (see </w:t>
            </w:r>
            <w:r>
              <w:rPr>
                <w:rFonts w:ascii="Times New Roman" w:hAnsi="Times New Roman"/>
                <w:i/>
                <w:sz w:val="24"/>
              </w:rPr>
              <w:t>Proposed Method and System Architecture</w:t>
            </w:r>
            <w:r>
              <w:rPr>
                <w:rFonts w:ascii="Times New Roman" w:hAnsi="Times New Roman"/>
                <w:sz w:val="24"/>
              </w:rPr>
              <w:t>) are a primary deliverable, developed across all sixteen weeks rather than assembled at the end.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Market Survey: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Existing retail tools were surveyed to state the contribution relative to what exists. </w:t>
            </w:r>
            <w:r>
              <w:rPr>
                <w:rFonts w:ascii="Times New Roman" w:hAnsi="Times New Roman"/>
                <w:b/>
                <w:sz w:val="24"/>
              </w:rPr>
              <w:t>Signal marketplaces</w:t>
            </w:r>
            <w:r>
              <w:rPr>
                <w:rFonts w:ascii="Times New Roman" w:hAnsi="Times New Roman"/>
                <w:sz w:val="24"/>
              </w:rPr>
              <w:t xml:space="preserve"> (MQL5/MetaTrader, TradingView) publish track records from the vendor's own in-sample selection, with no multiple-testing correction. </w:t>
            </w:r>
            <w:r>
              <w:rPr>
                <w:rFonts w:ascii="Times New Roman" w:hAnsi="Times New Roman"/>
                <w:b/>
                <w:sz w:val="24"/>
              </w:rPr>
              <w:t>Portfolio-analytics services</w:t>
            </w:r>
            <w:r>
              <w:rPr>
                <w:rFonts w:ascii="Times New Roman" w:hAnsi="Times New Roman"/>
                <w:sz w:val="24"/>
              </w:rPr>
              <w:t xml:space="preserve"> (Myfxbook, FX Blue) report realized statistics but no calibrated forward-looking probabilities. </w:t>
            </w:r>
            <w:r>
              <w:rPr>
                <w:rFonts w:ascii="Times New Roman" w:hAnsi="Times New Roman"/>
                <w:b/>
                <w:sz w:val="24"/>
              </w:rPr>
              <w:t>Broker "confidence" widgets</w:t>
            </w:r>
            <w:r>
              <w:rPr>
                <w:rFonts w:ascii="Times New Roman" w:hAnsi="Times New Roman"/>
                <w:sz w:val="24"/>
              </w:rPr>
              <w:t xml:space="preserve"> attach a qualitative label with no scoring rule. None discloses the hypothesis space searched, the multiple-testing correction, a calibration guarantee, or a quantified probability of ruin — gaps identified in decision support systems generally [27] and specifically targeted here.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Objectives: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Design, implement, and validate a decision support system in which forecast skill is established per target axis under multiple-testing control, uncertainty is communicated via calibrated conformal prediction, and position sizing is constrained by an estimated probability of ruin. Three quantity groups are kept distinct: </w:t>
            </w:r>
            <w:r>
              <w:rPr>
                <w:rFonts w:ascii="Times New Roman" w:hAnsi="Times New Roman"/>
                <w:b/>
                <w:sz w:val="24"/>
              </w:rPr>
              <w:t>predictive axes</w:t>
            </w:r>
            <w:r>
              <w:rPr>
                <w:rFonts w:ascii="Times New Roman" w:hAnsi="Times New Roman"/>
                <w:sz w:val="24"/>
              </w:rPr>
              <w:t xml:space="preserve"> (direction, magnitude, tail probability), </w:t>
            </w:r>
            <w:r>
              <w:rPr>
                <w:rFonts w:ascii="Times New Roman" w:hAnsi="Times New Roman"/>
                <w:b/>
                <w:sz w:val="24"/>
              </w:rPr>
              <w:t>calibration diagnostics</w:t>
            </w:r>
            <w:r>
              <w:rPr>
                <w:rFonts w:ascii="Times New Roman" w:hAnsi="Times New Roman"/>
                <w:sz w:val="24"/>
              </w:rPr>
              <w:t xml:space="preserve"> (coverage, reliability), and the </w:t>
            </w:r>
            <w:r>
              <w:rPr>
                <w:rFonts w:ascii="Times New Roman" w:hAnsi="Times New Roman"/>
                <w:b/>
                <w:sz w:val="24"/>
              </w:rPr>
              <w:t>decision layer</w:t>
            </w:r>
            <w:r>
              <w:rPr>
                <w:rFonts w:ascii="Times New Roman" w:hAnsi="Times New Roman"/>
                <w:sz w:val="24"/>
              </w:rPr>
              <w:t xml:space="preserve"> (VaR, ES, stop-out probability, sizing).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Axis-specific predictability.</w:t>
            </w:r>
            <w:r>
              <w:rPr>
                <w:rFonts w:ascii="Times New Roman" w:hAnsi="Times New Roman"/>
                <w:sz w:val="24"/>
              </w:rPr>
              <w:t xml:space="preserve"> Under one fixed protocol, determine on which axis out-of-sample skill exists, reported separately.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Model-complexity benchmarking.</w:t>
            </w:r>
            <w:r>
              <w:rPr>
                <w:rFonts w:ascii="Times New Roman" w:hAnsi="Times New Roman"/>
                <w:sz w:val="24"/>
              </w:rPr>
              <w:t xml:space="preserve"> Compare HAR-type, tree-based, recurrent, attention-based, and foundation-model alternatives under proper scoring rules and formal tests.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Incremental information value.</w:t>
            </w:r>
            <w:r>
              <w:rPr>
                <w:rFonts w:ascii="Times New Roman" w:hAnsi="Times New Roman"/>
                <w:sz w:val="24"/>
              </w:rPr>
              <w:t xml:space="preserve"> Test whether central-bank text, exogenous/cross-asset variables, and candlestick geometry [26] add value, and whether causal filtering beats ordinary selection.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Calibrated uncertainty.</w:t>
            </w:r>
            <w:r>
              <w:rPr>
                <w:rFonts w:ascii="Times New Roman" w:hAnsi="Times New Roman"/>
                <w:sz w:val="24"/>
              </w:rPr>
              <w:t xml:space="preserve"> Validate adaptive conformal prediction for target coverage under distribution shift.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Risk-controlled decisions.</w:t>
            </w:r>
            <w:r>
              <w:rPr>
                <w:rFonts w:ascii="Times New Roman" w:hAnsi="Times New Roman"/>
                <w:sz w:val="24"/>
              </w:rPr>
              <w:t xml:space="preserve"> Produce a per-session record: volatility, stop distance, stop-out probability, VaR/ES with backtests, ruin-constrained sizing.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Power-bounded negative findings.</w:t>
            </w:r>
            <w:r>
              <w:rPr>
                <w:rFonts w:ascii="Times New Roman" w:hAnsi="Times New Roman"/>
                <w:sz w:val="24"/>
              </w:rPr>
              <w:t xml:space="preserve"> Report the MDES for every negative result.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Engineering a production architecture.</w:t>
            </w:r>
            <w:r>
              <w:rPr>
                <w:rFonts w:ascii="Times New Roman" w:hAnsi="Times New Roman"/>
                <w:sz w:val="24"/>
              </w:rPr>
              <w:t xml:space="preserve"> Design and extend, across all sixteen weeks, a five-layer software architecture (pipeline, computation layer, versioned artefacts, API, web application) so every number stays traceable.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Scope: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Daily-horizon decision support for six major USD pairs. The 2010–2025 sample splits into training, validation (selection only), and a held-out development-test segment scored once. A </w:t>
            </w:r>
            <w:r>
              <w:rPr>
                <w:rFonts w:ascii="Times New Roman" w:hAnsi="Times New Roman"/>
                <w:b/>
                <w:sz w:val="24"/>
              </w:rPr>
              <w:t>sealed evaluation set</w:t>
            </w:r>
            <w:r>
              <w:rPr>
                <w:rFonts w:ascii="Times New Roman" w:hAnsi="Times New Roman"/>
                <w:sz w:val="24"/>
              </w:rPr>
              <w:t xml:space="preserve"> — six cross pairs never used in development (EUR/GBP, EUR/JPY, GBP/JPY, AUD/JPY, EUR/CHF, NZD/USD) plus 2026 data for all twelve pairs — opens exactly once after the configuration is frozen, with no retuning after.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The primary source is one-minute bar data, from which daily bars and five-minute realized measures are computed; supplementary sources include the central-bank/macro calendar, exogenous daily series, and tick-derived transaction costs. Horizons are one, five, and twenty sessions (one-session default). The study explicitly does </w:t>
            </w:r>
            <w:r>
              <w:rPr>
                <w:rFonts w:ascii="Times New Roman" w:hAnsi="Times New Roman"/>
                <w:b/>
                <w:sz w:val="24"/>
              </w:rPr>
              <w:t>not</w:t>
            </w:r>
            <w:r>
              <w:rPr>
                <w:rFonts w:ascii="Times New Roman" w:hAnsi="Times New Roman"/>
                <w:sz w:val="24"/>
              </w:rPr>
              <w:t xml:space="preserve"> target a profitable trading strategy — execution, microstructure, and sub-daily timing are out of scope; causality claims are limited to Granger-sense temporal precedence.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Subjects: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 statistical validation of decision support outputs for FX under a low signal-to-noise ratio</w:t>
            </w:r>
            <w:r>
              <w:rPr>
                <w:rFonts w:ascii="Times New Roman" w:hAnsi="Times New Roman"/>
                <w:sz w:val="24"/>
              </w:rPr>
              <w:t>: how skill is attributed to an axis and an information layer; how multiple-testing control, power analysis, and sealed-set validation combine to produce replicable claims; how calibrated forecasts convert into risk limits with a measured ruin probability; and how this evidence should be presented so a user can separate what is measured from what is assumed.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Proposed Method and System Architecture: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Each item below is labelled </w:t>
            </w:r>
            <w:r>
              <w:rPr>
                <w:rFonts w:ascii="Times New Roman" w:hAnsi="Times New Roman"/>
                <w:b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or </w:t>
            </w:r>
            <w:r>
              <w:rPr>
                <w:rFonts w:ascii="Times New Roman" w:hAnsi="Times New Roman"/>
                <w:b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>; nothing is a finished result until it appears with measured numbers in Expected Results.</w:t>
            </w:r>
          </w:p>
          <w:p>
            <w:pPr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Proposed Predictive and Risk Layers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Magnitude — extended HAR.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Heterogeneous-autoregressive on realized variance [7], extended with measurement-error correction [8] and jump/semivariance decomposition [9], selected over 14 ML/DL challengers and 509 combinations under the Model Confidence Set [12].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Direction/probability — online expert combination.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Hedge-style combination [13] of four sub-models, re-weighted every session; challenged by linear, tree, recurrent, attention, and foundation-model alternatives.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Causal discovery.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 — validation role)</w:t>
            </w:r>
            <w:r>
              <w:rPr>
                <w:rFonts w:ascii="Times New Roman" w:hAnsi="Times New Roman"/>
                <w:sz w:val="24"/>
              </w:rPr>
              <w:t xml:space="preserve"> Five triangulated methods decide which exogenous variable is trusted; using the effect to adjust the forecast directly was tested and found not yet effective (Deferred / Future Work).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Calibration — Mondrian-stratified ACI.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[19], [20], 1.2-point maximum deviation vs. 2.4–3.2 for alternatives. </w:t>
            </w:r>
            <w:r>
              <w:rPr>
                <w:rFonts w:ascii="Times New Roman" w:hAnsi="Times New Roman"/>
                <w:i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 xml:space="preserve"> PID-controller online update [30] for below-target coverage during drawdown.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Risk/decision.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(implemented)</w:t>
            </w:r>
            <w:r>
              <w:rPr>
                <w:rFonts w:ascii="Times New Roman" w:hAnsi="Times New Roman"/>
                <w:sz w:val="24"/>
              </w:rPr>
              <w:t xml:space="preserve"> Empirical-quantile VaR/ES with Kupiec [21], Christoffersen [22], dynamic-quantile [23] backtests and a consistent scoring function [24]; Kelly-derived sizing [25] capped by ruin probability. </w:t>
            </w:r>
            <w:r>
              <w:rPr>
                <w:rFonts w:ascii="Times New Roman" w:hAnsi="Times New Roman"/>
                <w:i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 xml:space="preserve"> Two pair-specific tail-risk recalibrations, each diagnosed but not yet frozen: covariate-shift-weighted conformal/EVT quantiles for USD/JPY's confirmed distribution drift, and change-point-isolated exclusion of USD/CHF's 2015 SNB shock window; plus a portfolio-correlation adjustment and a measured slippage coefficient.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Meta-labeling confidence layer.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(proposed)</w:t>
            </w:r>
            <w:r>
              <w:rPr>
                <w:rFonts w:ascii="Times New Roman" w:hAnsi="Times New Roman"/>
                <w:sz w:val="24"/>
              </w:rPr>
              <w:t xml:space="preserve"> A secondary model that decides sizing/confidence rather than re-predicting direction [35]. After removing a circular-feature leak, preliminary skill (Brier skill score) is positive in 3/6 pairs, rising to 5/6 when the feature set is augmented with an exogenous implied-volatility index — a candidate risk-layer addition, integration not yet finalized.</w:t>
            </w:r>
          </w:p>
          <w:p>
            <w:pPr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Causal Discovery Method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The exogenous layer needs a method conditioning on many candidates simultaneously, separating a direct link from a shared confound, under the same false-discovery control as the pattern families. The </w:t>
            </w:r>
            <w:r>
              <w:rPr>
                <w:rFonts w:ascii="Times New Roman" w:hAnsi="Times New Roman"/>
                <w:b/>
                <w:sz w:val="24"/>
              </w:rPr>
              <w:t>official gate</w:t>
            </w:r>
            <w:r>
              <w:rPr>
                <w:rFonts w:ascii="Times New Roman" w:hAnsi="Times New Roman"/>
                <w:sz w:val="24"/>
              </w:rPr>
              <w:t xml:space="preserve"> is Granger-type F-testing under step-down Westfall–Young control [4]. Four independent methods triangulate the result — the answer to "which algorithm, and how do you know it is causality, not correlation":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CellMar>
                <w:top w:w="40" w:type="dxa"/>
                <w:bottom w:w="40" w:type="dxa"/>
                <w:left w:w="80" w:type="dxa"/>
                <w:right w:w="80" w:type="dxa"/>
              </w:tblCellMar>
            </w:tblPr>
            <w:tblGrid>
              <w:gridCol w:w="3324"/>
              <w:gridCol w:w="3324"/>
              <w:gridCol w:w="3324"/>
            </w:tblGrid>
            <w:tr>
              <w:trPr>
                <w:cantSplit/>
                <w:tblHeader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Method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Question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Key result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PCMCI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[18], [29]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Survives simultaneous conditioning?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VIX survives on every pair; gold-implied volatility (GVZCLS) loses significance once conditioned on VIX — the confound-vs-cause distinction pairwise Granger cannot make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Double ML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[33]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Effect </w:t>
                  </w:r>
                  <w:r>
                    <w:rPr>
                      <w:rFonts w:ascii="Times New Roman" w:hAnsi="Times New Roman"/>
                      <w:i/>
                      <w:sz w:val="21"/>
                    </w:rPr>
                    <w:t>size</w:t>
                  </w:r>
                  <w:r>
                    <w:rPr>
                      <w:rFonts w:ascii="Times New Roman" w:hAnsi="Times New Roman"/>
                      <w:sz w:val="21"/>
                    </w:rPr>
                    <w:t>, nonlinear nuisance model?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Positive, Holm-significant in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6/6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pairs — strongest result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Causal Forest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[34]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Regime-dependent?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Heterogeneous but inconsistent across pairs — no rule generalises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CausalImpact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[28]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 xml:space="preserve">Did </w:t>
                  </w:r>
                  <w:r>
                    <w:rPr>
                      <w:rFonts w:ascii="Times New Roman" w:hAnsi="Times New Roman"/>
                      <w:i/>
                      <w:sz w:val="21"/>
                    </w:rPr>
                    <w:t>this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event move volatility?</w:t>
                  </w:r>
                </w:p>
              </w:tc>
              <w:tc>
                <w:tcPr>
                  <w:tcW w:type="dxa" w:w="332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6/20 ECB meetings significant after FDR (vs. ~5% under noise)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Four independently authored methods, different assumptions, converging on one variable is stronger evidence than any single p-value; none establishes structural causality — every claim remains temporal-precedence or potential-outcomes under its method's assumptions.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Two roles, one shipped.</w:t>
            </w:r>
            <w:r>
              <w:rPr>
                <w:rFonts w:ascii="Times New Roman" w:hAnsi="Times New Roman"/>
                <w:sz w:val="24"/>
              </w:rPr>
              <w:t xml:space="preserve"> The </w:t>
            </w:r>
            <w:r>
              <w:rPr>
                <w:rFonts w:ascii="Times New Roman" w:hAnsi="Times New Roman"/>
                <w:b/>
                <w:sz w:val="24"/>
              </w:rPr>
              <w:t>validation role is implemented and load-bearing</w:t>
            </w:r>
            <w:r>
              <w:rPr>
                <w:rFonts w:ascii="Times New Roman" w:hAnsi="Times New Roman"/>
                <w:sz w:val="24"/>
              </w:rPr>
              <w:t xml:space="preserve"> — it is the actual filter behind the frozen feature set. The </w:t>
            </w:r>
            <w:r>
              <w:rPr>
                <w:rFonts w:ascii="Times New Roman" w:hAnsi="Times New Roman"/>
                <w:b/>
                <w:sz w:val="24"/>
              </w:rPr>
              <w:t>forecast-performance role</w:t>
            </w:r>
            <w:r>
              <w:rPr>
                <w:rFonts w:ascii="Times New Roman" w:hAnsi="Times New Roman"/>
                <w:sz w:val="24"/>
              </w:rPr>
              <w:t xml:space="preserve"> (adjusting the forecast directly) was tested and produced </w:t>
            </w:r>
            <w:r>
              <w:rPr>
                <w:rFonts w:ascii="Times New Roman" w:hAnsi="Times New Roman"/>
                <w:b/>
                <w:sz w:val="24"/>
              </w:rPr>
              <w:t>no significant QLIKE improvement after Holm correction</w:t>
            </w:r>
            <w:r>
              <w:rPr>
                <w:rFonts w:ascii="Times New Roman" w:hAnsi="Times New Roman"/>
                <w:sz w:val="24"/>
              </w:rPr>
              <w:t>, plausibly because HAR already absorbs the information indirectly; consistent with this thesis's negative-findings policy, it moves to Deferred / Future Work.</w:t>
            </w:r>
          </w:p>
          <w:p>
            <w:pPr>
              <w:spacing w:before="140" w:after="60"/>
            </w:pPr>
            <w:r>
              <w:rPr>
                <w:rFonts w:ascii="Times New Roman" w:hAnsi="Times New Roman"/>
                <w:b/>
                <w:i/>
                <w:sz w:val="24"/>
              </w:rPr>
              <w:t>Proposed System Architecture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i/>
                <w:sz w:val="24"/>
              </w:rPr>
              <w:t>(Pipeline and API: implemented, operating daily; extensions below are proposed.)</w:t>
            </w:r>
            <w:r>
              <w:rPr>
                <w:rFonts w:ascii="Times New Roman" w:hAnsi="Times New Roman"/>
                <w:sz w:val="24"/>
              </w:rPr>
              <w:t xml:space="preserve"> Five layers share one computation layer across two deployment targets, so the live site and thesis numbers share one code path: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1. </w:t>
            </w:r>
            <w:r>
              <w:rPr>
                <w:rFonts w:ascii="Times New Roman" w:hAnsi="Times New Roman"/>
                <w:b/>
                <w:sz w:val="24"/>
              </w:rPr>
              <w:t>Data pipeline (`collect/`).</w:t>
            </w:r>
            <w:r>
              <w:rPr>
                <w:rFonts w:ascii="Times New Roman" w:hAnsi="Times New Roman"/>
                <w:sz w:val="24"/>
              </w:rPr>
              <w:t xml:space="preserve"> One-time historical bootstrap plus a daily job (four times/day via CI) building daily bars, realized measures, and the macro calendar.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2. </w:t>
            </w:r>
            <w:r>
              <w:rPr>
                <w:rFonts w:ascii="Times New Roman" w:hAnsi="Times New Roman"/>
                <w:b/>
                <w:sz w:val="24"/>
              </w:rPr>
              <w:t>Data store (`data/`).</w:t>
            </w:r>
            <w:r>
              <w:rPr>
                <w:rFonts w:ascii="Times New Roman" w:hAnsi="Times New Roman"/>
                <w:sz w:val="24"/>
              </w:rPr>
              <w:t xml:space="preserve"> Frozen historical CSVs kept separate from a daily-overwritten live store, so development and sealed segments cannot be silently mixed.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3. </w:t>
            </w:r>
            <w:r>
              <w:rPr>
                <w:rFonts w:ascii="Times New Roman" w:hAnsi="Times New Roman"/>
                <w:b/>
                <w:sz w:val="24"/>
              </w:rPr>
              <w:t>Computation layer (`src/`, `api/cache.py`).</w:t>
            </w:r>
            <w:r>
              <w:rPr>
                <w:rFonts w:ascii="Times New Roman" w:hAnsi="Times New Roman"/>
                <w:sz w:val="24"/>
              </w:rPr>
              <w:t xml:space="preserve"> Series join, HAR forecast, calibration, and sizing run in one process, no serialisation boundary.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4. </w:t>
            </w:r>
            <w:r>
              <w:rPr>
                <w:rFonts w:ascii="Times New Roman" w:hAnsi="Times New Roman"/>
                <w:b/>
                <w:sz w:val="24"/>
              </w:rPr>
              <w:t>API (`api/`, FastAPI).</w:t>
            </w:r>
            <w:r>
              <w:rPr>
                <w:rFonts w:ascii="Times New Roman" w:hAnsi="Times New Roman"/>
                <w:sz w:val="24"/>
              </w:rPr>
              <w:t xml:space="preserve"> One router per concern (</w:t>
            </w:r>
            <w:r>
              <w:rPr>
                <w:rFonts w:ascii="Consolas" w:hAnsi="Consolas"/>
                <w:sz w:val="24"/>
              </w:rPr>
              <w:t>meta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market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forecast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risk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Consolas" w:hAnsi="Consolas"/>
                <w:sz w:val="24"/>
              </w:rPr>
              <w:t>admin</w:t>
            </w:r>
            <w:r>
              <w:rPr>
                <w:rFonts w:ascii="Times New Roman" w:hAnsi="Times New Roman"/>
                <w:sz w:val="24"/>
              </w:rPr>
              <w:t>) with Pydantic models, exposing endpoints extended through the Research Plan.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5. </w:t>
            </w:r>
            <w:r>
              <w:rPr>
                <w:rFonts w:ascii="Times New Roman" w:hAnsi="Times New Roman"/>
                <w:b/>
                <w:sz w:val="24"/>
              </w:rPr>
              <w:t>Web application.</w:t>
            </w:r>
            <w:r>
              <w:rPr>
                <w:rFonts w:ascii="Times New Roman" w:hAnsi="Times New Roman"/>
                <w:sz w:val="24"/>
              </w:rPr>
              <w:t xml:space="preserve"> One HTML/JS template is the source of truth, compiled to three deployed variants.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The two deployment targets are a stated trade-off, not an inconsistency.</w:t>
            </w:r>
            <w:r>
              <w:rPr>
                <w:rFonts w:ascii="Times New Roman" w:hAnsi="Times New Roman"/>
                <w:sz w:val="24"/>
              </w:rPr>
              <w:t xml:space="preserve"> The local/CI deployment runs the full FastAPI process and is the only place risk numbers are </w:t>
            </w:r>
            <w:r>
              <w:rPr>
                <w:rFonts w:ascii="Times New Roman" w:hAnsi="Times New Roman"/>
                <w:i/>
                <w:sz w:val="24"/>
              </w:rPr>
              <w:t>computed</w:t>
            </w:r>
            <w:r>
              <w:rPr>
                <w:rFonts w:ascii="Times New Roman" w:hAnsi="Times New Roman"/>
                <w:sz w:val="24"/>
              </w:rPr>
              <w:t>; Vercel's serverless size limit cannot host that stack, so a daily job pre-computes once-a-day numbers as static JSON while a lightweight function handles only intraday chart data — practice consistent with scaling ML-serving systems under heterogeneous constraints [31], [32].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Each layer boundary carries an explicit contract rather than an informal call</w:t>
            </w:r>
            <w:r>
              <w:rPr>
                <w:rFonts w:ascii="Times New Roman" w:hAnsi="Times New Roman"/>
                <w:sz w:val="24"/>
              </w:rPr>
              <w:t>: the pipeline writes fixed-schema files, the computation layer reads and joins them in-process with no serialisation step, and the API exposes every downstream consumer — including the daily job that supplies the static site — through the same typed response models. That last link is enforced most strictly: the daily job never recomputes through a second code path, it calls the API and snapshots the response, the discipline [31] that keeps the static and live deployments from diverging, applied to every module added under the Research Plan.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Methodology: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Literature review.</w:t>
            </w:r>
            <w:r>
              <w:rPr>
                <w:rFonts w:ascii="Times New Roman" w:hAnsi="Times New Roman"/>
                <w:sz w:val="24"/>
              </w:rPr>
              <w:t xml:space="preserve"> HAR family and extensions; FX directional-predictability evidence; statistically sound pattern discovery and multiple-testing control; conformal prediction; VaR/ES backtesting and ruin-constrained sizing.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Data preparation and protocol fixing.</w:t>
            </w:r>
            <w:r>
              <w:rPr>
                <w:rFonts w:ascii="Times New Roman" w:hAnsi="Times New Roman"/>
                <w:sz w:val="24"/>
              </w:rPr>
              <w:t xml:space="preserve"> Construct bars and realized measures; verify contiguity and session conventions; fix the partition, metrics, multiple-testing procedure, and sealed-set policy in writing </w:t>
            </w:r>
            <w:r>
              <w:rPr>
                <w:rFonts w:ascii="Times New Roman" w:hAnsi="Times New Roman"/>
                <w:b/>
                <w:sz w:val="24"/>
              </w:rPr>
              <w:t>before</w:t>
            </w:r>
            <w:r>
              <w:rPr>
                <w:rFonts w:ascii="Times New Roman" w:hAnsi="Times New Roman"/>
                <w:sz w:val="24"/>
              </w:rPr>
              <w:t xml:space="preserve"> any scoring; anti-leakage self-test (truncating information after 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leaves the value at 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unchanged).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Baseline and model comparison.</w:t>
            </w:r>
            <w:r>
              <w:rPr>
                <w:rFonts w:ascii="Times New Roman" w:hAnsi="Times New Roman"/>
                <w:sz w:val="24"/>
              </w:rPr>
              <w:t xml:space="preserve"> Extended HAR and online combination as baselines; compare against regularised linear, tree, recurrent/attention, and foundation models [11], [14] under an identical information set; evaluate with QLIKE [15], CRPS, log/Brier [16]; test with Diebold–Mariano [17], superior predictive ability [5], and Model Confidence Sets [12].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Pattern, exogenous, and causal analysis.</w:t>
            </w:r>
            <w:r>
              <w:rPr>
                <w:rFonts w:ascii="Times New Roman" w:hAnsi="Times New Roman"/>
                <w:sz w:val="24"/>
              </w:rPr>
              <w:t xml:space="preserve"> Enumerate each discovery family's hypothesis space in advance, step-down max-</w:t>
            </w:r>
            <w:r>
              <w:rPr>
                <w:rFonts w:ascii="Times New Roman" w:hAnsi="Times New Roman"/>
                <w:i/>
                <w:sz w:val="24"/>
              </w:rPr>
              <w:t>T</w:t>
            </w:r>
            <w:r>
              <w:rPr>
                <w:rFonts w:ascii="Times New Roman" w:hAnsi="Times New Roman"/>
                <w:sz w:val="24"/>
              </w:rPr>
              <w:t xml:space="preserve"> resampling [4]; condition on the strongest null. The exogenous/causal layer (</w:t>
            </w:r>
            <w:r>
              <w:rPr>
                <w:rFonts w:ascii="Times New Roman" w:hAnsi="Times New Roman"/>
                <w:i/>
                <w:sz w:val="24"/>
              </w:rPr>
              <w:t>Causal Discovery Method</w:t>
            </w:r>
            <w:r>
              <w:rPr>
                <w:rFonts w:ascii="Times New Roman" w:hAnsi="Times New Roman"/>
                <w:sz w:val="24"/>
              </w:rPr>
              <w:t>) is complete; remaining work is write-up (Week 9–10) — the forecast overlay stays deferred.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Calibration, risk, decision layer.</w:t>
            </w:r>
            <w:r>
              <w:rPr>
                <w:rFonts w:ascii="Times New Roman" w:hAnsi="Times New Roman"/>
                <w:sz w:val="24"/>
              </w:rPr>
              <w:t xml:space="preserve"> Mondrian ACI [19], [20]; VaR/ES backtests [21]–[24]; sizing as min(growth-optimal fraction [25], ruin-constrained cap), adjusted by regime, drawdown, correlation, and slippage.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 analysis and sealed validation.</w:t>
            </w:r>
            <w:r>
              <w:rPr>
                <w:rFonts w:ascii="Times New Roman" w:hAnsi="Times New Roman"/>
                <w:sz w:val="24"/>
              </w:rPr>
              <w:t xml:space="preserve"> Inject synthetic effects through the actual funnel, report the MDES at 80% power; freeze the configuration, then open the sealed set exactly once.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System implementation.</w:t>
            </w:r>
            <w:r>
              <w:rPr>
                <w:rFonts w:ascii="Times New Roman" w:hAnsi="Times New Roman"/>
                <w:sz w:val="24"/>
              </w:rPr>
              <w:t xml:space="preserve"> Maintain the operating product path throughout, integrating each layer as a versioned artefact the week it completes; harden the system in the final weeks with full provenance; analyse failure cases and calibration degradation in the interface rather than omitting them.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Expected Results and Contributions: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validated FX decision support system</w:t>
            </w:r>
            <w:r>
              <w:rPr>
                <w:rFonts w:ascii="Times New Roman" w:hAnsi="Times New Roman"/>
                <w:sz w:val="24"/>
              </w:rPr>
              <w:t xml:space="preserve"> issuing, per session and pair, a volatility forecast, calibrated three-class probability with a conformal set, event-risk assessment, and ruin-constrained sizing, every quantity traceable to a measurement.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An axis-resolved characterisation of predictability</w:t>
            </w:r>
            <w:r>
              <w:rPr>
                <w:rFonts w:ascii="Times New Roman" w:hAnsi="Times New Roman"/>
                <w:sz w:val="24"/>
              </w:rPr>
              <w:t xml:space="preserve"> — significant skill on magnitude, none on direction across twelve branches; remaining horizons and the sealed set (not yet opened) complete the picture.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systematic model-complexity benchmark</w:t>
            </w:r>
            <w:r>
              <w:rPr>
                <w:rFonts w:ascii="Times New Roman" w:hAnsi="Times New Roman"/>
                <w:sz w:val="24"/>
              </w:rPr>
              <w:t xml:space="preserve"> for volatility forecasting across model families, with proper scoring rules and model confidence sets.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five-method causal triangulation and ablation with an honest two-role split.</w:t>
            </w:r>
            <w:r>
              <w:rPr>
                <w:rFonts w:ascii="Times New Roman" w:hAnsi="Times New Roman"/>
                <w:sz w:val="24"/>
              </w:rPr>
              <w:t xml:space="preserve"> Causally-filtered variables degrade less out of sample than validation-selected ones (mechanism: distribution drift in the latter); the triangulation's validation role is load-bearing, its forecast-performance role tested and reported negative rather than overstated.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Power-bounded negative evidence</w:t>
            </w:r>
            <w:r>
              <w:rPr>
                <w:rFonts w:ascii="Times New Roman" w:hAnsi="Times New Roman"/>
                <w:sz w:val="24"/>
              </w:rPr>
              <w:t xml:space="preserve"> — every negative finding with its MDES, turning "no relationship found" into "no relationship stronger than </w:t>
            </w:r>
            <w:r>
              <w:rPr>
                <w:rFonts w:ascii="Times New Roman" w:hAnsi="Times New Roman"/>
                <w:i/>
                <w:sz w:val="24"/>
              </w:rPr>
              <w:t>X</w:t>
            </w:r>
            <w:r>
              <w:rPr>
                <w:rFonts w:ascii="Times New Roman" w:hAnsi="Times New Roman"/>
                <w:sz w:val="24"/>
              </w:rPr>
              <w:t>".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Three applied risk-decision contributions</w:t>
            </w:r>
            <w:r>
              <w:rPr>
                <w:rFonts w:ascii="Times New Roman" w:hAnsi="Times New Roman"/>
                <w:sz w:val="24"/>
              </w:rPr>
              <w:t>: a portfolio correlation factor for ruin-constrained sizing, a holding-horizon table against stop-out misreading, and a slippage coefficient measured from real executions.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reproducible research record</w:t>
            </w:r>
            <w:r>
              <w:rPr>
                <w:rFonts w:ascii="Times New Roman" w:hAnsi="Times New Roman"/>
                <w:sz w:val="24"/>
              </w:rPr>
              <w:t xml:space="preserve"> — data dictionary, sealed-set protocol, full configuration registry, reproduction commands including negative results.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A documented, versioned software architecture</w:t>
            </w:r>
            <w:r>
              <w:rPr>
                <w:rFonts w:ascii="Times New Roman" w:hAnsi="Times New Roman"/>
                <w:sz w:val="24"/>
              </w:rPr>
              <w:t xml:space="preserve"> — the five-layer pipeline/API/web application with an explicit module contract, so the engineering contribution is itself reported and defensible.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References: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[1] R. A. Meese and K. Rogoff, "Empirical exchange rate models of the seventies: Do they fit out of sample?," </w:t>
            </w:r>
            <w:r>
              <w:rPr>
                <w:rFonts w:ascii="Times New Roman" w:hAnsi="Times New Roman"/>
                <w:i/>
                <w:sz w:val="24"/>
              </w:rPr>
              <w:t>Journal of International Economics</w:t>
            </w:r>
            <w:r>
              <w:rPr>
                <w:rFonts w:ascii="Times New Roman" w:hAnsi="Times New Roman"/>
                <w:sz w:val="24"/>
              </w:rPr>
              <w:t>, vol. 14, no. 1–2, pp. 3–24, 1983, doi: 10.1016/0022-1996(83)90017-X.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[2] P.-H. Hsu, M. P. Taylor, and Z. Wang, "Technical trading: Is it still beating the foreign exchange market?," </w:t>
            </w:r>
            <w:r>
              <w:rPr>
                <w:rFonts w:ascii="Times New Roman" w:hAnsi="Times New Roman"/>
                <w:i/>
                <w:sz w:val="24"/>
              </w:rPr>
              <w:t>Journal of International Economics</w:t>
            </w:r>
            <w:r>
              <w:rPr>
                <w:rFonts w:ascii="Times New Roman" w:hAnsi="Times New Roman"/>
                <w:sz w:val="24"/>
              </w:rPr>
              <w:t>, vol. 102, pp. 188–208, 2016, doi: 10.1016/j.jinteco.2016.03.012.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[3] M. C. Hutchinson, P. E. Kyziropoulos, J. O'Brien, P. O'Reilly, and T. Sharma, "Technical trading rule profitability in currencies: It's all about momentum," </w:t>
            </w:r>
            <w:r>
              <w:rPr>
                <w:rFonts w:ascii="Times New Roman" w:hAnsi="Times New Roman"/>
                <w:i/>
                <w:sz w:val="24"/>
              </w:rPr>
              <w:t>Research in International Business and Finance</w:t>
            </w:r>
            <w:r>
              <w:rPr>
                <w:rFonts w:ascii="Times New Roman" w:hAnsi="Times New Roman"/>
                <w:sz w:val="24"/>
              </w:rPr>
              <w:t>, vol. 63, Art. no. 101779, 2022, doi: 10.1016/j.ribaf.2022.101779.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[4] P. H. Westfall and S. S. Young, </w:t>
            </w:r>
            <w:r>
              <w:rPr>
                <w:rFonts w:ascii="Times New Roman" w:hAnsi="Times New Roman"/>
                <w:i/>
                <w:sz w:val="24"/>
              </w:rPr>
              <w:t>Resampling-Based Multiple Testing</w:t>
            </w:r>
            <w:r>
              <w:rPr>
                <w:rFonts w:ascii="Times New Roman" w:hAnsi="Times New Roman"/>
                <w:sz w:val="24"/>
              </w:rPr>
              <w:t>. New York, NY, USA: John Wiley &amp; Sons, 1993.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[5] P. R. Hansen, "A test for superior predictive ability,"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23, no. 4, pp. 365–380, 2005, doi: 10.1198/073500105000000063.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[6] W. Hämäläinen and G. I. Webb, "A tutorial on statistically sound pattern discovery," </w:t>
            </w:r>
            <w:r>
              <w:rPr>
                <w:rFonts w:ascii="Times New Roman" w:hAnsi="Times New Roman"/>
                <w:i/>
                <w:sz w:val="24"/>
              </w:rPr>
              <w:t>Data Mining and Knowledge Discovery</w:t>
            </w:r>
            <w:r>
              <w:rPr>
                <w:rFonts w:ascii="Times New Roman" w:hAnsi="Times New Roman"/>
                <w:sz w:val="24"/>
              </w:rPr>
              <w:t>, vol. 33, no. 2, pp. 325–377, 2019, doi: 10.1007/s10618-018-0590-x.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[7] F. Corsi, "A simple approximate long-memory model of realized volatility," </w:t>
            </w:r>
            <w:r>
              <w:rPr>
                <w:rFonts w:ascii="Times New Roman" w:hAnsi="Times New Roman"/>
                <w:i/>
                <w:sz w:val="24"/>
              </w:rPr>
              <w:t>Journal of Financial Econometrics</w:t>
            </w:r>
            <w:r>
              <w:rPr>
                <w:rFonts w:ascii="Times New Roman" w:hAnsi="Times New Roman"/>
                <w:sz w:val="24"/>
              </w:rPr>
              <w:t>, vol. 7, no. 2, pp. 174–196, 2009, doi: 10.1093/jjfinec/nbp001.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[8] T. Bollerslev, A. J. Patton, and R. Quaedvlieg, "Exploiting the errors,"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192, no. 1, pp. 1–18, 2016, doi: 10.1016/j.jeconom.2015.10.007.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[9] O. E. Barndorff-Nielsen and N. Shephard, "Power and bipower variation with stochastic volatility and jumps," </w:t>
            </w:r>
            <w:r>
              <w:rPr>
                <w:rFonts w:ascii="Times New Roman" w:hAnsi="Times New Roman"/>
                <w:i/>
                <w:sz w:val="24"/>
              </w:rPr>
              <w:t>Journal of Financial Econometrics</w:t>
            </w:r>
            <w:r>
              <w:rPr>
                <w:rFonts w:ascii="Times New Roman" w:hAnsi="Times New Roman"/>
                <w:sz w:val="24"/>
              </w:rPr>
              <w:t>, vol. 2, no. 1, pp. 1–37, 2004, doi: 10.1093/jjfinec/nbh001.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[10] R. R. Branco, A. Rubesam, and M. Zevallos, "Forecasting realized volatility: Does anything beat linear models?," </w:t>
            </w:r>
            <w:r>
              <w:rPr>
                <w:rFonts w:ascii="Times New Roman" w:hAnsi="Times New Roman"/>
                <w:i/>
                <w:sz w:val="24"/>
              </w:rPr>
              <w:t>Journal of Empirical Finance</w:t>
            </w:r>
            <w:r>
              <w:rPr>
                <w:rFonts w:ascii="Times New Roman" w:hAnsi="Times New Roman"/>
                <w:sz w:val="24"/>
              </w:rPr>
              <w:t>, vol. 78, Art. no. 101524, 2024, doi: 10.1016/j.jempfin.2024.101524.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[11] A. Brini, "Forecasting realized volatility with time series foundation models," arXiv:2607.05291, 2026.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[12] P. R. Hansen, A. Lunde, and J. M. Nason, "The model confidence set," </w:t>
            </w:r>
            <w:r>
              <w:rPr>
                <w:rFonts w:ascii="Times New Roman" w:hAnsi="Times New Roman"/>
                <w:i/>
                <w:sz w:val="24"/>
              </w:rPr>
              <w:t>Econometrica</w:t>
            </w:r>
            <w:r>
              <w:rPr>
                <w:rFonts w:ascii="Times New Roman" w:hAnsi="Times New Roman"/>
                <w:sz w:val="24"/>
              </w:rPr>
              <w:t>, vol. 79, no. 2, pp. 453–497, 2011, doi: 10.3982/ECTA5771.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[13] Y. Freund and R. E. Schapire, "A decision-theoretic generalization of on-line learning," </w:t>
            </w:r>
            <w:r>
              <w:rPr>
                <w:rFonts w:ascii="Times New Roman" w:hAnsi="Times New Roman"/>
                <w:i/>
                <w:sz w:val="24"/>
              </w:rPr>
              <w:t>Journal of Computer and System Sciences</w:t>
            </w:r>
            <w:r>
              <w:rPr>
                <w:rFonts w:ascii="Times New Roman" w:hAnsi="Times New Roman"/>
                <w:sz w:val="24"/>
              </w:rPr>
              <w:t>, vol. 55, no. 1, pp. 119–139, 1997, doi: 10.1006/jcss.1997.1504.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[14] N. Hollmann </w:t>
            </w:r>
            <w:r>
              <w:rPr>
                <w:rFonts w:ascii="Times New Roman" w:hAnsi="Times New Roman"/>
                <w:i/>
                <w:sz w:val="24"/>
              </w:rPr>
              <w:t>et al.</w:t>
            </w:r>
            <w:r>
              <w:rPr>
                <w:rFonts w:ascii="Times New Roman" w:hAnsi="Times New Roman"/>
                <w:sz w:val="24"/>
              </w:rPr>
              <w:t xml:space="preserve">, "Accurate predictions on small data with a tabular foundation model," </w:t>
            </w:r>
            <w:r>
              <w:rPr>
                <w:rFonts w:ascii="Times New Roman" w:hAnsi="Times New Roman"/>
                <w:i/>
                <w:sz w:val="24"/>
              </w:rPr>
              <w:t>Nature</w:t>
            </w:r>
            <w:r>
              <w:rPr>
                <w:rFonts w:ascii="Times New Roman" w:hAnsi="Times New Roman"/>
                <w:sz w:val="24"/>
              </w:rPr>
              <w:t>, vol. 637, pp. 319–326, 2025, doi: 10.1038/s41586-024-08328-6.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[15] A. J. Patton, "Volatility forecast comparison using imperfect volatility proxies,"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160, no. 1, pp. 246–256, 2011, doi: 10.1016/j.jeconom.2010.03.034.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[16] T. Gneiting and A. E. Raftery, "Strictly proper scoring rules, prediction, and estimation," </w:t>
            </w:r>
            <w:r>
              <w:rPr>
                <w:rFonts w:ascii="Times New Roman" w:hAnsi="Times New Roman"/>
                <w:i/>
                <w:sz w:val="24"/>
              </w:rPr>
              <w:t>JASA</w:t>
            </w:r>
            <w:r>
              <w:rPr>
                <w:rFonts w:ascii="Times New Roman" w:hAnsi="Times New Roman"/>
                <w:sz w:val="24"/>
              </w:rPr>
              <w:t>, vol. 102, no. 477, pp. 359–378, 2007, doi: 10.1198/016214506000001437.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[17] F. X. Diebold and R. S. Mariano, "Comparing predictive accuracy,"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13, no. 3, pp. 253–263, 1995, doi: 10.1080/07350015.1995.10524599.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[18] J. Runge, P. Nowack, M. Kretschmer, S. Flaxman, and D. Sejdinovic, "Detecting and quantifying causal associations in large nonlinear time series datasets," </w:t>
            </w:r>
            <w:r>
              <w:rPr>
                <w:rFonts w:ascii="Times New Roman" w:hAnsi="Times New Roman"/>
                <w:i/>
                <w:sz w:val="24"/>
              </w:rPr>
              <w:t>Science Advances</w:t>
            </w:r>
            <w:r>
              <w:rPr>
                <w:rFonts w:ascii="Times New Roman" w:hAnsi="Times New Roman"/>
                <w:sz w:val="24"/>
              </w:rPr>
              <w:t>, vol. 5, no. 11, Art. no. eaau4996, 2019, doi: 10.1126/sciadv.aau4996.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[19] I. Gibbs and E. Candès, "Adaptive conformal inference under distribution shift," </w:t>
            </w:r>
            <w:r>
              <w:rPr>
                <w:rFonts w:ascii="Times New Roman" w:hAnsi="Times New Roman"/>
                <w:i/>
                <w:sz w:val="24"/>
              </w:rPr>
              <w:t>NeurIPS 35</w:t>
            </w:r>
            <w:r>
              <w:rPr>
                <w:rFonts w:ascii="Times New Roman" w:hAnsi="Times New Roman"/>
                <w:sz w:val="24"/>
              </w:rPr>
              <w:t>, 2021, pp. 1660–1672.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[20] A. N. Angelopoulos and S. Bates, "Conformal prediction: A gentle introduction," </w:t>
            </w:r>
            <w:r>
              <w:rPr>
                <w:rFonts w:ascii="Times New Roman" w:hAnsi="Times New Roman"/>
                <w:i/>
                <w:sz w:val="24"/>
              </w:rPr>
              <w:t>Foundations and Trends in Machine Learning</w:t>
            </w:r>
            <w:r>
              <w:rPr>
                <w:rFonts w:ascii="Times New Roman" w:hAnsi="Times New Roman"/>
                <w:sz w:val="24"/>
              </w:rPr>
              <w:t>, vol. 16, no. 4, pp. 494–591, 2023, doi: 10.1561/2200000101.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[21] P. H. Kupiec, "Techniques for verifying the accuracy of risk measurement models," </w:t>
            </w:r>
            <w:r>
              <w:rPr>
                <w:rFonts w:ascii="Times New Roman" w:hAnsi="Times New Roman"/>
                <w:i/>
                <w:sz w:val="24"/>
              </w:rPr>
              <w:t>The Journal of Derivatives</w:t>
            </w:r>
            <w:r>
              <w:rPr>
                <w:rFonts w:ascii="Times New Roman" w:hAnsi="Times New Roman"/>
                <w:sz w:val="24"/>
              </w:rPr>
              <w:t>, vol. 3, no. 2, pp. 73–84, 1995, doi: 10.3905/jod.1995.407942.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[22] P. F. Christoffersen, "Evaluating interval forecasts," </w:t>
            </w:r>
            <w:r>
              <w:rPr>
                <w:rFonts w:ascii="Times New Roman" w:hAnsi="Times New Roman"/>
                <w:i/>
                <w:sz w:val="24"/>
              </w:rPr>
              <w:t>International Economic Review</w:t>
            </w:r>
            <w:r>
              <w:rPr>
                <w:rFonts w:ascii="Times New Roman" w:hAnsi="Times New Roman"/>
                <w:sz w:val="24"/>
              </w:rPr>
              <w:t>, vol. 39, no. 4, pp. 841–862, 1998, doi: 10.2307/2527341.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[23] R. F. Engle and S. Manganelli, "CAViaR," </w:t>
            </w:r>
            <w:r>
              <w:rPr>
                <w:rFonts w:ascii="Times New Roman" w:hAnsi="Times New Roman"/>
                <w:i/>
                <w:sz w:val="24"/>
              </w:rPr>
              <w:t>Journal of Business &amp; Economic Statistics</w:t>
            </w:r>
            <w:r>
              <w:rPr>
                <w:rFonts w:ascii="Times New Roman" w:hAnsi="Times New Roman"/>
                <w:sz w:val="24"/>
              </w:rPr>
              <w:t>, vol. 22, no. 4, pp. 367–381, 2004, doi: 10.1198/073500104000000370.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[24] A. J. Patton, J. F. Ziegel, and R. Chen, "Dynamic semiparametric models for expected shortfall (and value-at-risk)," </w:t>
            </w:r>
            <w:r>
              <w:rPr>
                <w:rFonts w:ascii="Times New Roman" w:hAnsi="Times New Roman"/>
                <w:i/>
                <w:sz w:val="24"/>
              </w:rPr>
              <w:t>Journal of Econometrics</w:t>
            </w:r>
            <w:r>
              <w:rPr>
                <w:rFonts w:ascii="Times New Roman" w:hAnsi="Times New Roman"/>
                <w:sz w:val="24"/>
              </w:rPr>
              <w:t>, vol. 211, no. 2, pp. 388–413, 2019, doi: 10.1016/j.jeconom.2018.10.008.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[25] J. L. Kelly, "A new interpretation of information rate," </w:t>
            </w:r>
            <w:r>
              <w:rPr>
                <w:rFonts w:ascii="Times New Roman" w:hAnsi="Times New Roman"/>
                <w:i/>
                <w:sz w:val="24"/>
              </w:rPr>
              <w:t>The Bell System Technical Journal</w:t>
            </w:r>
            <w:r>
              <w:rPr>
                <w:rFonts w:ascii="Times New Roman" w:hAnsi="Times New Roman"/>
                <w:sz w:val="24"/>
              </w:rPr>
              <w:t>, vol. 35, no. 4, pp. 917–926, 1956, doi: 10.1002/j.1538-7305.1956.tb03809.x.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[26] I. Orquín-Serrano, "Predictive power of adaptive candlestick patterns in Forex market," </w:t>
            </w:r>
            <w:r>
              <w:rPr>
                <w:rFonts w:ascii="Times New Roman" w:hAnsi="Times New Roman"/>
                <w:i/>
                <w:sz w:val="24"/>
              </w:rPr>
              <w:t>Mathematics</w:t>
            </w:r>
            <w:r>
              <w:rPr>
                <w:rFonts w:ascii="Times New Roman" w:hAnsi="Times New Roman"/>
                <w:sz w:val="24"/>
              </w:rPr>
              <w:t>, vol. 8, no. 5, Art. no. 802, 2020, doi: 10.3390/math8050802.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[27] D. Arnott and G. Pervan, "A critical analysis of decision support systems research," </w:t>
            </w:r>
            <w:r>
              <w:rPr>
                <w:rFonts w:ascii="Times New Roman" w:hAnsi="Times New Roman"/>
                <w:i/>
                <w:sz w:val="24"/>
              </w:rPr>
              <w:t>Journal of Information Technology</w:t>
            </w:r>
            <w:r>
              <w:rPr>
                <w:rFonts w:ascii="Times New Roman" w:hAnsi="Times New Roman"/>
                <w:sz w:val="24"/>
              </w:rPr>
              <w:t>, vol. 20, no. 2, pp. 67–87, 2005, doi: 10.1057/palgrave.jit.2000035.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[28] K. H. Brodersen, F. Gallusser, J. Koehler, N. Remy, and S. L. Scott, "Inferring causal impact using Bayesian structural time-series models," </w:t>
            </w:r>
            <w:r>
              <w:rPr>
                <w:rFonts w:ascii="Times New Roman" w:hAnsi="Times New Roman"/>
                <w:i/>
                <w:sz w:val="24"/>
              </w:rPr>
              <w:t>Annals of Applied Statistics</w:t>
            </w:r>
            <w:r>
              <w:rPr>
                <w:rFonts w:ascii="Times New Roman" w:hAnsi="Times New Roman"/>
                <w:sz w:val="24"/>
              </w:rPr>
              <w:t>, vol. 9, no. 1, pp. 247–274, 2015, doi: 10.1214/14-AOAS788.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[29] J. Runge, A. Gerhardus, G. Varando, V. Eyring, and G. Camps-Valls, "Causal inference for time series," </w:t>
            </w:r>
            <w:r>
              <w:rPr>
                <w:rFonts w:ascii="Times New Roman" w:hAnsi="Times New Roman"/>
                <w:i/>
                <w:sz w:val="24"/>
              </w:rPr>
              <w:t>Nature Reviews Earth &amp; Environment</w:t>
            </w:r>
            <w:r>
              <w:rPr>
                <w:rFonts w:ascii="Times New Roman" w:hAnsi="Times New Roman"/>
                <w:sz w:val="24"/>
              </w:rPr>
              <w:t>, vol. 4, pp. 487–505, 2023, doi: 10.1038/s43017-023-00431-y.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[30] A. N. Angelopoulos, E. J. Candès, and R. J. Tibshirani, "Conformal PID control for time series prediction," </w:t>
            </w:r>
            <w:r>
              <w:rPr>
                <w:rFonts w:ascii="Times New Roman" w:hAnsi="Times New Roman"/>
                <w:i/>
                <w:sz w:val="24"/>
              </w:rPr>
              <w:t>NeurIPS 36</w:t>
            </w:r>
            <w:r>
              <w:rPr>
                <w:rFonts w:ascii="Times New Roman" w:hAnsi="Times New Roman"/>
                <w:sz w:val="24"/>
              </w:rPr>
              <w:t>, 2023. arXiv:2307.16895.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[31] S. Shankar, R. Garcia, J. M. Hellerstein, and A. G. Parameswaran, "Operationalizing machine learning: An interview study," arXiv:2209.09125, 2022.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[32] S. Karanam and J. Bhargav, "Microservice architecture patterns for scalable machine learning systems," arXiv:2603.13672, 2026.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[33] V. Chernozhukov </w:t>
            </w:r>
            <w:r>
              <w:rPr>
                <w:rFonts w:ascii="Times New Roman" w:hAnsi="Times New Roman"/>
                <w:i/>
                <w:sz w:val="24"/>
              </w:rPr>
              <w:t>et al.</w:t>
            </w:r>
            <w:r>
              <w:rPr>
                <w:rFonts w:ascii="Times New Roman" w:hAnsi="Times New Roman"/>
                <w:sz w:val="24"/>
              </w:rPr>
              <w:t xml:space="preserve">, "Double/debiased machine learning for treatment and structural parameters," </w:t>
            </w:r>
            <w:r>
              <w:rPr>
                <w:rFonts w:ascii="Times New Roman" w:hAnsi="Times New Roman"/>
                <w:i/>
                <w:sz w:val="24"/>
              </w:rPr>
              <w:t>The Econometrics Journal</w:t>
            </w:r>
            <w:r>
              <w:rPr>
                <w:rFonts w:ascii="Times New Roman" w:hAnsi="Times New Roman"/>
                <w:sz w:val="24"/>
              </w:rPr>
              <w:t>, vol. 21, no. 1, pp. C1–C68, 2018, doi: 10.1111/ectj.12097.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[34] S. Wager and S. Athey, "Estimation and inference of heterogeneous treatment effects using random forests," </w:t>
            </w:r>
            <w:r>
              <w:rPr>
                <w:rFonts w:ascii="Times New Roman" w:hAnsi="Times New Roman"/>
                <w:i/>
                <w:sz w:val="24"/>
              </w:rPr>
              <w:t>JASA</w:t>
            </w:r>
            <w:r>
              <w:rPr>
                <w:rFonts w:ascii="Times New Roman" w:hAnsi="Times New Roman"/>
                <w:sz w:val="24"/>
              </w:rPr>
              <w:t>, vol. 113, no. 523, pp. 1228–1242, 2018, doi: 10.1080/01621459.2017.1319839.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[35] M. López de Prado, </w:t>
            </w:r>
            <w:r>
              <w:rPr>
                <w:rFonts w:ascii="Times New Roman" w:hAnsi="Times New Roman"/>
                <w:i/>
                <w:sz w:val="24"/>
              </w:rPr>
              <w:t>Advances in Financial Machine Learning</w:t>
            </w:r>
            <w:r>
              <w:rPr>
                <w:rFonts w:ascii="Times New Roman" w:hAnsi="Times New Roman"/>
                <w:sz w:val="24"/>
              </w:rPr>
              <w:t>. Hoboken, NJ, USA: John Wiley &amp; Sons, 2018.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Research Plan and Timeline: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 xml:space="preserve">Research timeline: 16 weeks. Every week pairs a research task with an </w:t>
            </w:r>
            <w:r>
              <w:rPr>
                <w:rFonts w:ascii="Times New Roman" w:hAnsi="Times New Roman"/>
                <w:b/>
                <w:sz w:val="24"/>
              </w:rPr>
              <w:t>Engineering</w:t>
            </w:r>
            <w:r>
              <w:rPr>
                <w:rFonts w:ascii="Times New Roman" w:hAnsi="Times New Roman"/>
                <w:sz w:val="24"/>
              </w:rPr>
              <w:t xml:space="preserve"> deliverable, so the API/web application is extended continuously rather than only at the end.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Layout w:type="fixed"/>
              <w:tblCellMar>
                <w:top w:w="40" w:type="dxa"/>
                <w:bottom w:w="40" w:type="dxa"/>
                <w:left w:w="80" w:type="dxa"/>
                <w:right w:w="80" w:type="dxa"/>
              </w:tblCellMar>
              <w:tblLayout w:type="fixed"/>
            </w:tblPr>
            <w:tblGrid>
              <w:gridCol w:w="794"/>
              <w:gridCol w:w="6350"/>
              <w:gridCol w:w="2041"/>
            </w:tblGrid>
            <w:tr>
              <w:trPr>
                <w:cantSplit/>
                <w:tblHeader/>
              </w:trPr>
              <w:tc>
                <w:tcPr>
                  <w:tcW w:type="dxa" w:w="794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No.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Assignments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Timeline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Consolidate the pipeline; fix the evaluation protocol; reproduce baselines.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verify </w:t>
                  </w:r>
                  <w:r>
                    <w:rPr>
                      <w:rFonts w:ascii="Consolas" w:hAnsi="Consolas"/>
                      <w:sz w:val="21"/>
                    </w:rPr>
                    <w:t>/health</w:t>
                  </w:r>
                  <w:r>
                    <w:rPr>
                      <w:rFonts w:ascii="Times New Roman" w:hAnsi="Times New Roman"/>
                      <w:sz w:val="21"/>
                    </w:rPr>
                    <w:t>/</w:t>
                  </w:r>
                  <w:r>
                    <w:rPr>
                      <w:rFonts w:ascii="Consolas" w:hAnsi="Consolas"/>
                      <w:sz w:val="21"/>
                    </w:rPr>
                    <w:t>/meta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diagnostics; tag the architecture's starting version.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1–2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2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pattern-discovery families at h=5/20; document the hypothesis space.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register results in the </w:t>
                  </w:r>
                  <w:r>
                    <w:rPr>
                      <w:rFonts w:ascii="Consolas" w:hAnsi="Consolas"/>
                      <w:sz w:val="21"/>
                    </w:rPr>
                    <w:t>/models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registry.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3–4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MDES analysis for every negative finding; validate the funnel with negative controls.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add MDES to </w:t>
                  </w:r>
                  <w:r>
                    <w:rPr>
                      <w:rFonts w:ascii="Consolas" w:hAnsi="Consolas"/>
                      <w:sz w:val="21"/>
                    </w:rPr>
                    <w:t>/calibration</w:t>
                  </w:r>
                  <w:r>
                    <w:rPr>
                      <w:rFonts w:ascii="Times New Roman" w:hAnsi="Times New Roman"/>
                      <w:sz w:val="21"/>
                    </w:rPr>
                    <w:t>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5–6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Address tail-risk failures (two pairs, 99% VaR/ES); recalibrate h=20.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update </w:t>
                  </w:r>
                  <w:r>
                    <w:rPr>
                      <w:rFonts w:ascii="Consolas" w:hAnsi="Consolas"/>
                      <w:sz w:val="21"/>
                    </w:rPr>
                    <w:t>/risk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and </w:t>
                  </w:r>
                  <w:r>
                    <w:rPr>
                      <w:rFonts w:ascii="Consolas" w:hAnsi="Consolas"/>
                      <w:sz w:val="21"/>
                    </w:rPr>
                    <w:t>/forecast_next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fields.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7–8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Write up the completed exogenous/causal analysis, per axis.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expose causal-validation provenance as a read-only </w:t>
                  </w:r>
                  <w:r>
                    <w:rPr>
                      <w:rFonts w:ascii="Consolas" w:hAnsi="Consolas"/>
                      <w:sz w:val="21"/>
                    </w:rPr>
                    <w:t>/forecast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field.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9–10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End-to-end economic result after costs/slippage; evaluate the meta-labeling confidence layer as a candidate sizing adjustment.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extend </w:t>
                  </w:r>
                  <w:r>
                    <w:rPr>
                      <w:rFonts w:ascii="Consolas" w:hAnsi="Consolas"/>
                      <w:sz w:val="21"/>
                    </w:rPr>
                    <w:t>/journal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with rolling calibration.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Freeze the final configuration in writing; prepare the sealed-set record.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tag and freeze API schemas and the artefact version.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8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Open the sealed set once; score without retuning.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serve results through the same frozen endpoints.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9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the system: computation layer, versioned artefacts, API, UI with full provenance; verify continuous operation.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10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Analyse behaviour by regime/pair/year; document failure cases.</w:t>
                  </w:r>
                </w:p>
                <w:p>
                  <w:pPr>
                    <w:spacing w:after="20"/>
                    <w:jc w:val="left"/>
                  </w:pPr>
                  <w:r>
                    <w:rPr>
                      <w:rFonts w:ascii="Times New Roman" w:hAnsi="Times New Roman"/>
                      <w:sz w:val="21"/>
                    </w:rPr>
                    <w:t xml:space="preserve">– </w:t>
                  </w:r>
                  <w:r>
                    <w:rPr>
                      <w:rFonts w:ascii="Times New Roman" w:hAnsi="Times New Roman"/>
                      <w:b/>
                      <w:sz w:val="21"/>
                    </w:rPr>
                    <w:t>Eng:</w:t>
                  </w:r>
                  <w:r>
                    <w:rPr>
                      <w:rFonts w:ascii="Times New Roman" w:hAnsi="Times New Roman"/>
                      <w:sz w:val="21"/>
                    </w:rPr>
                    <w:t xml:space="preserve"> add regime/pair/year breakdowns to the UI.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794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11</w:t>
                  </w:r>
                </w:p>
              </w:tc>
              <w:tc>
                <w:tcPr>
                  <w:tcW w:type="dxa" w:w="6350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– Complete the thesis report; revise per feedback; prepare the defence.</w:t>
                  </w:r>
                </w:p>
              </w:tc>
              <w:tc>
                <w:tcPr>
                  <w:tcW w:type="dxa" w:w="2041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Week 16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Deferred / Future Work (Not Scheduled):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Causal-conditioned forecast overlay.</w:t>
            </w:r>
            <w:r>
              <w:rPr>
                <w:rFonts w:ascii="Times New Roman" w:hAnsi="Times New Roman"/>
                <w:sz w:val="24"/>
              </w:rPr>
              <w:t xml:space="preserve"> The VIX effect is robust (6/6 pairs), but overlaying it on the HAR forecast gave no significant QLIKE gain — deferred pending a better functional form.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Contemporaneous causal edges (PCMCI+, τ=0).</w:t>
            </w:r>
            <w:r>
              <w:rPr>
                <w:rFonts w:ascii="Times New Roman" w:hAnsi="Times New Roman"/>
                <w:sz w:val="24"/>
              </w:rPr>
              <w:t xml:space="preserve"> Sign-ambiguous edges inconsistent with the frozen lagged result — needs a larger sample or a nonlinear test.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Cross-pair volatility spillover (DYNOTEARS).</w:t>
            </w:r>
            <w:r>
              <w:rPr>
                <w:rFonts w:ascii="Times New Roman" w:hAnsi="Times New Roman"/>
                <w:sz w:val="24"/>
              </w:rPr>
              <w:t xml:space="preserve"> Real structure detected but does not improve test-set QLIKE as an added feature — not yet forecastable at a daily horizon.</w:t>
            </w:r>
          </w:p>
          <w:p>
            <w:pPr>
              <w:pStyle w:val="ListBullet"/>
              <w:spacing w:after="60"/>
              <w:ind w:left="454"/>
              <w:jc w:val="both"/>
            </w:pPr>
            <w:r>
              <w:rPr>
                <w:rFonts w:ascii="Times New Roman" w:hAnsi="Times New Roman"/>
                <w:b/>
                <w:sz w:val="24"/>
              </w:rPr>
              <w:t>FX-specific implied volatility (`EVZCLS`)</w:t>
            </w:r>
            <w:r>
              <w:rPr>
                <w:rFonts w:ascii="Times New Roman" w:hAnsi="Times New Roman"/>
                <w:sz w:val="24"/>
              </w:rPr>
              <w:t xml:space="preserve"> was discontinued in March 2025 and is unavailable.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sz w:val="24"/>
              </w:rPr>
              <w:t>None of the above blocks the sealed-set evaluation or system hardening in Weeks 12–15.</w:t>
            </w:r>
          </w:p>
        </w:tc>
      </w:tr>
      <w:tr>
        <w:tc>
          <w:tcPr>
            <w:tcW w:type="dxa" w:w="9973"/>
          </w:tcPr>
          <w:p>
            <w:pPr>
              <w:spacing w:after="100"/>
            </w:pPr>
            <w:r>
              <w:rPr>
                <w:rFonts w:ascii="Times New Roman" w:hAnsi="Times New Roman"/>
                <w:b/>
                <w:sz w:val="24"/>
              </w:rPr>
              <w:t>Work Assignment:</w:t>
            </w:r>
          </w:p>
          <w:p>
            <w:pPr>
              <w:spacing w:after="100"/>
              <w:ind w:firstLine="340"/>
              <w:jc w:val="both"/>
            </w:pPr>
            <w:r>
              <w:rPr>
                <w:rFonts w:ascii="Times New Roman" w:hAnsi="Times New Roman"/>
                <w:i/>
                <w:sz w:val="24"/>
              </w:rPr>
              <w:t>(Percentage split confirmed against actual division of labour, not the undifferentiated 50/50 the advisor rejected. Both members remain jointly responsible for the whole system.)</w:t>
            </w:r>
          </w:p>
          <w:tbl>
            <w:tblPr>
              <w:tblW w:type="auto" w:w="0"/>
              <w:jc w:val="center"/>
              <w:tblLook w:firstColumn="1" w:firstRow="1" w:lastColumn="0" w:lastRow="0" w:noHBand="0" w:noVBand="1" w:val="04A0"/>
              <w:tblBorders>
                <w:top w:val="single" w:sz="8" w:color="000000"/>
                <w:left w:val="single" w:sz="8" w:color="000000"/>
                <w:bottom w:val="single" w:sz="8" w:color="000000"/>
                <w:right w:val="single" w:sz="8" w:color="000000"/>
                <w:insideH w:val="single" w:sz="8" w:color="000000"/>
                <w:insideV w:val="single" w:sz="8" w:color="000000"/>
              </w:tblBorders>
              <w:tblLayout w:type="fixed"/>
              <w:tblCellMar>
                <w:top w:w="40" w:type="dxa"/>
                <w:bottom w:w="40" w:type="dxa"/>
                <w:left w:w="80" w:type="dxa"/>
                <w:right w:w="80" w:type="dxa"/>
              </w:tblCellMar>
              <w:tblLayout w:type="fixed"/>
            </w:tblPr>
            <w:tblGrid>
              <w:gridCol w:w="5329"/>
              <w:gridCol w:w="1928"/>
              <w:gridCol w:w="1928"/>
            </w:tblGrid>
            <w:tr>
              <w:trPr>
                <w:cantSplit/>
                <w:tblHeader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Assignments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Member A (Nguyen Quoc Huy)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b/>
                      <w:sz w:val="21"/>
                    </w:rPr>
                    <w:t>Member B (Huynh Tran Quoc Huy)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Review literature and define research scope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Construct the data pipeline and realized measures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Fix the evaluation protocol and sealed-set policy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and benchmark the volatility forecasting layer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pattern-discovery and symbolic-representation branch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multiple-testing control and stability screening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Conduct minimum detectable effect size and power analysis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exogenous, causal, and cross-asset information layers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conformal prediction and calibration diagnostics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Develop the risk layer: VaR/ES backtesting and position sizing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45%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Conduct the end-to-end economic evaluation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Execute the sealed-set validation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Design and implement the data pipeline scheduling and module contracts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35%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65%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the API layer (FastAPI routers, response schemas)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Implement the web application and its three deployment variants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30%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70%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Analyse failure cases and document limitations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Write and revise the thesis report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329"/>
                </w:tcPr>
                <w:p>
                  <w:pPr>
                    <w:spacing w:after="20"/>
                    <w:jc w:val="left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Prepare for the final defence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after="20"/>
                    <w:jc w:val="center"/>
                  </w:pPr>
                  <w:r/>
                  <w:r>
                    <w:rPr>
                      <w:rFonts w:ascii="Times New Roman" w:hAnsi="Times New Roman"/>
                      <w:sz w:val="21"/>
                    </w:rPr>
                    <w:t>50%</w:t>
                  </w:r>
                </w:p>
              </w:tc>
            </w:tr>
          </w:tbl>
          <w:p/>
          <w:p>
            <w:pPr>
              <w:spacing w:after="0" w:before="0"/>
            </w:pPr>
            <w:r>
              <w:rPr>
                <w:sz w:val="2"/>
              </w:rPr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left w:val="single" w:sz="8" w:color="000000"/>
          <w:bottom w:val="single" w:sz="8" w:color="000000"/>
          <w:right w:val="single" w:sz="8" w:color="000000"/>
          <w:insideH w:val="none" w:sz="0" w:color="000000"/>
          <w:insideV w:val="single" w:sz="8" w:color="000000"/>
        </w:tblBorders>
        <w:tblLayout w:type="fixed"/>
        <w:tblCellMar>
          <w:top w:w="110" w:type="dxa"/>
          <w:bottom w:w="110" w:type="dxa"/>
          <w:left w:w="110" w:type="dxa"/>
          <w:right w:w="110" w:type="dxa"/>
        </w:tblCellMar>
        <w:tblLayout w:type="fixed"/>
      </w:tblPr>
      <w:tblGrid>
        <w:gridCol w:w="4422"/>
        <w:gridCol w:w="4535"/>
      </w:tblGrid>
      <w:tr>
        <w:trPr>
          <w:cantSplit/>
        </w:trPr>
        <w:tc>
          <w:tcPr>
            <w:tcW w:type="dxa" w:w="4422"/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Advisor's approval</w:t>
            </w:r>
          </w:p>
          <w:p>
            <w:pPr>
              <w:spacing w:after="1040"/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</w:rPr>
              <w:t>(Signature and full name)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NGUYEN DINH THUAN</w:t>
            </w:r>
          </w:p>
        </w:tc>
        <w:tc>
          <w:tcPr>
            <w:tcW w:type="dxa" w:w="4535"/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Ho Chi Minh City, ... / ... / ......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Students</w:t>
            </w:r>
          </w:p>
          <w:p>
            <w:pPr>
              <w:spacing w:after="880"/>
              <w:jc w:val="center"/>
            </w:pPr>
            <w:r>
              <w:rPr>
                <w:rFonts w:ascii="Times New Roman" w:hAnsi="Times New Roman"/>
                <w:b w:val="0"/>
                <w:i/>
                <w:sz w:val="24"/>
              </w:rPr>
              <w:t>(Signatures and full names)</w:t>
            </w:r>
          </w:p>
          <w:p>
            <w:pPr>
              <w:spacing w:after="68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NGUYEN QUOC HUY</w:t>
            </w:r>
          </w:p>
          <w:p>
            <w:pPr>
              <w:spacing w:after="12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HUYNH TRAN QUOC HUY</w:t>
            </w:r>
          </w:p>
        </w:tc>
      </w:tr>
    </w:tbl>
    <w:sectPr w:rsidR="00FC693F" w:rsidRPr="0006063C" w:rsidSect="00034616"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