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color="000000"/>
          <w:left w:val="none" w:sz="0" w:color="000000"/>
          <w:bottom w:val="none" w:sz="0" w:color="000000"/>
          <w:right w:val="none" w:sz="0" w:color="000000"/>
          <w:insideH w:val="none" w:sz="0" w:color="000000"/>
          <w:insideV w:val="none" w:sz="0" w:color="000000"/>
        </w:tblBorders>
        <w:tblLayout w:type="fixed"/>
        <w:tblCellMar>
          <w:top w:w="0" w:type="dxa"/>
          <w:bottom w:w="0" w:type="dxa"/>
          <w:left w:w="0" w:type="dxa"/>
          <w:right w:w="0" w:type="dxa"/>
        </w:tblCellMar>
        <w:tblLayout w:type="fixed"/>
      </w:tblPr>
      <w:tblGrid>
        <w:gridCol w:w="5896"/>
        <w:gridCol w:w="3175"/>
      </w:tblGrid>
      <w:tr>
        <w:tc>
          <w:tcPr>
            <w:tcW w:type="dxa" w:w="5896"/>
          </w:tcPr>
          <w:p>
            <w:pPr>
              <w:spacing w:after="40"/>
              <w:jc w:val="center"/>
            </w:pPr>
            <w:r>
              <w:rPr>
                <w:rFonts w:ascii="Times New Roman" w:hAnsi="Times New Roman"/>
                <w:b/>
                <w:sz w:val="22"/>
              </w:rPr>
              <w:t>UNIVERSITY OF INFORMATION TECHNOLOGY</w:t>
            </w:r>
          </w:p>
          <w:p>
            <w:pPr>
              <w:spacing w:after="40"/>
              <w:jc w:val="center"/>
            </w:pPr>
            <w:r>
              <w:rPr>
                <w:rFonts w:ascii="Times New Roman" w:hAnsi="Times New Roman"/>
                <w:b/>
                <w:sz w:val="22"/>
              </w:rPr>
              <w:t>ADVANCED PROGRAM</w:t>
            </w:r>
          </w:p>
          <w:p>
            <w:pPr>
              <w:spacing w:after="40"/>
              <w:jc w:val="center"/>
              <w:pBdr>
                <w:bottom w:val="single" w:sz="8" w:space="2" w:color="000000"/>
              </w:pBdr>
            </w:pPr>
            <w:r>
              <w:rPr>
                <w:rFonts w:ascii="Times New Roman" w:hAnsi="Times New Roman"/>
                <w:b/>
                <w:sz w:val="22"/>
              </w:rPr>
              <w:t>IN INFORMATION SYSTEMS</w:t>
            </w:r>
          </w:p>
        </w:tc>
        <w:tc>
          <w:tcPr>
            <w:tcW w:type="dxa" w:w="3175"/>
          </w:tcPr>
          <w:p>
            <w:pPr>
              <w:jc w:val="right"/>
            </w:pPr>
            <w:r>
              <w:drawing>
                <wp:inline xmlns:a="http://schemas.openxmlformats.org/drawingml/2006/main" xmlns:pic="http://schemas.openxmlformats.org/drawingml/2006/picture">
                  <wp:extent cx="1655999" cy="578285"/>
                  <wp:docPr id="1" name="Picture 1"/>
                  <wp:cNvGraphicFramePr>
                    <a:graphicFrameLocks noChangeAspect="1"/>
                  </wp:cNvGraphicFramePr>
                  <a:graphic>
                    <a:graphicData uri="http://schemas.openxmlformats.org/drawingml/2006/picture">
                      <pic:pic>
                        <pic:nvPicPr>
                          <pic:cNvPr id="0" name="aep_logo.png"/>
                          <pic:cNvPicPr/>
                        </pic:nvPicPr>
                        <pic:blipFill>
                          <a:blip r:embed="rId9"/>
                          <a:stretch>
                            <a:fillRect/>
                          </a:stretch>
                        </pic:blipFill>
                        <pic:spPr>
                          <a:xfrm>
                            <a:off x="0" y="0"/>
                            <a:ext cx="1655999" cy="578285"/>
                          </a:xfrm>
                          <a:prstGeom prst="rect"/>
                        </pic:spPr>
                      </pic:pic>
                    </a:graphicData>
                  </a:graphic>
                </wp:inline>
              </w:drawing>
            </w:r>
          </w:p>
        </w:tc>
      </w:tr>
    </w:tbl>
    <w:p>
      <w:pPr>
        <w:spacing w:after="80"/>
      </w:pPr>
    </w:p>
    <w:p>
      <w:pPr>
        <w:spacing w:after="240"/>
        <w:jc w:val="center"/>
      </w:pPr>
      <w:r>
        <w:rPr>
          <w:rFonts w:ascii="Times New Roman" w:hAnsi="Times New Roman"/>
          <w:b/>
          <w:sz w:val="38"/>
        </w:rPr>
        <w:t>THESIS PROPOSAL</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none" w:sz="0" w:color="000000"/>
        </w:tblBorders>
        <w:tblCellMar>
          <w:top w:w="80" w:type="dxa"/>
          <w:bottom w:w="80" w:type="dxa"/>
          <w:left w:w="110" w:type="dxa"/>
          <w:right w:w="110" w:type="dxa"/>
        </w:tblCellMar>
      </w:tblPr>
      <w:tblGrid>
        <w:gridCol w:w="9973"/>
      </w:tblGrid>
      <w:tr>
        <w:tc>
          <w:tcPr>
            <w:tcW w:type="dxa" w:w="9973"/>
          </w:tcPr>
          <w:p>
            <w:pPr>
              <w:jc w:val="both"/>
            </w:pPr>
            <w:r>
              <w:rPr>
                <w:rFonts w:ascii="Times New Roman" w:hAnsi="Times New Roman"/>
                <w:b/>
                <w:sz w:val="24"/>
              </w:rPr>
              <w:t>THESIS TITLE: BUILDING A STATISTICALLY VALIDATED DECISION SUPPORT SYSTEM FOR FOREIGN EXCHANGE TRADING WITH CALIBRATED UNCERTAINTY AND RISK CONTROL</w:t>
            </w:r>
          </w:p>
        </w:tc>
      </w:tr>
      <w:tr>
        <w:tc>
          <w:tcPr>
            <w:tcW w:type="dxa" w:w="9973"/>
          </w:tcPr>
          <w:p>
            <w:r>
              <w:rPr>
                <w:rFonts w:ascii="Times New Roman" w:hAnsi="Times New Roman"/>
                <w:b/>
                <w:sz w:val="24"/>
              </w:rPr>
              <w:t xml:space="preserve">Advisor: </w:t>
            </w:r>
            <w:r>
              <w:rPr>
                <w:rFonts w:ascii="Times New Roman" w:hAnsi="Times New Roman"/>
                <w:sz w:val="24"/>
              </w:rPr>
              <w:t>ASSOCIATE PROFESSOR NGUYEN DINH THUAN</w:t>
            </w:r>
          </w:p>
        </w:tc>
      </w:tr>
      <w:tr>
        <w:tc>
          <w:tcPr>
            <w:tcW w:type="dxa" w:w="9973"/>
          </w:tcPr>
          <w:p>
            <w:r>
              <w:rPr>
                <w:rFonts w:ascii="Times New Roman" w:hAnsi="Times New Roman"/>
                <w:b/>
                <w:sz w:val="24"/>
              </w:rPr>
              <w:t xml:space="preserve">Implementation period: </w:t>
            </w:r>
            <w:r>
              <w:rPr>
                <w:rFonts w:ascii="Times New Roman" w:hAnsi="Times New Roman"/>
                <w:sz w:val="24"/>
              </w:rPr>
              <w:t>09/2026 to 12/2026 (16 weeks)</w:t>
            </w:r>
          </w:p>
        </w:tc>
      </w:tr>
      <w:tr>
        <w:tc>
          <w:tcPr>
            <w:tcW w:type="dxa" w:w="9973"/>
          </w:tcPr>
          <w:p>
            <w:r>
              <w:rPr>
                <w:rFonts w:ascii="Times New Roman" w:hAnsi="Times New Roman"/>
                <w:b/>
                <w:sz w:val="24"/>
              </w:rPr>
              <w:t>Students:</w:t>
            </w:r>
          </w:p>
          <w:p>
            <w:pPr>
              <w:spacing w:after="40"/>
              <w:ind w:left="680"/>
            </w:pPr>
            <w:r>
              <w:rPr>
                <w:rFonts w:ascii="Times New Roman" w:hAnsi="Times New Roman"/>
                <w:sz w:val="24"/>
              </w:rPr>
              <w:t>NGUYEN QUOC HUY – 22520566</w:t>
            </w:r>
          </w:p>
          <w:p>
            <w:pPr>
              <w:spacing w:after="40"/>
              <w:ind w:left="680"/>
            </w:pPr>
            <w:r>
              <w:rPr>
                <w:rFonts w:ascii="Times New Roman" w:hAnsi="Times New Roman"/>
                <w:sz w:val="24"/>
              </w:rPr>
              <w:t>HUYNH TRAN QUOC HUY – 22520544</w:t>
            </w:r>
          </w:p>
        </w:tc>
      </w:tr>
      <w:tr>
        <w:tc>
          <w:tcPr>
            <w:tcW w:type="dxa" w:w="9973"/>
          </w:tcPr>
          <w:p>
            <w:pPr>
              <w:spacing w:after="100"/>
            </w:pPr>
            <w:r>
              <w:rPr>
                <w:rFonts w:ascii="Times New Roman" w:hAnsi="Times New Roman"/>
                <w:b/>
                <w:sz w:val="24"/>
              </w:rPr>
              <w:t>Introduction:</w:t>
            </w:r>
          </w:p>
          <w:p>
            <w:pPr>
              <w:spacing w:after="100"/>
              <w:ind w:firstLine="340"/>
              <w:jc w:val="both"/>
            </w:pPr>
            <w:r>
              <w:rPr>
                <w:rFonts w:ascii="Times New Roman" w:hAnsi="Times New Roman"/>
                <w:sz w:val="24"/>
              </w:rPr>
              <w:t xml:space="preserve">The foreign exchange (FX) market is the largest and most liquid financial market in the world, and many decision-support tools marketed to retail participants display a directional forecast, chart-pattern signals, and a qualitative confidence label whose empirical foundation is weaker than their presentation suggests. Daily exchange-rate returns have resisted prediction since Meese and Rogoff [1], and large-scale replications of technical trading rules report that in-sample profitability largely disappears out of sample, with residual abnormal returns absorbed by a time-series momentum factor [2], [3]. The central difficulty is inference under a low signal-to-noise ratio combined with a large hypothesis space: a system that evaluates thousands of candidate rules will find many spurious relationships unless the hypothesis space is enumerated in advance and the family-wise error rate is controlled [4]–[6]. A related, less-addressed difficulty is that a negative finding is uninformative without its minimum detectable effect size (MDES) — otherwise "there is nothing there" and "the test could not have found it" are indistinguishable. Predictability is also not one property: the </w:t>
            </w:r>
            <w:r>
              <w:rPr>
                <w:rFonts w:ascii="Times New Roman" w:hAnsi="Times New Roman"/>
                <w:i/>
                <w:sz w:val="24"/>
              </w:rPr>
              <w:t>direction</w:t>
            </w:r>
            <w:r>
              <w:rPr>
                <w:rFonts w:ascii="Times New Roman" w:hAnsi="Times New Roman"/>
                <w:sz w:val="24"/>
              </w:rPr>
              <w:t xml:space="preserve"> and </w:t>
            </w:r>
            <w:r>
              <w:rPr>
                <w:rFonts w:ascii="Times New Roman" w:hAnsi="Times New Roman"/>
                <w:i/>
                <w:sz w:val="24"/>
              </w:rPr>
              <w:t>magnitude</w:t>
            </w:r>
            <w:r>
              <w:rPr>
                <w:rFonts w:ascii="Times New Roman" w:hAnsi="Times New Roman"/>
                <w:sz w:val="24"/>
              </w:rPr>
              <w:t xml:space="preserve"> axes have different empirical status — the HAR model of realized volatility [7]–[9] gives well-established magnitude forecasts while directional skill remains contested [10], [11] — so a decision support system should state explicitly which axis it claims skill on and demonstrate that under a fixed protocol.</w:t>
            </w:r>
          </w:p>
          <w:p>
            <w:pPr>
              <w:spacing w:after="100"/>
              <w:ind w:firstLine="340"/>
              <w:jc w:val="both"/>
            </w:pPr>
            <w:r>
              <w:rPr>
                <w:rFonts w:ascii="Times New Roman" w:hAnsi="Times New Roman"/>
                <w:sz w:val="24"/>
              </w:rPr>
              <w:t>Preliminary work by the group has established feasibility through three staged, pre-registered phases, each closed with a written decision record. A complete data pipeline covers six major pairs (EUR/USD, GBP/USD, USD/JPY, AUD/USD, USD/CAD, USD/CHF) over 2010–2025 (≈34.9 million one-minute bars); a production volatility layer, a three-class probability layer, and a risk layer run end to end through an operating web application updated on a daily schedule. The extended HAR specification attains a test-set QLIKE of 0.1585 versus 0.2172 for the prior baseline, and fourteen ML/DL alternatives plus 509 forecast combinations fail to displace it from the Model Confidence Set [12]. On the direction axis, 8,652 enumerated rule hypotheses across twelve discovery branches (price patterns and central-bank communication) yield zero survivors after family-wise error control, with measured detection power at a lift of 1.20. A further pre-registered ablation of exogenous macro/cross-asset variables under a causal-versus-validation feature-selection design is completed and frozen; its sealed-set evaluation was withheld because the pre-specified opening rule was not met.</w:t>
            </w:r>
          </w:p>
          <w:p>
            <w:pPr>
              <w:spacing w:after="100"/>
              <w:ind w:firstLine="340"/>
              <w:jc w:val="both"/>
            </w:pPr>
            <w:r>
              <w:rPr>
                <w:rFonts w:ascii="Times New Roman" w:hAnsi="Times New Roman"/>
                <w:sz w:val="24"/>
              </w:rPr>
              <w:t xml:space="preserve">This thesis therefore addresses a problem that is as much </w:t>
            </w:r>
            <w:r>
              <w:rPr>
                <w:rFonts w:ascii="Times New Roman" w:hAnsi="Times New Roman"/>
                <w:b/>
                <w:sz w:val="24"/>
              </w:rPr>
              <w:t>engineering</w:t>
            </w:r>
            <w:r>
              <w:rPr>
                <w:rFonts w:ascii="Times New Roman" w:hAnsi="Times New Roman"/>
                <w:sz w:val="24"/>
              </w:rPr>
              <w:t xml:space="preserve"> as it is statistical: constructing a decision support system whose every displayed number is traceable to a pre-registered measurement, states the axis on which it has skill, quantifies its negative findings, and is delivered as software that runs continuously rather than as a script for a report. The data pipeline, computation layer, API, and web application (Proposed Method and System Architecture) are a primary deliverable, developed across the full sixteen weeks rather than assembled at the end. The remaining research work is a small number of explicitly identified residual validation items, the single sealed-set evaluation, and system hardening.</w:t>
            </w:r>
          </w:p>
        </w:tc>
      </w:tr>
      <w:tr>
        <w:tc>
          <w:tcPr>
            <w:tcW w:type="dxa" w:w="9973"/>
          </w:tcPr>
          <w:p>
            <w:pPr>
              <w:spacing w:after="100"/>
            </w:pPr>
            <w:r>
              <w:rPr>
                <w:rFonts w:ascii="Times New Roman" w:hAnsi="Times New Roman"/>
                <w:b/>
                <w:sz w:val="24"/>
              </w:rPr>
              <w:t>Market Survey:</w:t>
            </w:r>
          </w:p>
          <w:p>
            <w:pPr>
              <w:spacing w:after="100"/>
              <w:ind w:firstLine="340"/>
              <w:jc w:val="both"/>
            </w:pPr>
            <w:r>
              <w:rPr>
                <w:rFonts w:ascii="Times New Roman" w:hAnsi="Times New Roman"/>
                <w:sz w:val="24"/>
              </w:rPr>
              <w:t xml:space="preserve">The group surveyed existing retail FX decision-support tools so the contribution below is stated relative to what exists, not in the abstract. </w:t>
            </w:r>
            <w:r>
              <w:rPr>
                <w:rFonts w:ascii="Times New Roman" w:hAnsi="Times New Roman"/>
                <w:b/>
                <w:sz w:val="24"/>
              </w:rPr>
              <w:t>Signal marketplaces</w:t>
            </w:r>
            <w:r>
              <w:rPr>
                <w:rFonts w:ascii="Times New Roman" w:hAnsi="Times New Roman"/>
                <w:sz w:val="24"/>
              </w:rPr>
              <w:t xml:space="preserve"> (MQL5/MetaTrader, TradingView public scripts) publish a track record from the vendor's own in-sample selection, with no pre-registered protocol or multiple-testing correction across the many scripts a user browses. </w:t>
            </w:r>
            <w:r>
              <w:rPr>
                <w:rFonts w:ascii="Times New Roman" w:hAnsi="Times New Roman"/>
                <w:b/>
                <w:sz w:val="24"/>
              </w:rPr>
              <w:t>Portfolio-analytics services</w:t>
            </w:r>
            <w:r>
              <w:rPr>
                <w:rFonts w:ascii="Times New Roman" w:hAnsi="Times New Roman"/>
                <w:sz w:val="24"/>
              </w:rPr>
              <w:t xml:space="preserve"> (Myfxbook, FX Blue) report realized trade statistics but no forward-looking calibrated probabilities or backtested risk figures. </w:t>
            </w:r>
            <w:r>
              <w:rPr>
                <w:rFonts w:ascii="Times New Roman" w:hAnsi="Times New Roman"/>
                <w:b/>
                <w:sz w:val="24"/>
              </w:rPr>
              <w:t>Broker "confidence"/"sentiment" widgets</w:t>
            </w:r>
            <w:r>
              <w:rPr>
                <w:rFonts w:ascii="Times New Roman" w:hAnsi="Times New Roman"/>
                <w:sz w:val="24"/>
              </w:rPr>
              <w:t xml:space="preserve"> attach a qualitative label with no proper scoring rule or calibration diagnostic. None discloses the hypothesis space searched, the multiple-testing correction applied, a calibration guarantee, or a quantified probability of ruin — properties missing from applied decision support systems generally [27]. This gap, not a claim of superior directional accuracy, is what the proposed system targets.</w:t>
            </w:r>
          </w:p>
        </w:tc>
      </w:tr>
      <w:tr>
        <w:tc>
          <w:tcPr>
            <w:tcW w:type="dxa" w:w="9973"/>
          </w:tcPr>
          <w:p>
            <w:pPr>
              <w:spacing w:after="100"/>
            </w:pPr>
            <w:r>
              <w:rPr>
                <w:rFonts w:ascii="Times New Roman" w:hAnsi="Times New Roman"/>
                <w:b/>
                <w:sz w:val="24"/>
              </w:rPr>
              <w:t>Research Objectives:</w:t>
            </w:r>
          </w:p>
          <w:p>
            <w:pPr>
              <w:spacing w:after="100"/>
              <w:ind w:firstLine="340"/>
              <w:jc w:val="both"/>
            </w:pPr>
            <w:r>
              <w:rPr>
                <w:rFonts w:ascii="Times New Roman" w:hAnsi="Times New Roman"/>
                <w:sz w:val="24"/>
              </w:rPr>
              <w:t>The primary objective is to design, implement, and empirically validate a decision support system for FX trading in which forecast skill is established per target axis under strict multiple-testing control, uncertainty is communicated through calibrated conformal prediction, and position sizing is constrained by an estimated probability of ruin.</w:t>
            </w:r>
          </w:p>
          <w:p>
            <w:pPr>
              <w:spacing w:after="100"/>
              <w:ind w:firstLine="340"/>
              <w:jc w:val="both"/>
            </w:pPr>
            <w:r>
              <w:rPr>
                <w:rFonts w:ascii="Times New Roman" w:hAnsi="Times New Roman"/>
                <w:sz w:val="24"/>
              </w:rPr>
              <w:t xml:space="preserve">Three groups of quantities are kept conceptually distinct throughout: </w:t>
            </w:r>
            <w:r>
              <w:rPr>
                <w:rFonts w:ascii="Times New Roman" w:hAnsi="Times New Roman"/>
                <w:b/>
                <w:sz w:val="24"/>
              </w:rPr>
              <w:t>predictive axes</w:t>
            </w:r>
            <w:r>
              <w:rPr>
                <w:rFonts w:ascii="Times New Roman" w:hAnsi="Times New Roman"/>
                <w:sz w:val="24"/>
              </w:rPr>
              <w:t xml:space="preserve"> (direction, magnitude, tail-event probability, each scored against its own baseline), </w:t>
            </w:r>
            <w:r>
              <w:rPr>
                <w:rFonts w:ascii="Times New Roman" w:hAnsi="Times New Roman"/>
                <w:b/>
                <w:sz w:val="24"/>
              </w:rPr>
              <w:t>calibration diagnostics</w:t>
            </w:r>
            <w:r>
              <w:rPr>
                <w:rFonts w:ascii="Times New Roman" w:hAnsi="Times New Roman"/>
                <w:sz w:val="24"/>
              </w:rPr>
              <w:t xml:space="preserve"> (coverage and reliability), and the </w:t>
            </w:r>
            <w:r>
              <w:rPr>
                <w:rFonts w:ascii="Times New Roman" w:hAnsi="Times New Roman"/>
                <w:b/>
                <w:sz w:val="24"/>
              </w:rPr>
              <w:t>decision layer</w:t>
            </w:r>
            <w:r>
              <w:rPr>
                <w:rFonts w:ascii="Times New Roman" w:hAnsi="Times New Roman"/>
                <w:sz w:val="24"/>
              </w:rPr>
              <w:t xml:space="preserve"> (VaR, ES, stop-out probability, position sizing).</w:t>
            </w:r>
          </w:p>
          <w:p>
            <w:pPr>
              <w:spacing w:after="100"/>
              <w:ind w:firstLine="340"/>
              <w:jc w:val="both"/>
            </w:pPr>
            <w:r>
              <w:rPr>
                <w:rFonts w:ascii="Times New Roman" w:hAnsi="Times New Roman"/>
                <w:sz w:val="24"/>
              </w:rPr>
              <w:t>Specific objectives:</w:t>
            </w:r>
          </w:p>
          <w:p>
            <w:pPr>
              <w:pStyle w:val="ListBullet"/>
              <w:spacing w:after="60"/>
              <w:ind w:left="454"/>
              <w:jc w:val="both"/>
            </w:pPr>
            <w:r>
              <w:rPr>
                <w:rFonts w:ascii="Times New Roman" w:hAnsi="Times New Roman"/>
                <w:b/>
                <w:sz w:val="24"/>
              </w:rPr>
              <w:t>Establishing axis-specific predictability.</w:t>
            </w:r>
            <w:r>
              <w:rPr>
                <w:rFonts w:ascii="Times New Roman" w:hAnsi="Times New Roman"/>
                <w:sz w:val="24"/>
              </w:rPr>
              <w:t xml:space="preserve"> Determine, under one fixed protocol, on which axis — direction, magnitude, or risk — out-of-sample skill exists for daily FX, reported separately per axis.</w:t>
            </w:r>
          </w:p>
          <w:p>
            <w:pPr>
              <w:pStyle w:val="ListBullet"/>
              <w:spacing w:after="60"/>
              <w:ind w:left="454"/>
              <w:jc w:val="both"/>
            </w:pPr>
            <w:r>
              <w:rPr>
                <w:rFonts w:ascii="Times New Roman" w:hAnsi="Times New Roman"/>
                <w:b/>
                <w:sz w:val="24"/>
              </w:rPr>
              <w:t>Benchmarking model complexity against a well-specified econometric baseline.</w:t>
            </w:r>
            <w:r>
              <w:rPr>
                <w:rFonts w:ascii="Times New Roman" w:hAnsi="Times New Roman"/>
                <w:sz w:val="24"/>
              </w:rPr>
              <w:t xml:space="preserve"> Compare linear HAR-type specifications with tree-based, recurrent, attention-based, and foundation-model alternatives, and systematic forecast combinations, under proper scoring rules and formal comparison tests.</w:t>
            </w:r>
          </w:p>
          <w:p>
            <w:pPr>
              <w:pStyle w:val="ListBullet"/>
              <w:spacing w:after="60"/>
              <w:ind w:left="454"/>
              <w:jc w:val="both"/>
            </w:pPr>
            <w:r>
              <w:rPr>
                <w:rFonts w:ascii="Times New Roman" w:hAnsi="Times New Roman"/>
                <w:b/>
                <w:sz w:val="24"/>
              </w:rPr>
              <w:t>Quantifying the incremental value of additional information layers.</w:t>
            </w:r>
            <w:r>
              <w:rPr>
                <w:rFonts w:ascii="Times New Roman" w:hAnsi="Times New Roman"/>
                <w:sz w:val="24"/>
              </w:rPr>
              <w:t xml:space="preserve"> Evaluate whether central-bank text, exogenous macro/cross-asset variables, and candlestick geometry [26] add predictive value, and whether causal filtering outperforms ordinary feature selection.</w:t>
            </w:r>
          </w:p>
          <w:p>
            <w:pPr>
              <w:pStyle w:val="ListBullet"/>
              <w:spacing w:after="60"/>
              <w:ind w:left="454"/>
              <w:jc w:val="both"/>
            </w:pPr>
            <w:r>
              <w:rPr>
                <w:rFonts w:ascii="Times New Roman" w:hAnsi="Times New Roman"/>
                <w:b/>
                <w:sz w:val="24"/>
              </w:rPr>
              <w:t>Delivering calibrated uncertainty.</w:t>
            </w:r>
            <w:r>
              <w:rPr>
                <w:rFonts w:ascii="Times New Roman" w:hAnsi="Times New Roman"/>
                <w:sz w:val="24"/>
              </w:rPr>
              <w:t xml:space="preserve"> Implement and validate adaptive conformal prediction for target coverage under distribution shift, verified empirically and by regime, with proper scoring rules and reliability diagnostics.</w:t>
            </w:r>
          </w:p>
          <w:p>
            <w:pPr>
              <w:pStyle w:val="ListBullet"/>
              <w:spacing w:after="60"/>
              <w:ind w:left="454"/>
              <w:jc w:val="both"/>
            </w:pPr>
            <w:r>
              <w:rPr>
                <w:rFonts w:ascii="Times New Roman" w:hAnsi="Times New Roman"/>
                <w:b/>
                <w:sz w:val="24"/>
              </w:rPr>
              <w:t>Converting forecasts into risk-controlled decisions.</w:t>
            </w:r>
            <w:r>
              <w:rPr>
                <w:rFonts w:ascii="Times New Roman" w:hAnsi="Times New Roman"/>
                <w:sz w:val="24"/>
              </w:rPr>
              <w:t xml:space="preserve"> Produce a per-session decision record: forecast volatility, stop distance, stop-out probability by horizon, VaR/ES with formal backtests, and a ruin-constrained position size adjusted for portfolio correlation and slippage.</w:t>
            </w:r>
          </w:p>
          <w:p>
            <w:pPr>
              <w:pStyle w:val="ListBullet"/>
              <w:spacing w:after="60"/>
              <w:ind w:left="454"/>
              <w:jc w:val="both"/>
            </w:pPr>
            <w:r>
              <w:rPr>
                <w:rFonts w:ascii="Times New Roman" w:hAnsi="Times New Roman"/>
                <w:b/>
                <w:sz w:val="24"/>
              </w:rPr>
              <w:t>Reporting negative findings with quantified power.</w:t>
            </w:r>
            <w:r>
              <w:rPr>
                <w:rFonts w:ascii="Times New Roman" w:hAnsi="Times New Roman"/>
                <w:sz w:val="24"/>
              </w:rPr>
              <w:t xml:space="preserve"> Report the MDES for every negative result, so each negative claim is bounded rather than open-ended.</w:t>
            </w:r>
          </w:p>
          <w:p>
            <w:pPr>
              <w:pStyle w:val="ListBullet"/>
              <w:spacing w:after="60"/>
              <w:ind w:left="454"/>
              <w:jc w:val="both"/>
            </w:pPr>
            <w:r>
              <w:rPr>
                <w:rFonts w:ascii="Times New Roman" w:hAnsi="Times New Roman"/>
                <w:b/>
                <w:sz w:val="24"/>
              </w:rPr>
              <w:t>Engineering and operating a production decision support architecture.</w:t>
            </w:r>
            <w:r>
              <w:rPr>
                <w:rFonts w:ascii="Times New Roman" w:hAnsi="Times New Roman"/>
                <w:sz w:val="24"/>
              </w:rPr>
              <w:t xml:space="preserve"> Design, implement, and extend — throughout the sixteen weeks rather than only at the end — a five-layer software architecture (data pipeline, computation layer, versioned forecast artefacts, a documented API, and a web application) so every research layer is integrated as soon as it is completed and every displayed number stays traceable to its measurement (Proposed Method and System Architecture).</w:t>
            </w:r>
          </w:p>
        </w:tc>
      </w:tr>
      <w:tr>
        <w:tc>
          <w:tcPr>
            <w:tcW w:type="dxa" w:w="9973"/>
          </w:tcPr>
          <w:p>
            <w:pPr>
              <w:spacing w:after="100"/>
            </w:pPr>
            <w:r>
              <w:rPr>
                <w:rFonts w:ascii="Times New Roman" w:hAnsi="Times New Roman"/>
                <w:b/>
                <w:sz w:val="24"/>
              </w:rPr>
              <w:t>Research Scope:</w:t>
            </w:r>
          </w:p>
          <w:p>
            <w:pPr>
              <w:spacing w:after="100"/>
              <w:ind w:firstLine="340"/>
              <w:jc w:val="both"/>
            </w:pPr>
            <w:r>
              <w:rPr>
                <w:rFonts w:ascii="Times New Roman" w:hAnsi="Times New Roman"/>
                <w:sz w:val="24"/>
              </w:rPr>
              <w:t xml:space="preserve">This research focuses on </w:t>
            </w:r>
            <w:r>
              <w:rPr>
                <w:rFonts w:ascii="Times New Roman" w:hAnsi="Times New Roman"/>
                <w:b/>
                <w:sz w:val="24"/>
              </w:rPr>
              <w:t>daily-horizon decision support for six major USD pairs</w:t>
            </w:r>
            <w:r>
              <w:rPr>
                <w:rFonts w:ascii="Times New Roman" w:hAnsi="Times New Roman"/>
                <w:sz w:val="24"/>
              </w:rPr>
              <w:t>: EUR/USD, GBP/USD, USD/JPY, AUD/USD, USD/CAD, USD/CHF. The development sample (2010–2025) is split into training, validation (model/hyper-parameter selection only), and a held-out development-test segment scored once, distinct from the sealed set below.</w:t>
            </w:r>
          </w:p>
          <w:p>
            <w:pPr>
              <w:spacing w:after="100"/>
              <w:ind w:firstLine="340"/>
              <w:jc w:val="both"/>
            </w:pPr>
            <w:r>
              <w:rPr>
                <w:rFonts w:ascii="Times New Roman" w:hAnsi="Times New Roman"/>
                <w:sz w:val="24"/>
              </w:rPr>
              <w:t xml:space="preserve">A </w:t>
            </w:r>
            <w:r>
              <w:rPr>
                <w:rFonts w:ascii="Times New Roman" w:hAnsi="Times New Roman"/>
                <w:b/>
                <w:sz w:val="24"/>
              </w:rPr>
              <w:t>sealed evaluation set</w:t>
            </w:r>
            <w:r>
              <w:rPr>
                <w:rFonts w:ascii="Times New Roman" w:hAnsi="Times New Roman"/>
                <w:sz w:val="24"/>
              </w:rPr>
              <w:t xml:space="preserve"> — six cross pairs never used in development (EUR/GBP, EUR/JPY, GBP/JPY, AUD/JPY, EUR/CHF, NZD/USD) plus 2026 data for all twelve pairs as available at a pre-specified cutoff — is opened exactly once after the final configuration is frozen in writing, with no retuning afterward. Because the sealed set includes calendar year 2026 while the study concludes before that year ends, "2026" means whatever the continuously operating daily pipeline has collected by the cutoff, not the completed year.</w:t>
            </w:r>
          </w:p>
          <w:p>
            <w:pPr>
              <w:spacing w:after="100"/>
              <w:ind w:firstLine="340"/>
              <w:jc w:val="both"/>
            </w:pPr>
            <w:r>
              <w:rPr>
                <w:rFonts w:ascii="Times New Roman" w:hAnsi="Times New Roman"/>
                <w:sz w:val="24"/>
              </w:rPr>
              <w:t>The primary source is one-minute historical bar data, from which daily bars and five-minute realized measures (variance, quarticity, bipower variation, signed semivariances) are computed. Supplementary sources: the central-bank/macro release calendar, daily exogenous series from a public economic data service, monetary-policy surprise measures, interest-rate differentials, and tick-derived transaction-cost measurements.</w:t>
            </w:r>
          </w:p>
          <w:p>
            <w:pPr>
              <w:spacing w:after="100"/>
              <w:ind w:firstLine="340"/>
              <w:jc w:val="both"/>
            </w:pPr>
            <w:r>
              <w:rPr>
                <w:rFonts w:ascii="Times New Roman" w:hAnsi="Times New Roman"/>
                <w:sz w:val="24"/>
              </w:rPr>
              <w:t xml:space="preserve">Forecast horizons are one, five, and twenty sessions, with one session the operational default; longer horizons are reported with their measured skill rather than presented as equivalent. The study explicitly does </w:t>
            </w:r>
            <w:r>
              <w:rPr>
                <w:rFonts w:ascii="Times New Roman" w:hAnsi="Times New Roman"/>
                <w:b/>
                <w:sz w:val="24"/>
              </w:rPr>
              <w:t>not</w:t>
            </w:r>
            <w:r>
              <w:rPr>
                <w:rFonts w:ascii="Times New Roman" w:hAnsi="Times New Roman"/>
                <w:sz w:val="24"/>
              </w:rPr>
              <w:t xml:space="preserve"> attempt a profitable automated trading strategy — order execution, microstructure, market impact, sub-daily timing, and cross-asset portfolio optimisation are out of scope. Causality claims are limited to temporal predictive relationships in the Granger sense, not structural causal claims.</w:t>
            </w:r>
          </w:p>
        </w:tc>
      </w:tr>
      <w:tr>
        <w:tc>
          <w:tcPr>
            <w:tcW w:type="dxa" w:w="9973"/>
          </w:tcPr>
          <w:p>
            <w:pPr>
              <w:spacing w:after="100"/>
            </w:pPr>
            <w:r>
              <w:rPr>
                <w:rFonts w:ascii="Times New Roman" w:hAnsi="Times New Roman"/>
                <w:b/>
                <w:sz w:val="24"/>
              </w:rPr>
              <w:t>Research Subjects:</w:t>
            </w:r>
          </w:p>
          <w:p>
            <w:pPr>
              <w:spacing w:after="100"/>
              <w:ind w:firstLine="340"/>
              <w:jc w:val="both"/>
            </w:pPr>
            <w:r>
              <w:rPr>
                <w:rFonts w:ascii="Times New Roman" w:hAnsi="Times New Roman"/>
                <w:sz w:val="24"/>
              </w:rPr>
              <w:t xml:space="preserve">The primary research subject is </w:t>
            </w:r>
            <w:r>
              <w:rPr>
                <w:rFonts w:ascii="Times New Roman" w:hAnsi="Times New Roman"/>
                <w:b/>
                <w:sz w:val="24"/>
              </w:rPr>
              <w:t>the statistical validation of decision support outputs for foreign exchange trading under a low signal-to-noise ratio</w:t>
            </w:r>
            <w:r>
              <w:rPr>
                <w:rFonts w:ascii="Times New Roman" w:hAnsi="Times New Roman"/>
                <w:sz w:val="24"/>
              </w:rPr>
              <w:t>.</w:t>
            </w:r>
          </w:p>
          <w:p>
            <w:pPr>
              <w:spacing w:after="100"/>
              <w:ind w:firstLine="340"/>
              <w:jc w:val="both"/>
            </w:pPr>
            <w:r>
              <w:rPr>
                <w:rFonts w:ascii="Times New Roman" w:hAnsi="Times New Roman"/>
                <w:sz w:val="24"/>
              </w:rPr>
              <w:t>The study examines how forecast skill is attributed to a target axis and an information layer; how multiple-testing control, power analysis, leakage protection, and sealed-set validation combine to produce claims that survive replication; how calibrated forecasts and conformal sets convert into risk limits with a measured probability of ruin; and how this evidence should be presented so a user can distinguish what the system measures from what it merely assumes.</w:t>
            </w:r>
          </w:p>
        </w:tc>
      </w:tr>
      <w:tr>
        <w:tc>
          <w:tcPr>
            <w:tcW w:type="dxa" w:w="9973"/>
          </w:tcPr>
          <w:p>
            <w:pPr>
              <w:spacing w:after="100"/>
            </w:pPr>
            <w:r>
              <w:rPr>
                <w:rFonts w:ascii="Times New Roman" w:hAnsi="Times New Roman"/>
                <w:b/>
                <w:sz w:val="24"/>
              </w:rPr>
              <w:t>Proposed Method and System Architecture:</w:t>
            </w:r>
          </w:p>
          <w:p>
            <w:pPr>
              <w:spacing w:after="100"/>
              <w:ind w:firstLine="340"/>
              <w:jc w:val="both"/>
            </w:pPr>
            <w:r>
              <w:rPr>
                <w:rFonts w:ascii="Times New Roman" w:hAnsi="Times New Roman"/>
                <w:sz w:val="24"/>
              </w:rPr>
              <w:t xml:space="preserve">This section states what is proposed, labelling each item </w:t>
            </w:r>
            <w:r>
              <w:rPr>
                <w:rFonts w:ascii="Times New Roman" w:hAnsi="Times New Roman"/>
                <w:b/>
                <w:sz w:val="24"/>
              </w:rPr>
              <w:t>(implemented)</w:t>
            </w:r>
            <w:r>
              <w:rPr>
                <w:rFonts w:ascii="Times New Roman" w:hAnsi="Times New Roman"/>
                <w:sz w:val="24"/>
              </w:rPr>
              <w:t xml:space="preserve"> or </w:t>
            </w:r>
            <w:r>
              <w:rPr>
                <w:rFonts w:ascii="Times New Roman" w:hAnsi="Times New Roman"/>
                <w:b/>
                <w:sz w:val="24"/>
              </w:rPr>
              <w:t>(proposed)</w:t>
            </w:r>
            <w:r>
              <w:rPr>
                <w:rFonts w:ascii="Times New Roman" w:hAnsi="Times New Roman"/>
                <w:sz w:val="24"/>
              </w:rPr>
              <w:t xml:space="preserve"> to distinguish components already frozen from remaining work; nothing here is presented as finished until it appears with measured numbers in Expected Results or the defended thesis.</w:t>
            </w:r>
          </w:p>
          <w:p>
            <w:pPr>
              <w:spacing w:before="140" w:after="60"/>
            </w:pPr>
            <w:r>
              <w:rPr>
                <w:rFonts w:ascii="Times New Roman" w:hAnsi="Times New Roman"/>
                <w:b/>
                <w:i/>
                <w:sz w:val="24"/>
              </w:rPr>
              <w:t>Proposed Predictive and Risk Layers</w:t>
            </w:r>
          </w:p>
          <w:p>
            <w:pPr>
              <w:pStyle w:val="ListBullet"/>
              <w:spacing w:after="60"/>
              <w:ind w:left="454"/>
              <w:jc w:val="both"/>
            </w:pPr>
            <w:r>
              <w:rPr>
                <w:rFonts w:ascii="Times New Roman" w:hAnsi="Times New Roman"/>
                <w:b/>
                <w:sz w:val="24"/>
              </w:rPr>
              <w:t>Magnitude model — extended HAR.</w:t>
            </w:r>
            <w:r>
              <w:rPr>
                <w:rFonts w:ascii="Times New Roman" w:hAnsi="Times New Roman"/>
                <w:sz w:val="24"/>
              </w:rPr>
              <w:t xml:space="preserve"> </w:t>
            </w:r>
            <w:r>
              <w:rPr>
                <w:rFonts w:ascii="Times New Roman" w:hAnsi="Times New Roman"/>
                <w:i/>
                <w:sz w:val="24"/>
              </w:rPr>
              <w:t>(implemented)</w:t>
            </w:r>
            <w:r>
              <w:rPr>
                <w:rFonts w:ascii="Times New Roman" w:hAnsi="Times New Roman"/>
                <w:sz w:val="24"/>
              </w:rPr>
              <w:t xml:space="preserve"> A heterogeneous-autoregressive specification on realized variance [7], extended with measurement-error correction [8] and jump/semivariance decomposition [9], selected over fourteen ML/DL challengers and 509 combinations under the Model Confidence Set [12].</w:t>
            </w:r>
          </w:p>
          <w:p>
            <w:pPr>
              <w:pStyle w:val="ListBullet"/>
              <w:spacing w:after="60"/>
              <w:ind w:left="454"/>
              <w:jc w:val="both"/>
            </w:pPr>
            <w:r>
              <w:rPr>
                <w:rFonts w:ascii="Times New Roman" w:hAnsi="Times New Roman"/>
                <w:b/>
                <w:sz w:val="24"/>
              </w:rPr>
              <w:t>Direction/probability model — online expert combination.</w:t>
            </w:r>
            <w:r>
              <w:rPr>
                <w:rFonts w:ascii="Times New Roman" w:hAnsi="Times New Roman"/>
                <w:sz w:val="24"/>
              </w:rPr>
              <w:t xml:space="preserve"> </w:t>
            </w:r>
            <w:r>
              <w:rPr>
                <w:rFonts w:ascii="Times New Roman" w:hAnsi="Times New Roman"/>
                <w:i/>
                <w:sz w:val="24"/>
              </w:rPr>
              <w:t>(implemented)</w:t>
            </w:r>
            <w:r>
              <w:rPr>
                <w:rFonts w:ascii="Times New Roman" w:hAnsi="Times New Roman"/>
                <w:sz w:val="24"/>
              </w:rPr>
              <w:t xml:space="preserve"> A Hedge-style combination [13] of four sub-models (climatology, persistence, σ̂-only, σ̂+regime), re-weighted every session; challenged by regularised linear, tree, recurrent, attention, and foundation-model alternatives.</w:t>
            </w:r>
          </w:p>
          <w:p>
            <w:pPr>
              <w:pStyle w:val="ListBullet"/>
              <w:spacing w:after="60"/>
              <w:ind w:left="454"/>
              <w:jc w:val="both"/>
            </w:pPr>
            <w:r>
              <w:rPr>
                <w:rFonts w:ascii="Times New Roman" w:hAnsi="Times New Roman"/>
                <w:b/>
                <w:sz w:val="24"/>
              </w:rPr>
              <w:t>Causal discovery module.</w:t>
            </w:r>
            <w:r>
              <w:rPr>
                <w:rFonts w:ascii="Times New Roman" w:hAnsi="Times New Roman"/>
                <w:sz w:val="24"/>
              </w:rPr>
              <w:t xml:space="preserve"> </w:t>
            </w:r>
            <w:r>
              <w:rPr>
                <w:rFonts w:ascii="Times New Roman" w:hAnsi="Times New Roman"/>
                <w:i/>
                <w:sz w:val="24"/>
              </w:rPr>
              <w:t>(implemented — validation role; forecast-integration tested and deferred)</w:t>
            </w:r>
            <w:r>
              <w:rPr>
                <w:rFonts w:ascii="Times New Roman" w:hAnsi="Times New Roman"/>
                <w:sz w:val="24"/>
              </w:rPr>
              <w:t xml:space="preserve"> Five triangulated methods decide which exogenous variable is trusted; using the estimated effect to adjust the forecast directly was tested and found not yet effective (below; Deferred / Future Work).</w:t>
            </w:r>
          </w:p>
          <w:p>
            <w:pPr>
              <w:pStyle w:val="ListBullet"/>
              <w:spacing w:after="60"/>
              <w:ind w:left="454"/>
              <w:jc w:val="both"/>
            </w:pPr>
            <w:r>
              <w:rPr>
                <w:rFonts w:ascii="Times New Roman" w:hAnsi="Times New Roman"/>
                <w:b/>
                <w:sz w:val="24"/>
              </w:rPr>
              <w:t>Calibration — Mondrian-stratified adaptive conformal inference.</w:t>
            </w:r>
            <w:r>
              <w:rPr>
                <w:rFonts w:ascii="Times New Roman" w:hAnsi="Times New Roman"/>
                <w:sz w:val="24"/>
              </w:rPr>
              <w:t xml:space="preserve"> </w:t>
            </w:r>
            <w:r>
              <w:rPr>
                <w:rFonts w:ascii="Times New Roman" w:hAnsi="Times New Roman"/>
                <w:i/>
                <w:sz w:val="24"/>
              </w:rPr>
              <w:t>(implemented)</w:t>
            </w:r>
            <w:r>
              <w:rPr>
                <w:rFonts w:ascii="Times New Roman" w:hAnsi="Times New Roman"/>
                <w:sz w:val="24"/>
              </w:rPr>
              <w:t xml:space="preserve"> ACI [19] stratified by volatility regime [20], 1.2-point maximum calibration deviation versus 2.4–3.2 for four alternatives. </w:t>
            </w:r>
            <w:r>
              <w:rPr>
                <w:rFonts w:ascii="Times New Roman" w:hAnsi="Times New Roman"/>
                <w:i/>
                <w:sz w:val="24"/>
              </w:rPr>
              <w:t>(proposed)</w:t>
            </w:r>
            <w:r>
              <w:rPr>
                <w:rFonts w:ascii="Times New Roman" w:hAnsi="Times New Roman"/>
                <w:sz w:val="24"/>
              </w:rPr>
              <w:t xml:space="preserve"> A PID-controller-based online update [30] is evaluated as a candidate refinement for the below-target coverage observed during drawdown.</w:t>
            </w:r>
          </w:p>
          <w:p>
            <w:pPr>
              <w:pStyle w:val="ListBullet"/>
              <w:spacing w:after="60"/>
              <w:ind w:left="454"/>
              <w:jc w:val="both"/>
            </w:pPr>
            <w:r>
              <w:rPr>
                <w:rFonts w:ascii="Times New Roman" w:hAnsi="Times New Roman"/>
                <w:b/>
                <w:sz w:val="24"/>
              </w:rPr>
              <w:t>Risk/decision module.</w:t>
            </w:r>
            <w:r>
              <w:rPr>
                <w:rFonts w:ascii="Times New Roman" w:hAnsi="Times New Roman"/>
                <w:sz w:val="24"/>
              </w:rPr>
              <w:t xml:space="preserve"> </w:t>
            </w:r>
            <w:r>
              <w:rPr>
                <w:rFonts w:ascii="Times New Roman" w:hAnsi="Times New Roman"/>
                <w:i/>
                <w:sz w:val="24"/>
              </w:rPr>
              <w:t>(implemented)</w:t>
            </w:r>
            <w:r>
              <w:rPr>
                <w:rFonts w:ascii="Times New Roman" w:hAnsi="Times New Roman"/>
                <w:sz w:val="24"/>
              </w:rPr>
              <w:t xml:space="preserve"> Empirical-quantile VaR/ES with Kupiec [21], Christoffersen [22], and dynamic-quantile [23] backtests and a consistent joint scoring function [24]; Kelly-derived position size [25] capped by an estimated probability of ruin. </w:t>
            </w:r>
            <w:r>
              <w:rPr>
                <w:rFonts w:ascii="Times New Roman" w:hAnsi="Times New Roman"/>
                <w:i/>
                <w:sz w:val="24"/>
              </w:rPr>
              <w:t>(proposed)</w:t>
            </w:r>
            <w:r>
              <w:rPr>
                <w:rFonts w:ascii="Times New Roman" w:hAnsi="Times New Roman"/>
                <w:sz w:val="24"/>
              </w:rPr>
              <w:t xml:space="preserve"> Portfolio-correlation adjustment and a slippage coefficient measured from observed stop-loss executions.</w:t>
            </w:r>
          </w:p>
          <w:p>
            <w:pPr>
              <w:spacing w:before="140" w:after="60"/>
            </w:pPr>
            <w:r>
              <w:rPr>
                <w:rFonts w:ascii="Times New Roman" w:hAnsi="Times New Roman"/>
                <w:b/>
                <w:i/>
                <w:sz w:val="24"/>
              </w:rPr>
              <w:t>Causal Discovery Method</w:t>
            </w:r>
          </w:p>
          <w:p>
            <w:pPr>
              <w:spacing w:after="100"/>
              <w:ind w:firstLine="340"/>
              <w:jc w:val="both"/>
            </w:pPr>
            <w:r>
              <w:rPr>
                <w:rFonts w:ascii="Times New Roman" w:hAnsi="Times New Roman"/>
                <w:sz w:val="24"/>
              </w:rPr>
              <w:t xml:space="preserve">The exogenous layer needs a method that conditions on many candidates simultaneously rather than pairwise, separates a direct link from a shared-confound artefact, and plugs into the same false-discovery control as the price-pattern families. The </w:t>
            </w:r>
            <w:r>
              <w:rPr>
                <w:rFonts w:ascii="Times New Roman" w:hAnsi="Times New Roman"/>
                <w:b/>
                <w:sz w:val="24"/>
              </w:rPr>
              <w:t>official decision gate</w:t>
            </w:r>
            <w:r>
              <w:rPr>
                <w:rFonts w:ascii="Times New Roman" w:hAnsi="Times New Roman"/>
                <w:sz w:val="24"/>
              </w:rPr>
              <w:t xml:space="preserve"> for the frozen exogenous feature-selection ablation is Granger-type nested-regression F-testing under step-down Westfall–Young control [4]. Beyond it, four independent, non-self-written methods triangulate the result — this is the answer to "which algorithm, and how do you know it is real causality rather than random correlation":</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CellMar>
                <w:top w:w="40" w:type="dxa"/>
                <w:bottom w:w="40" w:type="dxa"/>
                <w:left w:w="80" w:type="dxa"/>
                <w:right w:w="80" w:type="dxa"/>
              </w:tblCellMar>
            </w:tblPr>
            <w:tblGrid>
              <w:gridCol w:w="3324"/>
              <w:gridCol w:w="3324"/>
              <w:gridCol w:w="3324"/>
            </w:tblGrid>
            <w:tr>
              <w:trPr>
                <w:cantSplit/>
                <w:tblHeader/>
              </w:trPr>
              <w:tc>
                <w:tcPr>
                  <w:tcW w:type="dxa" w:w="3324"/>
                </w:tcPr>
                <w:p>
                  <w:pPr>
                    <w:spacing w:after="20"/>
                    <w:jc w:val="left"/>
                  </w:pPr>
                  <w:r/>
                  <w:r>
                    <w:rPr>
                      <w:rFonts w:ascii="Times New Roman" w:hAnsi="Times New Roman"/>
                      <w:b/>
                      <w:sz w:val="21"/>
                    </w:rPr>
                    <w:t>Method</w:t>
                  </w:r>
                </w:p>
              </w:tc>
              <w:tc>
                <w:tcPr>
                  <w:tcW w:type="dxa" w:w="3324"/>
                </w:tcPr>
                <w:p>
                  <w:pPr>
                    <w:spacing w:after="20"/>
                    <w:jc w:val="left"/>
                  </w:pPr>
                  <w:r/>
                  <w:r>
                    <w:rPr>
                      <w:rFonts w:ascii="Times New Roman" w:hAnsi="Times New Roman"/>
                      <w:b/>
                      <w:sz w:val="21"/>
                    </w:rPr>
                    <w:t>Question answered</w:t>
                  </w:r>
                </w:p>
              </w:tc>
              <w:tc>
                <w:tcPr>
                  <w:tcW w:type="dxa" w:w="3324"/>
                </w:tcPr>
                <w:p>
                  <w:pPr>
                    <w:spacing w:after="20"/>
                    <w:jc w:val="left"/>
                  </w:pPr>
                  <w:r/>
                  <w:r>
                    <w:rPr>
                      <w:rFonts w:ascii="Times New Roman" w:hAnsi="Times New Roman"/>
                      <w:b/>
                      <w:sz w:val="21"/>
                    </w:rPr>
                    <w:t>Key result</w:t>
                  </w:r>
                </w:p>
              </w:tc>
            </w:tr>
            <w:tr>
              <w:trPr>
                <w:cantSplit/>
              </w:trPr>
              <w:tc>
                <w:tcPr>
                  <w:tcW w:type="dxa" w:w="3324"/>
                </w:tcPr>
                <w:p>
                  <w:pPr>
                    <w:spacing w:after="20"/>
                    <w:jc w:val="left"/>
                  </w:pPr>
                  <w:r/>
                  <w:r>
                    <w:rPr>
                      <w:rFonts w:ascii="Times New Roman" w:hAnsi="Times New Roman"/>
                      <w:b/>
                      <w:sz w:val="21"/>
                    </w:rPr>
                    <w:t>PCMCI</w:t>
                  </w:r>
                  <w:r>
                    <w:rPr>
                      <w:rFonts w:ascii="Times New Roman" w:hAnsi="Times New Roman"/>
                      <w:sz w:val="21"/>
                    </w:rPr>
                    <w:t xml:space="preserve"> [18], [29] (</w:t>
                  </w:r>
                  <w:r>
                    <w:rPr>
                      <w:rFonts w:ascii="Consolas" w:hAnsi="Consolas"/>
                      <w:sz w:val="21"/>
                    </w:rPr>
                    <w:t>tigramite</w:t>
                  </w:r>
                  <w:r>
                    <w:rPr>
                      <w:rFonts w:ascii="Times New Roman" w:hAnsi="Times New Roman"/>
                      <w:sz w:val="21"/>
                    </w:rPr>
                    <w:t>)</w:t>
                  </w:r>
                </w:p>
              </w:tc>
              <w:tc>
                <w:tcPr>
                  <w:tcW w:type="dxa" w:w="3324"/>
                </w:tcPr>
                <w:p>
                  <w:pPr>
                    <w:spacing w:after="20"/>
                    <w:jc w:val="left"/>
                  </w:pPr>
                  <w:r/>
                  <w:r>
                    <w:rPr>
                      <w:rFonts w:ascii="Times New Roman" w:hAnsi="Times New Roman"/>
                      <w:sz w:val="21"/>
                    </w:rPr>
                    <w:t>Does the link survive simultaneous conditioning on the other candidates?</w:t>
                  </w:r>
                </w:p>
              </w:tc>
              <w:tc>
                <w:tcPr>
                  <w:tcW w:type="dxa" w:w="3324"/>
                </w:tcPr>
                <w:p>
                  <w:pPr>
                    <w:spacing w:after="20"/>
                    <w:jc w:val="left"/>
                  </w:pPr>
                  <w:r/>
                  <w:r>
                    <w:rPr>
                      <w:rFonts w:ascii="Times New Roman" w:hAnsi="Times New Roman"/>
                      <w:sz w:val="21"/>
                    </w:rPr>
                    <w:t>VIX survives on every pair tested; gold-implied volatility (GVZCLS) looks causal alone but loses significance once conditioned on VIX — the concrete confound-vs-cause distinction pairwise Granger cannot make</w:t>
                  </w:r>
                </w:p>
              </w:tc>
            </w:tr>
            <w:tr>
              <w:trPr>
                <w:cantSplit/>
              </w:trPr>
              <w:tc>
                <w:tcPr>
                  <w:tcW w:type="dxa" w:w="3324"/>
                </w:tcPr>
                <w:p>
                  <w:pPr>
                    <w:spacing w:after="20"/>
                    <w:jc w:val="left"/>
                  </w:pPr>
                  <w:r/>
                  <w:r>
                    <w:rPr>
                      <w:rFonts w:ascii="Times New Roman" w:hAnsi="Times New Roman"/>
                      <w:b/>
                      <w:sz w:val="21"/>
                    </w:rPr>
                    <w:t>Double Machine Learning</w:t>
                  </w:r>
                  <w:r>
                    <w:rPr>
                      <w:rFonts w:ascii="Times New Roman" w:hAnsi="Times New Roman"/>
                      <w:sz w:val="21"/>
                    </w:rPr>
                    <w:t xml:space="preserve"> [33] (</w:t>
                  </w:r>
                  <w:r>
                    <w:rPr>
                      <w:rFonts w:ascii="Consolas" w:hAnsi="Consolas"/>
                      <w:sz w:val="21"/>
                    </w:rPr>
                    <w:t>doubleml</w:t>
                  </w:r>
                  <w:r>
                    <w:rPr>
                      <w:rFonts w:ascii="Times New Roman" w:hAnsi="Times New Roman"/>
                      <w:sz w:val="21"/>
                    </w:rPr>
                    <w:t>)</w:t>
                  </w:r>
                </w:p>
              </w:tc>
              <w:tc>
                <w:tcPr>
                  <w:tcW w:type="dxa" w:w="3324"/>
                </w:tcPr>
                <w:p>
                  <w:pPr>
                    <w:spacing w:after="20"/>
                    <w:jc w:val="left"/>
                  </w:pPr>
                  <w:r/>
                  <w:r>
                    <w:rPr>
                      <w:rFonts w:ascii="Times New Roman" w:hAnsi="Times New Roman"/>
                      <w:sz w:val="21"/>
                    </w:rPr>
                    <w:t xml:space="preserve">What is the effect </w:t>
                  </w:r>
                  <w:r>
                    <w:rPr>
                      <w:rFonts w:ascii="Times New Roman" w:hAnsi="Times New Roman"/>
                      <w:i/>
                      <w:sz w:val="21"/>
                    </w:rPr>
                    <w:t>size</w:t>
                  </w:r>
                  <w:r>
                    <w:rPr>
                      <w:rFonts w:ascii="Times New Roman" w:hAnsi="Times New Roman"/>
                      <w:sz w:val="21"/>
                    </w:rPr>
                    <w:t>, with a nonlinear nuisance model?</w:t>
                  </w:r>
                </w:p>
              </w:tc>
              <w:tc>
                <w:tcPr>
                  <w:tcW w:type="dxa" w:w="3324"/>
                </w:tcPr>
                <w:p>
                  <w:pPr>
                    <w:spacing w:after="20"/>
                    <w:jc w:val="left"/>
                  </w:pPr>
                  <w:r/>
                  <w:r>
                    <w:rPr>
                      <w:rFonts w:ascii="Times New Roman" w:hAnsi="Times New Roman"/>
                      <w:sz w:val="21"/>
                    </w:rPr>
                    <w:t xml:space="preserve">VIX effect positive, Holm-significant in </w:t>
                  </w:r>
                  <w:r>
                    <w:rPr>
                      <w:rFonts w:ascii="Times New Roman" w:hAnsi="Times New Roman"/>
                      <w:b/>
                      <w:sz w:val="21"/>
                    </w:rPr>
                    <w:t>6/6</w:t>
                  </w:r>
                  <w:r>
                    <w:rPr>
                      <w:rFonts w:ascii="Times New Roman" w:hAnsi="Times New Roman"/>
                      <w:sz w:val="21"/>
                    </w:rPr>
                    <w:t xml:space="preserve"> pairs (θ = 0.070–0.186) — the strongest, most consistent result in the triangulation</w:t>
                  </w:r>
                </w:p>
              </w:tc>
            </w:tr>
            <w:tr>
              <w:trPr>
                <w:cantSplit/>
              </w:trPr>
              <w:tc>
                <w:tcPr>
                  <w:tcW w:type="dxa" w:w="3324"/>
                </w:tcPr>
                <w:p>
                  <w:pPr>
                    <w:spacing w:after="20"/>
                    <w:jc w:val="left"/>
                  </w:pPr>
                  <w:r/>
                  <w:r>
                    <w:rPr>
                      <w:rFonts w:ascii="Times New Roman" w:hAnsi="Times New Roman"/>
                      <w:b/>
                      <w:sz w:val="21"/>
                    </w:rPr>
                    <w:t>Causal Forest</w:t>
                  </w:r>
                  <w:r>
                    <w:rPr>
                      <w:rFonts w:ascii="Times New Roman" w:hAnsi="Times New Roman"/>
                      <w:sz w:val="21"/>
                    </w:rPr>
                    <w:t xml:space="preserve"> [34] (</w:t>
                  </w:r>
                  <w:r>
                    <w:rPr>
                      <w:rFonts w:ascii="Consolas" w:hAnsi="Consolas"/>
                      <w:sz w:val="21"/>
                    </w:rPr>
                    <w:t>econml</w:t>
                  </w:r>
                  <w:r>
                    <w:rPr>
                      <w:rFonts w:ascii="Times New Roman" w:hAnsi="Times New Roman"/>
                      <w:sz w:val="21"/>
                    </w:rPr>
                    <w:t>)</w:t>
                  </w:r>
                </w:p>
              </w:tc>
              <w:tc>
                <w:tcPr>
                  <w:tcW w:type="dxa" w:w="3324"/>
                </w:tcPr>
                <w:p>
                  <w:pPr>
                    <w:spacing w:after="20"/>
                    <w:jc w:val="left"/>
                  </w:pPr>
                  <w:r/>
                  <w:r>
                    <w:rPr>
                      <w:rFonts w:ascii="Times New Roman" w:hAnsi="Times New Roman"/>
                      <w:sz w:val="21"/>
                    </w:rPr>
                    <w:t>Is the effect regime-dependent?</w:t>
                  </w:r>
                </w:p>
              </w:tc>
              <w:tc>
                <w:tcPr>
                  <w:tcW w:type="dxa" w:w="3324"/>
                </w:tcPr>
                <w:p>
                  <w:pPr>
                    <w:spacing w:after="20"/>
                    <w:jc w:val="left"/>
                  </w:pPr>
                  <w:r/>
                  <w:r>
                    <w:rPr>
                      <w:rFonts w:ascii="Times New Roman" w:hAnsi="Times New Roman"/>
                      <w:sz w:val="21"/>
                    </w:rPr>
                    <w:t>Heterogeneous but not consistent across pairs (4/6 increase with stress, 2 do not) — no single rule generalises</w:t>
                  </w:r>
                </w:p>
              </w:tc>
            </w:tr>
            <w:tr>
              <w:trPr>
                <w:cantSplit/>
              </w:trPr>
              <w:tc>
                <w:tcPr>
                  <w:tcW w:type="dxa" w:w="3324"/>
                </w:tcPr>
                <w:p>
                  <w:pPr>
                    <w:spacing w:after="20"/>
                    <w:jc w:val="left"/>
                  </w:pPr>
                  <w:r/>
                  <w:r>
                    <w:rPr>
                      <w:rFonts w:ascii="Times New Roman" w:hAnsi="Times New Roman"/>
                      <w:b/>
                      <w:sz w:val="21"/>
                    </w:rPr>
                    <w:t>CausalImpact</w:t>
                  </w:r>
                  <w:r>
                    <w:rPr>
                      <w:rFonts w:ascii="Times New Roman" w:hAnsi="Times New Roman"/>
                      <w:sz w:val="21"/>
                    </w:rPr>
                    <w:t xml:space="preserve"> [28] (</w:t>
                  </w:r>
                  <w:r>
                    <w:rPr>
                      <w:rFonts w:ascii="Consolas" w:hAnsi="Consolas"/>
                      <w:sz w:val="21"/>
                    </w:rPr>
                    <w:t>pycausalimpact</w:t>
                  </w:r>
                  <w:r>
                    <w:rPr>
                      <w:rFonts w:ascii="Times New Roman" w:hAnsi="Times New Roman"/>
                      <w:sz w:val="21"/>
                    </w:rPr>
                    <w:t>)</w:t>
                  </w:r>
                </w:p>
              </w:tc>
              <w:tc>
                <w:tcPr>
                  <w:tcW w:type="dxa" w:w="3324"/>
                </w:tcPr>
                <w:p>
                  <w:pPr>
                    <w:spacing w:after="20"/>
                    <w:jc w:val="left"/>
                  </w:pPr>
                  <w:r/>
                  <w:r>
                    <w:rPr>
                      <w:rFonts w:ascii="Times New Roman" w:hAnsi="Times New Roman"/>
                      <w:sz w:val="21"/>
                    </w:rPr>
                    <w:t xml:space="preserve">Did </w:t>
                  </w:r>
                  <w:r>
                    <w:rPr>
                      <w:rFonts w:ascii="Times New Roman" w:hAnsi="Times New Roman"/>
                      <w:i/>
                      <w:sz w:val="21"/>
                    </w:rPr>
                    <w:t>this</w:t>
                  </w:r>
                  <w:r>
                    <w:rPr>
                      <w:rFonts w:ascii="Times New Roman" w:hAnsi="Times New Roman"/>
                      <w:sz w:val="21"/>
                    </w:rPr>
                    <w:t xml:space="preserve"> specific event move volatility past its counterfactual?</w:t>
                  </w:r>
                </w:p>
              </w:tc>
              <w:tc>
                <w:tcPr>
                  <w:tcW w:type="dxa" w:w="3324"/>
                </w:tcPr>
                <w:p>
                  <w:pPr>
                    <w:spacing w:after="20"/>
                    <w:jc w:val="left"/>
                  </w:pPr>
                  <w:r/>
                  <w:r>
                    <w:rPr>
                      <w:rFonts w:ascii="Times New Roman" w:hAnsi="Times New Roman"/>
                      <w:sz w:val="21"/>
                    </w:rPr>
                    <w:t>Piloted on 20 ECB meetings: 6/20 significant after FDR correction (vs. ~5% expected under noise), all positive</w:t>
                  </w:r>
                </w:p>
              </w:tc>
            </w:tr>
          </w:tbl>
          <w:p/>
          <w:p>
            <w:pPr>
              <w:spacing w:after="0" w:before="0"/>
            </w:pPr>
            <w:r>
              <w:rPr>
                <w:sz w:val="2"/>
              </w:rPr>
            </w:r>
          </w:p>
          <w:p>
            <w:pPr>
              <w:spacing w:after="100"/>
              <w:ind w:firstLine="340"/>
              <w:jc w:val="both"/>
            </w:pPr>
            <w:r>
              <w:rPr>
                <w:rFonts w:ascii="Times New Roman" w:hAnsi="Times New Roman"/>
                <w:sz w:val="24"/>
              </w:rPr>
              <w:t>Four independently authored methods, resting on different assumptions (linear/nonlinear, pairwise/simultaneous, existence/magnitude/heterogeneity/single-event), converging on the same variable is stronger evidence than any single p-value — this triangulation, not one algorithm, is how the causality-versus-correlation question is answered. Consistent with the Research Scope, none of the five methods is presented as establishing structural causality; every statement remains a temporal-precedence or potential-outcomes claim under its own method's assumptions.</w:t>
            </w:r>
          </w:p>
          <w:p>
            <w:pPr>
              <w:spacing w:after="100"/>
              <w:ind w:firstLine="340"/>
              <w:jc w:val="both"/>
            </w:pPr>
            <w:r>
              <w:rPr>
                <w:rFonts w:ascii="Times New Roman" w:hAnsi="Times New Roman"/>
                <w:b/>
                <w:sz w:val="24"/>
              </w:rPr>
              <w:t>Two roles, only one shipped.</w:t>
            </w:r>
            <w:r>
              <w:rPr>
                <w:rFonts w:ascii="Times New Roman" w:hAnsi="Times New Roman"/>
                <w:sz w:val="24"/>
              </w:rPr>
              <w:t xml:space="preserve"> The triangulation's </w:t>
            </w:r>
            <w:r>
              <w:rPr>
                <w:rFonts w:ascii="Times New Roman" w:hAnsi="Times New Roman"/>
                <w:b/>
                <w:sz w:val="24"/>
              </w:rPr>
              <w:t>validation role is implemented and load-bearing</w:t>
            </w:r>
            <w:r>
              <w:rPr>
                <w:rFonts w:ascii="Times New Roman" w:hAnsi="Times New Roman"/>
                <w:sz w:val="24"/>
              </w:rPr>
              <w:t xml:space="preserve">: it is the actual filter that kept VIX and dropped ten other candidates from the frozen feature set. Its </w:t>
            </w:r>
            <w:r>
              <w:rPr>
                <w:rFonts w:ascii="Times New Roman" w:hAnsi="Times New Roman"/>
                <w:b/>
                <w:sz w:val="24"/>
              </w:rPr>
              <w:t>forecast-performance role — using the effect to directly adjust the production forecast (constant and regime-conditional overlays) — produced no significant QLIKE improvement in any pair after Holm correction</w:t>
            </w:r>
            <w:r>
              <w:rPr>
                <w:rFonts w:ascii="Times New Roman" w:hAnsi="Times New Roman"/>
                <w:sz w:val="24"/>
              </w:rPr>
              <w:t>, most plausibly because the HAR baseline already absorbs the information indirectly. Consistent with this thesis's negative-findings policy, this application is not deployed and moves to Deferred / Future Work rather than the remaining timeline.</w:t>
            </w:r>
          </w:p>
          <w:p>
            <w:pPr>
              <w:spacing w:before="140" w:after="60"/>
            </w:pPr>
            <w:r>
              <w:rPr>
                <w:rFonts w:ascii="Times New Roman" w:hAnsi="Times New Roman"/>
                <w:b/>
                <w:i/>
                <w:sz w:val="24"/>
              </w:rPr>
              <w:t>Proposed System Architecture</w:t>
            </w:r>
          </w:p>
          <w:p>
            <w:pPr>
              <w:spacing w:after="100"/>
              <w:ind w:firstLine="340"/>
              <w:jc w:val="both"/>
            </w:pPr>
            <w:r>
              <w:rPr>
                <w:rFonts w:ascii="Times New Roman" w:hAnsi="Times New Roman"/>
                <w:i/>
                <w:sz w:val="24"/>
              </w:rPr>
              <w:t>(Data pipeline and API: implemented and operating on a daily schedule; extensions in the Research Plan are proposed.)</w:t>
            </w:r>
          </w:p>
          <w:p>
            <w:pPr>
              <w:spacing w:after="100"/>
              <w:ind w:firstLine="340"/>
              <w:jc w:val="both"/>
            </w:pPr>
            <w:r>
              <w:rPr>
                <w:rFonts w:ascii="Times New Roman" w:hAnsi="Times New Roman"/>
                <w:sz w:val="24"/>
              </w:rPr>
              <w:t>Five layers share one computation layer across two deployment targets, so the live site and the numbers computed for the thesis come from the same code path:</w:t>
            </w:r>
          </w:p>
          <w:p>
            <w:pPr>
              <w:spacing w:after="100"/>
              <w:ind w:firstLine="340"/>
              <w:jc w:val="both"/>
            </w:pPr>
            <w:r>
              <w:rPr>
                <w:rFonts w:ascii="Times New Roman" w:hAnsi="Times New Roman"/>
                <w:sz w:val="24"/>
              </w:rPr>
              <w:t xml:space="preserve">1. </w:t>
            </w:r>
            <w:r>
              <w:rPr>
                <w:rFonts w:ascii="Times New Roman" w:hAnsi="Times New Roman"/>
                <w:b/>
                <w:sz w:val="24"/>
              </w:rPr>
              <w:t>Data pipeline (`collect/`).</w:t>
            </w:r>
            <w:r>
              <w:rPr>
                <w:rFonts w:ascii="Times New Roman" w:hAnsi="Times New Roman"/>
                <w:sz w:val="24"/>
              </w:rPr>
              <w:t xml:space="preserve"> A one-time historical bootstrap plus a daily job (</w:t>
            </w:r>
            <w:r>
              <w:rPr>
                <w:rFonts w:ascii="Consolas" w:hAnsi="Consolas"/>
                <w:sz w:val="24"/>
              </w:rPr>
              <w:t>live_fx.py</w:t>
            </w:r>
            <w:r>
              <w:rPr>
                <w:rFonts w:ascii="Times New Roman" w:hAnsi="Times New Roman"/>
                <w:sz w:val="24"/>
              </w:rPr>
              <w:t xml:space="preserve">, </w:t>
            </w:r>
            <w:r>
              <w:rPr>
                <w:rFonts w:ascii="Consolas" w:hAnsi="Consolas"/>
                <w:sz w:val="24"/>
              </w:rPr>
              <w:t>lich_su_kien.py</w:t>
            </w:r>
            <w:r>
              <w:rPr>
                <w:rFonts w:ascii="Times New Roman" w:hAnsi="Times New Roman"/>
                <w:sz w:val="24"/>
              </w:rPr>
              <w:t>, run four times a day via CI) build daily bars, five-minute realized measures, and the macro/central-bank calendar.</w:t>
            </w:r>
          </w:p>
          <w:p>
            <w:pPr>
              <w:spacing w:after="100"/>
              <w:ind w:firstLine="340"/>
              <w:jc w:val="both"/>
            </w:pPr>
            <w:r>
              <w:rPr>
                <w:rFonts w:ascii="Times New Roman" w:hAnsi="Times New Roman"/>
                <w:sz w:val="24"/>
              </w:rPr>
              <w:t xml:space="preserve">2. </w:t>
            </w:r>
            <w:r>
              <w:rPr>
                <w:rFonts w:ascii="Times New Roman" w:hAnsi="Times New Roman"/>
                <w:b/>
                <w:sz w:val="24"/>
              </w:rPr>
              <w:t>Data store (`data/`).</w:t>
            </w:r>
            <w:r>
              <w:rPr>
                <w:rFonts w:ascii="Times New Roman" w:hAnsi="Times New Roman"/>
                <w:sz w:val="24"/>
              </w:rPr>
              <w:t xml:space="preserve"> Frozen historical CSVs are kept separate from a daily-overwritten live store, so development and sealed-evaluation segments cannot be silently mixed by a pipeline bug.</w:t>
            </w:r>
          </w:p>
          <w:p>
            <w:pPr>
              <w:spacing w:after="100"/>
              <w:ind w:firstLine="340"/>
              <w:jc w:val="both"/>
            </w:pPr>
            <w:r>
              <w:rPr>
                <w:rFonts w:ascii="Times New Roman" w:hAnsi="Times New Roman"/>
                <w:sz w:val="24"/>
              </w:rPr>
              <w:t xml:space="preserve">3. </w:t>
            </w:r>
            <w:r>
              <w:rPr>
                <w:rFonts w:ascii="Times New Roman" w:hAnsi="Times New Roman"/>
                <w:b/>
                <w:sz w:val="24"/>
              </w:rPr>
              <w:t>Computation layer (`src/`, `api/cache.py`).</w:t>
            </w:r>
            <w:r>
              <w:rPr>
                <w:rFonts w:ascii="Times New Roman" w:hAnsi="Times New Roman"/>
                <w:sz w:val="24"/>
              </w:rPr>
              <w:t xml:space="preserve"> The series join, HAR forecast, three-class combination, conformal calibration, and risk/sizing functions run in one process, with no serialisation boundary to the layer that serves them.</w:t>
            </w:r>
          </w:p>
          <w:p>
            <w:pPr>
              <w:spacing w:after="100"/>
              <w:ind w:firstLine="340"/>
              <w:jc w:val="both"/>
            </w:pPr>
            <w:r>
              <w:rPr>
                <w:rFonts w:ascii="Times New Roman" w:hAnsi="Times New Roman"/>
                <w:sz w:val="24"/>
              </w:rPr>
              <w:t xml:space="preserve">4. </w:t>
            </w:r>
            <w:r>
              <w:rPr>
                <w:rFonts w:ascii="Times New Roman" w:hAnsi="Times New Roman"/>
                <w:b/>
                <w:sz w:val="24"/>
              </w:rPr>
              <w:t>API (`api/`, FastAPI).</w:t>
            </w:r>
            <w:r>
              <w:rPr>
                <w:rFonts w:ascii="Times New Roman" w:hAnsi="Times New Roman"/>
                <w:sz w:val="24"/>
              </w:rPr>
              <w:t xml:space="preserve"> One router per concern (</w:t>
            </w:r>
            <w:r>
              <w:rPr>
                <w:rFonts w:ascii="Consolas" w:hAnsi="Consolas"/>
                <w:sz w:val="24"/>
              </w:rPr>
              <w:t>meta</w:t>
            </w:r>
            <w:r>
              <w:rPr>
                <w:rFonts w:ascii="Times New Roman" w:hAnsi="Times New Roman"/>
                <w:sz w:val="24"/>
              </w:rPr>
              <w:t xml:space="preserve">, </w:t>
            </w:r>
            <w:r>
              <w:rPr>
                <w:rFonts w:ascii="Consolas" w:hAnsi="Consolas"/>
                <w:sz w:val="24"/>
              </w:rPr>
              <w:t>market</w:t>
            </w:r>
            <w:r>
              <w:rPr>
                <w:rFonts w:ascii="Times New Roman" w:hAnsi="Times New Roman"/>
                <w:sz w:val="24"/>
              </w:rPr>
              <w:t xml:space="preserve">, </w:t>
            </w:r>
            <w:r>
              <w:rPr>
                <w:rFonts w:ascii="Consolas" w:hAnsi="Consolas"/>
                <w:sz w:val="24"/>
              </w:rPr>
              <w:t>forecast</w:t>
            </w:r>
            <w:r>
              <w:rPr>
                <w:rFonts w:ascii="Times New Roman" w:hAnsi="Times New Roman"/>
                <w:sz w:val="24"/>
              </w:rPr>
              <w:t xml:space="preserve">, </w:t>
            </w:r>
            <w:r>
              <w:rPr>
                <w:rFonts w:ascii="Consolas" w:hAnsi="Consolas"/>
                <w:sz w:val="24"/>
              </w:rPr>
              <w:t>risk</w:t>
            </w:r>
            <w:r>
              <w:rPr>
                <w:rFonts w:ascii="Times New Roman" w:hAnsi="Times New Roman"/>
                <w:sz w:val="24"/>
              </w:rPr>
              <w:t xml:space="preserve">, </w:t>
            </w:r>
            <w:r>
              <w:rPr>
                <w:rFonts w:ascii="Consolas" w:hAnsi="Consolas"/>
                <w:sz w:val="24"/>
              </w:rPr>
              <w:t>admin</w:t>
            </w:r>
            <w:r>
              <w:rPr>
                <w:rFonts w:ascii="Times New Roman" w:hAnsi="Times New Roman"/>
                <w:sz w:val="24"/>
              </w:rPr>
              <w:t>) with Pydantic response models, already exposing the endpoints extended through the Research Plan below (</w:t>
            </w:r>
            <w:r>
              <w:rPr>
                <w:rFonts w:ascii="Consolas" w:hAnsi="Consolas"/>
                <w:sz w:val="24"/>
              </w:rPr>
              <w:t>/health</w:t>
            </w:r>
            <w:r>
              <w:rPr>
                <w:rFonts w:ascii="Times New Roman" w:hAnsi="Times New Roman"/>
                <w:sz w:val="24"/>
              </w:rPr>
              <w:t xml:space="preserve">, </w:t>
            </w:r>
            <w:r>
              <w:rPr>
                <w:rFonts w:ascii="Consolas" w:hAnsi="Consolas"/>
                <w:sz w:val="24"/>
              </w:rPr>
              <w:t>/meta</w:t>
            </w:r>
            <w:r>
              <w:rPr>
                <w:rFonts w:ascii="Times New Roman" w:hAnsi="Times New Roman"/>
                <w:sz w:val="24"/>
              </w:rPr>
              <w:t xml:space="preserve">, </w:t>
            </w:r>
            <w:r>
              <w:rPr>
                <w:rFonts w:ascii="Consolas" w:hAnsi="Consolas"/>
                <w:sz w:val="24"/>
              </w:rPr>
              <w:t>/series</w:t>
            </w:r>
            <w:r>
              <w:rPr>
                <w:rFonts w:ascii="Times New Roman" w:hAnsi="Times New Roman"/>
                <w:sz w:val="24"/>
              </w:rPr>
              <w:t xml:space="preserve">, </w:t>
            </w:r>
            <w:r>
              <w:rPr>
                <w:rFonts w:ascii="Consolas" w:hAnsi="Consolas"/>
                <w:sz w:val="24"/>
              </w:rPr>
              <w:t>/indicators</w:t>
            </w:r>
            <w:r>
              <w:rPr>
                <w:rFonts w:ascii="Times New Roman" w:hAnsi="Times New Roman"/>
                <w:sz w:val="24"/>
              </w:rPr>
              <w:t xml:space="preserve">, </w:t>
            </w:r>
            <w:r>
              <w:rPr>
                <w:rFonts w:ascii="Consolas" w:hAnsi="Consolas"/>
                <w:sz w:val="24"/>
              </w:rPr>
              <w:t>/forecast</w:t>
            </w:r>
            <w:r>
              <w:rPr>
                <w:rFonts w:ascii="Times New Roman" w:hAnsi="Times New Roman"/>
                <w:sz w:val="24"/>
              </w:rPr>
              <w:t xml:space="preserve">, </w:t>
            </w:r>
            <w:r>
              <w:rPr>
                <w:rFonts w:ascii="Consolas" w:hAnsi="Consolas"/>
                <w:sz w:val="24"/>
              </w:rPr>
              <w:t>/forecast_series</w:t>
            </w:r>
            <w:r>
              <w:rPr>
                <w:rFonts w:ascii="Times New Roman" w:hAnsi="Times New Roman"/>
                <w:sz w:val="24"/>
              </w:rPr>
              <w:t xml:space="preserve">, </w:t>
            </w:r>
            <w:r>
              <w:rPr>
                <w:rFonts w:ascii="Consolas" w:hAnsi="Consolas"/>
                <w:sz w:val="24"/>
              </w:rPr>
              <w:t>/forecast_next</w:t>
            </w:r>
            <w:r>
              <w:rPr>
                <w:rFonts w:ascii="Times New Roman" w:hAnsi="Times New Roman"/>
                <w:sz w:val="24"/>
              </w:rPr>
              <w:t xml:space="preserve">, </w:t>
            </w:r>
            <w:r>
              <w:rPr>
                <w:rFonts w:ascii="Consolas" w:hAnsi="Consolas"/>
                <w:sz w:val="24"/>
              </w:rPr>
              <w:t>/journal</w:t>
            </w:r>
            <w:r>
              <w:rPr>
                <w:rFonts w:ascii="Times New Roman" w:hAnsi="Times New Roman"/>
                <w:sz w:val="24"/>
              </w:rPr>
              <w:t xml:space="preserve">, </w:t>
            </w:r>
            <w:r>
              <w:rPr>
                <w:rFonts w:ascii="Consolas" w:hAnsi="Consolas"/>
                <w:sz w:val="24"/>
              </w:rPr>
              <w:t>/calibration</w:t>
            </w:r>
            <w:r>
              <w:rPr>
                <w:rFonts w:ascii="Times New Roman" w:hAnsi="Times New Roman"/>
                <w:sz w:val="24"/>
              </w:rPr>
              <w:t xml:space="preserve">, </w:t>
            </w:r>
            <w:r>
              <w:rPr>
                <w:rFonts w:ascii="Consolas" w:hAnsi="Consolas"/>
                <w:sz w:val="24"/>
              </w:rPr>
              <w:t>/models</w:t>
            </w:r>
            <w:r>
              <w:rPr>
                <w:rFonts w:ascii="Times New Roman" w:hAnsi="Times New Roman"/>
                <w:sz w:val="24"/>
              </w:rPr>
              <w:t xml:space="preserve">, </w:t>
            </w:r>
            <w:r>
              <w:rPr>
                <w:rFonts w:ascii="Consolas" w:hAnsi="Consolas"/>
                <w:sz w:val="24"/>
              </w:rPr>
              <w:t>/risk</w:t>
            </w:r>
            <w:r>
              <w:rPr>
                <w:rFonts w:ascii="Times New Roman" w:hAnsi="Times New Roman"/>
                <w:sz w:val="24"/>
              </w:rPr>
              <w:t xml:space="preserve">, </w:t>
            </w:r>
            <w:r>
              <w:rPr>
                <w:rFonts w:ascii="Consolas" w:hAnsi="Consolas"/>
                <w:sz w:val="24"/>
              </w:rPr>
              <w:t>/events</w:t>
            </w:r>
            <w:r>
              <w:rPr>
                <w:rFonts w:ascii="Times New Roman" w:hAnsi="Times New Roman"/>
                <w:sz w:val="24"/>
              </w:rPr>
              <w:t xml:space="preserve">, </w:t>
            </w:r>
            <w:r>
              <w:rPr>
                <w:rFonts w:ascii="Consolas" w:hAnsi="Consolas"/>
                <w:sz w:val="24"/>
              </w:rPr>
              <w:t>/refresh</w:t>
            </w:r>
            <w:r>
              <w:rPr>
                <w:rFonts w:ascii="Times New Roman" w:hAnsi="Times New Roman"/>
                <w:sz w:val="24"/>
              </w:rPr>
              <w:t>).</w:t>
            </w:r>
          </w:p>
          <w:p>
            <w:pPr>
              <w:spacing w:after="100"/>
              <w:ind w:firstLine="340"/>
              <w:jc w:val="both"/>
            </w:pPr>
            <w:r>
              <w:rPr>
                <w:rFonts w:ascii="Times New Roman" w:hAnsi="Times New Roman"/>
                <w:sz w:val="24"/>
              </w:rPr>
              <w:t xml:space="preserve">5. </w:t>
            </w:r>
            <w:r>
              <w:rPr>
                <w:rFonts w:ascii="Times New Roman" w:hAnsi="Times New Roman"/>
                <w:b/>
                <w:sz w:val="24"/>
              </w:rPr>
              <w:t>Web application.</w:t>
            </w:r>
            <w:r>
              <w:rPr>
                <w:rFonts w:ascii="Times New Roman" w:hAnsi="Times New Roman"/>
                <w:sz w:val="24"/>
              </w:rPr>
              <w:t xml:space="preserve"> One HTML/JS template (</w:t>
            </w:r>
            <w:r>
              <w:rPr>
                <w:rFonts w:ascii="Consolas" w:hAnsi="Consolas"/>
                <w:sz w:val="24"/>
              </w:rPr>
              <w:t>web/ui_template.html</w:t>
            </w:r>
            <w:r>
              <w:rPr>
                <w:rFonts w:ascii="Times New Roman" w:hAnsi="Times New Roman"/>
                <w:sz w:val="24"/>
              </w:rPr>
              <w:t>) is the source of truth, compiled to three deployed variants rather than maintained as three hand-written pages.</w:t>
            </w:r>
          </w:p>
          <w:p>
            <w:pPr>
              <w:spacing w:after="100"/>
              <w:ind w:firstLine="340"/>
              <w:jc w:val="both"/>
            </w:pPr>
            <w:r>
              <w:rPr>
                <w:rFonts w:ascii="Times New Roman" w:hAnsi="Times New Roman"/>
                <w:b/>
                <w:sz w:val="24"/>
              </w:rPr>
              <w:t>The two deployment targets are a stated engineering trade-off, not an inconsistency — this answers how the modules are linked at the deployment level.</w:t>
            </w:r>
            <w:r>
              <w:rPr>
                <w:rFonts w:ascii="Times New Roman" w:hAnsi="Times New Roman"/>
                <w:sz w:val="24"/>
              </w:rPr>
              <w:t xml:space="preserve"> The local/CI deployment runs the full FastAPI process and is the only place risk numbers are </w:t>
            </w:r>
            <w:r>
              <w:rPr>
                <w:rFonts w:ascii="Times New Roman" w:hAnsi="Times New Roman"/>
                <w:i/>
                <w:sz w:val="24"/>
              </w:rPr>
              <w:t>computed</w:t>
            </w:r>
            <w:r>
              <w:rPr>
                <w:rFonts w:ascii="Times New Roman" w:hAnsi="Times New Roman"/>
                <w:sz w:val="24"/>
              </w:rPr>
              <w:t>; Vercel's serverless size limit cannot host that dependency stack, so the daily job pre-computes the once-a-day numbers as static JSON while a separate lightweight function computes only the intraday chart data. Concentrating computation in one synchronous service that a lighter target consumes as a versioned artefact follows established practice for scaling ML-serving systems under heterogeneous deployment constraints [31], [32].</w:t>
            </w:r>
          </w:p>
          <w:p>
            <w:pPr>
              <w:spacing w:after="100"/>
              <w:ind w:firstLine="340"/>
              <w:jc w:val="both"/>
            </w:pPr>
            <w:r>
              <w:rPr>
                <w:rFonts w:ascii="Times New Roman" w:hAnsi="Times New Roman"/>
                <w:b/>
                <w:sz w:val="24"/>
              </w:rPr>
              <w:t>Module contract — the mechanism, not just the diagram.</w:t>
            </w:r>
            <w:r>
              <w:rPr>
                <w:rFonts w:ascii="Times New Roman" w:hAnsi="Times New Roman"/>
                <w:sz w:val="24"/>
              </w:rPr>
              <w:t xml:space="preserve"> Each row is a fixed data contract enforced in code, not an informal call:</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CellMar>
                <w:top w:w="40" w:type="dxa"/>
                <w:bottom w:w="40" w:type="dxa"/>
                <w:left w:w="80" w:type="dxa"/>
                <w:right w:w="80" w:type="dxa"/>
              </w:tblCellMar>
            </w:tblPr>
            <w:tblGrid>
              <w:gridCol w:w="2493"/>
              <w:gridCol w:w="2493"/>
              <w:gridCol w:w="2493"/>
              <w:gridCol w:w="2493"/>
            </w:tblGrid>
            <w:tr>
              <w:trPr>
                <w:cantSplit/>
                <w:tblHeader/>
              </w:trPr>
              <w:tc>
                <w:tcPr>
                  <w:tcW w:type="dxa" w:w="2493"/>
                </w:tcPr>
                <w:p>
                  <w:pPr>
                    <w:spacing w:after="20"/>
                    <w:jc w:val="left"/>
                  </w:pPr>
                  <w:r/>
                  <w:r>
                    <w:rPr>
                      <w:rFonts w:ascii="Times New Roman" w:hAnsi="Times New Roman"/>
                      <w:b/>
                      <w:sz w:val="21"/>
                    </w:rPr>
                    <w:t>From</w:t>
                  </w:r>
                </w:p>
              </w:tc>
              <w:tc>
                <w:tcPr>
                  <w:tcW w:type="dxa" w:w="2493"/>
                </w:tcPr>
                <w:p>
                  <w:pPr>
                    <w:spacing w:after="20"/>
                    <w:jc w:val="left"/>
                  </w:pPr>
                  <w:r/>
                  <w:r>
                    <w:rPr>
                      <w:rFonts w:ascii="Times New Roman" w:hAnsi="Times New Roman"/>
                      <w:b/>
                      <w:sz w:val="21"/>
                    </w:rPr>
                    <w:t>To</w:t>
                  </w:r>
                </w:p>
              </w:tc>
              <w:tc>
                <w:tcPr>
                  <w:tcW w:type="dxa" w:w="2493"/>
                </w:tcPr>
                <w:p>
                  <w:pPr>
                    <w:spacing w:after="20"/>
                    <w:jc w:val="left"/>
                  </w:pPr>
                  <w:r/>
                  <w:r>
                    <w:rPr>
                      <w:rFonts w:ascii="Times New Roman" w:hAnsi="Times New Roman"/>
                      <w:b/>
                      <w:sz w:val="21"/>
                    </w:rPr>
                    <w:t>Via</w:t>
                  </w:r>
                </w:p>
              </w:tc>
              <w:tc>
                <w:tcPr>
                  <w:tcW w:type="dxa" w:w="2493"/>
                </w:tcPr>
                <w:p>
                  <w:pPr>
                    <w:spacing w:after="20"/>
                    <w:jc w:val="left"/>
                  </w:pPr>
                  <w:r/>
                  <w:r>
                    <w:rPr>
                      <w:rFonts w:ascii="Times New Roman" w:hAnsi="Times New Roman"/>
                      <w:b/>
                      <w:sz w:val="21"/>
                    </w:rPr>
                    <w:t>Format</w:t>
                  </w:r>
                </w:p>
              </w:tc>
            </w:tr>
            <w:tr>
              <w:trPr>
                <w:cantSplit/>
              </w:trPr>
              <w:tc>
                <w:tcPr>
                  <w:tcW w:type="dxa" w:w="2493"/>
                </w:tcPr>
                <w:p>
                  <w:pPr>
                    <w:spacing w:after="20"/>
                    <w:jc w:val="left"/>
                  </w:pPr>
                  <w:r/>
                  <w:r>
                    <w:rPr>
                      <w:rFonts w:ascii="Consolas" w:hAnsi="Consolas"/>
                      <w:sz w:val="21"/>
                    </w:rPr>
                    <w:t>collect/*.py</w:t>
                  </w:r>
                </w:p>
              </w:tc>
              <w:tc>
                <w:tcPr>
                  <w:tcW w:type="dxa" w:w="2493"/>
                </w:tcPr>
                <w:p>
                  <w:pPr>
                    <w:spacing w:after="20"/>
                    <w:jc w:val="left"/>
                  </w:pPr>
                  <w:r/>
                  <w:r>
                    <w:rPr>
                      <w:rFonts w:ascii="Consolas" w:hAnsi="Consolas"/>
                      <w:sz w:val="21"/>
                    </w:rPr>
                    <w:t>data/</w:t>
                  </w:r>
                </w:p>
              </w:tc>
              <w:tc>
                <w:tcPr>
                  <w:tcW w:type="dxa" w:w="2493"/>
                </w:tcPr>
                <w:p>
                  <w:pPr>
                    <w:spacing w:after="20"/>
                    <w:jc w:val="left"/>
                  </w:pPr>
                  <w:r/>
                  <w:r>
                    <w:rPr>
                      <w:rFonts w:ascii="Times New Roman" w:hAnsi="Times New Roman"/>
                      <w:sz w:val="21"/>
                    </w:rPr>
                    <w:t>direct CSV/JSON write</w:t>
                  </w:r>
                </w:p>
              </w:tc>
              <w:tc>
                <w:tcPr>
                  <w:tcW w:type="dxa" w:w="2493"/>
                </w:tcPr>
                <w:p>
                  <w:pPr>
                    <w:spacing w:after="20"/>
                    <w:jc w:val="left"/>
                  </w:pPr>
                  <w:r/>
                  <w:r>
                    <w:rPr>
                      <w:rFonts w:ascii="Times New Roman" w:hAnsi="Times New Roman"/>
                      <w:sz w:val="21"/>
                    </w:rPr>
                    <w:t>fixed columns, no silent schema change</w:t>
                  </w:r>
                </w:p>
              </w:tc>
            </w:tr>
            <w:tr>
              <w:trPr>
                <w:cantSplit/>
              </w:trPr>
              <w:tc>
                <w:tcPr>
                  <w:tcW w:type="dxa" w:w="2493"/>
                </w:tcPr>
                <w:p>
                  <w:pPr>
                    <w:spacing w:after="20"/>
                    <w:jc w:val="left"/>
                  </w:pPr>
                  <w:r/>
                  <w:r>
                    <w:rPr>
                      <w:rFonts w:ascii="Consolas" w:hAnsi="Consolas"/>
                      <w:sz w:val="21"/>
                    </w:rPr>
                    <w:t>data/</w:t>
                  </w:r>
                </w:p>
              </w:tc>
              <w:tc>
                <w:tcPr>
                  <w:tcW w:type="dxa" w:w="2493"/>
                </w:tcPr>
                <w:p>
                  <w:pPr>
                    <w:spacing w:after="20"/>
                    <w:jc w:val="left"/>
                  </w:pPr>
                  <w:r/>
                  <w:r>
                    <w:rPr>
                      <w:rFonts w:ascii="Consolas" w:hAnsi="Consolas"/>
                      <w:sz w:val="21"/>
                    </w:rPr>
                    <w:t>api/cache.py</w:t>
                  </w:r>
                </w:p>
              </w:tc>
              <w:tc>
                <w:tcPr>
                  <w:tcW w:type="dxa" w:w="2493"/>
                </w:tcPr>
                <w:p>
                  <w:pPr>
                    <w:spacing w:after="20"/>
                    <w:jc w:val="left"/>
                  </w:pPr>
                  <w:r/>
                  <w:r>
                    <w:rPr>
                      <w:rFonts w:ascii="Times New Roman" w:hAnsi="Times New Roman"/>
                      <w:sz w:val="21"/>
                    </w:rPr>
                    <w:t>fixed-path CSV read</w:t>
                  </w:r>
                </w:p>
              </w:tc>
              <w:tc>
                <w:tcPr>
                  <w:tcW w:type="dxa" w:w="2493"/>
                </w:tcPr>
                <w:p>
                  <w:pPr>
                    <w:spacing w:after="20"/>
                    <w:jc w:val="left"/>
                  </w:pPr>
                  <w:r/>
                  <w:r>
                    <w:rPr>
                      <w:rFonts w:ascii="Consolas" w:hAnsi="Consolas"/>
                      <w:sz w:val="21"/>
                    </w:rPr>
                    <w:t>Date, open, high, low, close, rv5, …</w:t>
                  </w:r>
                </w:p>
              </w:tc>
            </w:tr>
            <w:tr>
              <w:trPr>
                <w:cantSplit/>
              </w:trPr>
              <w:tc>
                <w:tcPr>
                  <w:tcW w:type="dxa" w:w="2493"/>
                </w:tcPr>
                <w:p>
                  <w:pPr>
                    <w:spacing w:after="20"/>
                    <w:jc w:val="left"/>
                  </w:pPr>
                  <w:r/>
                  <w:r>
                    <w:rPr>
                      <w:rFonts w:ascii="Consolas" w:hAnsi="Consolas"/>
                      <w:sz w:val="21"/>
                    </w:rPr>
                    <w:t>src/*.py</w:t>
                  </w:r>
                </w:p>
              </w:tc>
              <w:tc>
                <w:tcPr>
                  <w:tcW w:type="dxa" w:w="2493"/>
                </w:tcPr>
                <w:p>
                  <w:pPr>
                    <w:spacing w:after="20"/>
                    <w:jc w:val="left"/>
                  </w:pPr>
                  <w:r/>
                  <w:r>
                    <w:rPr>
                      <w:rFonts w:ascii="Consolas" w:hAnsi="Consolas"/>
                      <w:sz w:val="21"/>
                    </w:rPr>
                    <w:t>api/cache.py</w:t>
                  </w:r>
                </w:p>
              </w:tc>
              <w:tc>
                <w:tcPr>
                  <w:tcW w:type="dxa" w:w="2493"/>
                </w:tcPr>
                <w:p>
                  <w:pPr>
                    <w:spacing w:after="20"/>
                    <w:jc w:val="left"/>
                  </w:pPr>
                  <w:r/>
                  <w:r>
                    <w:rPr>
                      <w:rFonts w:ascii="Times New Roman" w:hAnsi="Times New Roman"/>
                      <w:sz w:val="21"/>
                    </w:rPr>
                    <w:t>in-process function call</w:t>
                  </w:r>
                </w:p>
              </w:tc>
              <w:tc>
                <w:tcPr>
                  <w:tcW w:type="dxa" w:w="2493"/>
                </w:tcPr>
                <w:p>
                  <w:pPr>
                    <w:spacing w:after="20"/>
                    <w:jc w:val="left"/>
                  </w:pPr>
                  <w:r/>
                  <w:r>
                    <w:rPr>
                      <w:rFonts w:ascii="Times New Roman" w:hAnsi="Times New Roman"/>
                      <w:sz w:val="21"/>
                    </w:rPr>
                    <w:t>numpy/DataFrame, no serialisation</w:t>
                  </w:r>
                </w:p>
              </w:tc>
            </w:tr>
            <w:tr>
              <w:trPr>
                <w:cantSplit/>
              </w:trPr>
              <w:tc>
                <w:tcPr>
                  <w:tcW w:type="dxa" w:w="2493"/>
                </w:tcPr>
                <w:p>
                  <w:pPr>
                    <w:spacing w:after="20"/>
                    <w:jc w:val="left"/>
                  </w:pPr>
                  <w:r/>
                  <w:r>
                    <w:rPr>
                      <w:rFonts w:ascii="Consolas" w:hAnsi="Consolas"/>
                      <w:sz w:val="21"/>
                    </w:rPr>
                    <w:t>api/cache.py</w:t>
                  </w:r>
                </w:p>
              </w:tc>
              <w:tc>
                <w:tcPr>
                  <w:tcW w:type="dxa" w:w="2493"/>
                </w:tcPr>
                <w:p>
                  <w:pPr>
                    <w:spacing w:after="20"/>
                    <w:jc w:val="left"/>
                  </w:pPr>
                  <w:r/>
                  <w:r>
                    <w:rPr>
                      <w:rFonts w:ascii="Consolas" w:hAnsi="Consolas"/>
                      <w:sz w:val="21"/>
                    </w:rPr>
                    <w:t>api/routers/*.py</w:t>
                  </w:r>
                </w:p>
              </w:tc>
              <w:tc>
                <w:tcPr>
                  <w:tcW w:type="dxa" w:w="2493"/>
                </w:tcPr>
                <w:p>
                  <w:pPr>
                    <w:spacing w:after="20"/>
                    <w:jc w:val="left"/>
                  </w:pPr>
                  <w:r/>
                  <w:r>
                    <w:rPr>
                      <w:rFonts w:ascii="Times New Roman" w:hAnsi="Times New Roman"/>
                      <w:sz w:val="21"/>
                    </w:rPr>
                    <w:t>in-memory dictionary</w:t>
                  </w:r>
                </w:p>
              </w:tc>
              <w:tc>
                <w:tcPr>
                  <w:tcW w:type="dxa" w:w="2493"/>
                </w:tcPr>
                <w:p>
                  <w:pPr>
                    <w:spacing w:after="20"/>
                    <w:jc w:val="left"/>
                  </w:pPr>
                  <w:r/>
                  <w:r>
                    <w:rPr>
                      <w:rFonts w:ascii="Consolas" w:hAnsi="Consolas"/>
                      <w:sz w:val="21"/>
                    </w:rPr>
                    <w:t>pan</w:t>
                  </w:r>
                  <w:r>
                    <w:rPr>
                      <w:rFonts w:ascii="Times New Roman" w:hAnsi="Times New Roman"/>
                      <w:sz w:val="21"/>
                    </w:rPr>
                    <w:t xml:space="preserve">, </w:t>
                  </w:r>
                  <w:r>
                    <w:rPr>
                      <w:rFonts w:ascii="Consolas" w:hAnsi="Consolas"/>
                      <w:sz w:val="21"/>
                    </w:rPr>
                    <w:t>xs</w:t>
                  </w:r>
                  <w:r>
                    <w:rPr>
                      <w:rFonts w:ascii="Times New Roman" w:hAnsi="Times New Roman"/>
                      <w:sz w:val="21"/>
                    </w:rPr>
                    <w:t xml:space="preserve">, </w:t>
                  </w:r>
                  <w:r>
                    <w:rPr>
                      <w:rFonts w:ascii="Consolas" w:hAnsi="Consolas"/>
                      <w:sz w:val="21"/>
                    </w:rPr>
                    <w:t>sig</w:t>
                  </w:r>
                  <w:r>
                    <w:rPr>
                      <w:rFonts w:ascii="Times New Roman" w:hAnsi="Times New Roman"/>
                      <w:sz w:val="21"/>
                    </w:rPr>
                    <w:t xml:space="preserve">, </w:t>
                  </w:r>
                  <w:r>
                    <w:rPr>
                      <w:rFonts w:ascii="Consolas" w:hAnsi="Consolas"/>
                      <w:sz w:val="21"/>
                    </w:rPr>
                    <w:t>che_do</w:t>
                  </w:r>
                  <w:r>
                    <w:rPr>
                      <w:rFonts w:ascii="Times New Roman" w:hAnsi="Times New Roman"/>
                      <w:sz w:val="21"/>
                    </w:rPr>
                    <w:t>, …</w:t>
                  </w:r>
                </w:p>
              </w:tc>
            </w:tr>
            <w:tr>
              <w:trPr>
                <w:cantSplit/>
              </w:trPr>
              <w:tc>
                <w:tcPr>
                  <w:tcW w:type="dxa" w:w="2493"/>
                </w:tcPr>
                <w:p>
                  <w:pPr>
                    <w:spacing w:after="20"/>
                    <w:jc w:val="left"/>
                  </w:pPr>
                  <w:r/>
                  <w:r>
                    <w:rPr>
                      <w:rFonts w:ascii="Consolas" w:hAnsi="Consolas"/>
                      <w:sz w:val="21"/>
                    </w:rPr>
                    <w:t>api/routers/*.py</w:t>
                  </w:r>
                </w:p>
              </w:tc>
              <w:tc>
                <w:tcPr>
                  <w:tcW w:type="dxa" w:w="2493"/>
                </w:tcPr>
                <w:p>
                  <w:pPr>
                    <w:spacing w:after="20"/>
                    <w:jc w:val="left"/>
                  </w:pPr>
                  <w:r/>
                  <w:r>
                    <w:rPr>
                      <w:rFonts w:ascii="Times New Roman" w:hAnsi="Times New Roman"/>
                      <w:sz w:val="21"/>
                    </w:rPr>
                    <w:t>web client</w:t>
                  </w:r>
                </w:p>
              </w:tc>
              <w:tc>
                <w:tcPr>
                  <w:tcW w:type="dxa" w:w="2493"/>
                </w:tcPr>
                <w:p>
                  <w:pPr>
                    <w:spacing w:after="20"/>
                    <w:jc w:val="left"/>
                  </w:pPr>
                  <w:r/>
                  <w:r>
                    <w:rPr>
                      <w:rFonts w:ascii="Times New Roman" w:hAnsi="Times New Roman"/>
                      <w:sz w:val="21"/>
                    </w:rPr>
                    <w:t>HTTP JSON</w:t>
                  </w:r>
                </w:p>
              </w:tc>
              <w:tc>
                <w:tcPr>
                  <w:tcW w:type="dxa" w:w="2493"/>
                </w:tcPr>
                <w:p>
                  <w:pPr>
                    <w:spacing w:after="20"/>
                    <w:jc w:val="left"/>
                  </w:pPr>
                  <w:r/>
                  <w:r>
                    <w:rPr>
                      <w:rFonts w:ascii="Times New Roman" w:hAnsi="Times New Roman"/>
                      <w:sz w:val="21"/>
                    </w:rPr>
                    <w:t xml:space="preserve">Pydantic </w:t>
                  </w:r>
                  <w:r>
                    <w:rPr>
                      <w:rFonts w:ascii="Consolas" w:hAnsi="Consolas"/>
                      <w:sz w:val="21"/>
                    </w:rPr>
                    <w:t>response_model</w:t>
                  </w:r>
                  <w:r>
                    <w:rPr>
                      <w:rFonts w:ascii="Times New Roman" w:hAnsi="Times New Roman"/>
                      <w:sz w:val="21"/>
                    </w:rPr>
                    <w:t xml:space="preserve"> where declared</w:t>
                  </w:r>
                </w:p>
              </w:tc>
            </w:tr>
            <w:tr>
              <w:trPr>
                <w:cantSplit/>
              </w:trPr>
              <w:tc>
                <w:tcPr>
                  <w:tcW w:type="dxa" w:w="2493"/>
                </w:tcPr>
                <w:p>
                  <w:pPr>
                    <w:spacing w:after="20"/>
                    <w:jc w:val="left"/>
                  </w:pPr>
                  <w:r/>
                  <w:r>
                    <w:rPr>
                      <w:rFonts w:ascii="Times New Roman" w:hAnsi="Times New Roman"/>
                      <w:sz w:val="21"/>
                    </w:rPr>
                    <w:t>daily job</w:t>
                  </w:r>
                </w:p>
              </w:tc>
              <w:tc>
                <w:tcPr>
                  <w:tcW w:type="dxa" w:w="2493"/>
                </w:tcPr>
                <w:p>
                  <w:pPr>
                    <w:spacing w:after="20"/>
                    <w:jc w:val="left"/>
                  </w:pPr>
                  <w:r/>
                  <w:r>
                    <w:rPr>
                      <w:rFonts w:ascii="Times New Roman" w:hAnsi="Times New Roman"/>
                      <w:sz w:val="21"/>
                    </w:rPr>
                    <w:t>static site data</w:t>
                  </w:r>
                </w:p>
              </w:tc>
              <w:tc>
                <w:tcPr>
                  <w:tcW w:type="dxa" w:w="2493"/>
                </w:tcPr>
                <w:p>
                  <w:pPr>
                    <w:spacing w:after="20"/>
                    <w:jc w:val="left"/>
                  </w:pPr>
                  <w:r/>
                  <w:r>
                    <w:rPr>
                      <w:rFonts w:ascii="Times New Roman" w:hAnsi="Times New Roman"/>
                      <w:sz w:val="21"/>
                    </w:rPr>
                    <w:t>HTTP call to the API</w:t>
                  </w:r>
                </w:p>
              </w:tc>
              <w:tc>
                <w:tcPr>
                  <w:tcW w:type="dxa" w:w="2493"/>
                </w:tcPr>
                <w:p>
                  <w:pPr>
                    <w:spacing w:after="20"/>
                    <w:jc w:val="left"/>
                  </w:pPr>
                  <w:r/>
                  <w:r>
                    <w:rPr>
                      <w:rFonts w:ascii="Times New Roman" w:hAnsi="Times New Roman"/>
                      <w:sz w:val="21"/>
                    </w:rPr>
                    <w:t>identical JSON — never recomputed by a second formula</w:t>
                  </w:r>
                </w:p>
              </w:tc>
            </w:tr>
          </w:tbl>
          <w:p/>
          <w:p>
            <w:pPr>
              <w:spacing w:after="0" w:before="0"/>
            </w:pPr>
            <w:r>
              <w:rPr>
                <w:sz w:val="2"/>
              </w:rPr>
            </w:r>
          </w:p>
          <w:p>
            <w:pPr>
              <w:spacing w:after="100"/>
              <w:ind w:firstLine="340"/>
              <w:jc w:val="both"/>
            </w:pPr>
            <w:r>
              <w:rPr>
                <w:rFonts w:ascii="Times New Roman" w:hAnsi="Times New Roman"/>
                <w:sz w:val="24"/>
              </w:rPr>
              <w:t>The daily job never recomputes a number through a second code path — it calls the API and snapshots the response. This single-source-of-truth discipline, recommended practice for operationalising ML systems reliably [31], is what keeps the static and live deployments from ever diverging, and applies to every module added under the Research Plan below, not only the modules that exist today.</w:t>
            </w:r>
          </w:p>
        </w:tc>
      </w:tr>
      <w:tr>
        <w:tc>
          <w:tcPr>
            <w:tcW w:type="dxa" w:w="9973"/>
          </w:tcPr>
          <w:p>
            <w:pPr>
              <w:spacing w:after="100"/>
            </w:pPr>
            <w:r>
              <w:rPr>
                <w:rFonts w:ascii="Times New Roman" w:hAnsi="Times New Roman"/>
                <w:b/>
                <w:sz w:val="24"/>
              </w:rPr>
              <w:t>Research Methodology:</w:t>
            </w:r>
          </w:p>
          <w:p>
            <w:pPr>
              <w:spacing w:after="100"/>
              <w:ind w:firstLine="340"/>
              <w:jc w:val="both"/>
            </w:pPr>
            <w:r>
              <w:rPr>
                <w:rFonts w:ascii="Times New Roman" w:hAnsi="Times New Roman"/>
                <w:sz w:val="24"/>
              </w:rPr>
              <w:t>The research proceeds through the following activities.</w:t>
            </w:r>
          </w:p>
          <w:p>
            <w:pPr>
              <w:spacing w:before="140" w:after="60"/>
            </w:pPr>
            <w:r>
              <w:rPr>
                <w:rFonts w:ascii="Times New Roman" w:hAnsi="Times New Roman"/>
                <w:b/>
                <w:i/>
                <w:sz w:val="24"/>
              </w:rPr>
              <w:t>Literature Review</w:t>
            </w:r>
          </w:p>
          <w:p>
            <w:pPr>
              <w:pStyle w:val="ListBullet"/>
              <w:spacing w:after="60"/>
              <w:ind w:left="454"/>
              <w:jc w:val="both"/>
            </w:pPr>
            <w:r>
              <w:rPr>
                <w:rFonts w:ascii="Times New Roman" w:hAnsi="Times New Roman"/>
                <w:sz w:val="24"/>
              </w:rPr>
              <w:t>Realized-volatility modelling: the HAR family and its measurement-error, jump, and semivariance extensions; recent ML/foundation-model comparisons.</w:t>
            </w:r>
          </w:p>
          <w:p>
            <w:pPr>
              <w:pStyle w:val="ListBullet"/>
              <w:spacing w:after="60"/>
              <w:ind w:left="454"/>
              <w:jc w:val="both"/>
            </w:pPr>
            <w:r>
              <w:rPr>
                <w:rFonts w:ascii="Times New Roman" w:hAnsi="Times New Roman"/>
                <w:sz w:val="24"/>
              </w:rPr>
              <w:t>FX directional predictability: large-scale technical-rule studies with data-snooping control; the momentum-factor explanation.</w:t>
            </w:r>
          </w:p>
          <w:p>
            <w:pPr>
              <w:pStyle w:val="ListBullet"/>
              <w:spacing w:after="60"/>
              <w:ind w:left="454"/>
              <w:jc w:val="both"/>
            </w:pPr>
            <w:r>
              <w:rPr>
                <w:rFonts w:ascii="Times New Roman" w:hAnsi="Times New Roman"/>
                <w:sz w:val="24"/>
              </w:rPr>
              <w:t>Statistically sound pattern discovery, family-wise error control, superior predictive ability testing, model confidence sets.</w:t>
            </w:r>
          </w:p>
          <w:p>
            <w:pPr>
              <w:pStyle w:val="ListBullet"/>
              <w:spacing w:after="60"/>
              <w:ind w:left="454"/>
              <w:jc w:val="both"/>
            </w:pPr>
            <w:r>
              <w:rPr>
                <w:rFonts w:ascii="Times New Roman" w:hAnsi="Times New Roman"/>
                <w:sz w:val="24"/>
              </w:rPr>
              <w:t>Conformal prediction under distribution shift, proper scoring rules, calibration diagnostics.</w:t>
            </w:r>
          </w:p>
          <w:p>
            <w:pPr>
              <w:pStyle w:val="ListBullet"/>
              <w:spacing w:after="60"/>
              <w:ind w:left="454"/>
              <w:jc w:val="both"/>
            </w:pPr>
            <w:r>
              <w:rPr>
                <w:rFonts w:ascii="Times New Roman" w:hAnsi="Times New Roman"/>
                <w:sz w:val="24"/>
              </w:rPr>
              <w:t>VaR/ES backtesting and growth-optimal position sizing under a ruin constraint.</w:t>
            </w:r>
          </w:p>
          <w:p>
            <w:pPr>
              <w:spacing w:before="140" w:after="60"/>
            </w:pPr>
            <w:r>
              <w:rPr>
                <w:rFonts w:ascii="Times New Roman" w:hAnsi="Times New Roman"/>
                <w:b/>
                <w:i/>
                <w:sz w:val="24"/>
              </w:rPr>
              <w:t>Data Preparation and Protocol Fixing</w:t>
            </w:r>
          </w:p>
          <w:p>
            <w:pPr>
              <w:pStyle w:val="ListBullet"/>
              <w:spacing w:after="60"/>
              <w:ind w:left="454"/>
              <w:jc w:val="both"/>
            </w:pPr>
            <w:r>
              <w:rPr>
                <w:rFonts w:ascii="Times New Roman" w:hAnsi="Times New Roman"/>
                <w:sz w:val="24"/>
              </w:rPr>
              <w:t>Construct daily bars and five-minute realized measures from one-minute data; verify contiguity, session conventions, and time-zone handling.</w:t>
            </w:r>
          </w:p>
          <w:p>
            <w:pPr>
              <w:pStyle w:val="ListBullet"/>
              <w:spacing w:after="60"/>
              <w:ind w:left="454"/>
              <w:jc w:val="both"/>
            </w:pPr>
            <w:r>
              <w:rPr>
                <w:rFonts w:ascii="Times New Roman" w:hAnsi="Times New Roman"/>
                <w:sz w:val="24"/>
              </w:rPr>
              <w:t xml:space="preserve">Fix the temporal partition, per-axis metrics, multiple-testing procedure, and sealed-set policy in writing </w:t>
            </w:r>
            <w:r>
              <w:rPr>
                <w:rFonts w:ascii="Times New Roman" w:hAnsi="Times New Roman"/>
                <w:b/>
                <w:sz w:val="24"/>
              </w:rPr>
              <w:t>before</w:t>
            </w:r>
            <w:r>
              <w:rPr>
                <w:rFonts w:ascii="Times New Roman" w:hAnsi="Times New Roman"/>
                <w:sz w:val="24"/>
              </w:rPr>
              <w:t xml:space="preserve"> any scoring; record every configuration evaluated.</w:t>
            </w:r>
          </w:p>
          <w:p>
            <w:pPr>
              <w:pStyle w:val="ListBullet"/>
              <w:spacing w:after="60"/>
              <w:ind w:left="454"/>
              <w:jc w:val="both"/>
            </w:pPr>
            <w:r>
              <w:rPr>
                <w:rFonts w:ascii="Times New Roman" w:hAnsi="Times New Roman"/>
                <w:sz w:val="24"/>
              </w:rPr>
              <w:t xml:space="preserve">Anti-leakage self-test: every derived feature's value at time </w:t>
            </w:r>
            <w:r>
              <w:rPr>
                <w:rFonts w:ascii="Times New Roman" w:hAnsi="Times New Roman"/>
                <w:i/>
                <w:sz w:val="24"/>
              </w:rPr>
              <w:t>t</w:t>
            </w:r>
            <w:r>
              <w:rPr>
                <w:rFonts w:ascii="Times New Roman" w:hAnsi="Times New Roman"/>
                <w:sz w:val="24"/>
              </w:rPr>
              <w:t xml:space="preserve"> is unchanged by truncating information revealed after </w:t>
            </w:r>
            <w:r>
              <w:rPr>
                <w:rFonts w:ascii="Times New Roman" w:hAnsi="Times New Roman"/>
                <w:i/>
                <w:sz w:val="24"/>
              </w:rPr>
              <w:t>t</w:t>
            </w:r>
            <w:r>
              <w:rPr>
                <w:rFonts w:ascii="Times New Roman" w:hAnsi="Times New Roman"/>
                <w:sz w:val="24"/>
              </w:rPr>
              <w:t>.</w:t>
            </w:r>
          </w:p>
          <w:p>
            <w:pPr>
              <w:spacing w:before="140" w:after="60"/>
            </w:pPr>
            <w:r>
              <w:rPr>
                <w:rFonts w:ascii="Times New Roman" w:hAnsi="Times New Roman"/>
                <w:b/>
                <w:i/>
                <w:sz w:val="24"/>
              </w:rPr>
              <w:t>Baseline Establishment and Model Comparison</w:t>
            </w:r>
          </w:p>
          <w:p>
            <w:pPr>
              <w:pStyle w:val="ListBullet"/>
              <w:spacing w:after="60"/>
              <w:ind w:left="454"/>
              <w:jc w:val="both"/>
            </w:pPr>
            <w:r>
              <w:rPr>
                <w:rFonts w:ascii="Times New Roman" w:hAnsi="Times New Roman"/>
                <w:sz w:val="24"/>
              </w:rPr>
              <w:t>Extended HAR as the production magnitude baseline; an online expert-combination layer [13] as the probability baseline.</w:t>
            </w:r>
          </w:p>
          <w:p>
            <w:pPr>
              <w:pStyle w:val="ListBullet"/>
              <w:spacing w:after="60"/>
              <w:ind w:left="454"/>
              <w:jc w:val="both"/>
            </w:pPr>
            <w:r>
              <w:rPr>
                <w:rFonts w:ascii="Times New Roman" w:hAnsi="Times New Roman"/>
                <w:sz w:val="24"/>
              </w:rPr>
              <w:t>Compare against regularised linear models, gradient-boosted trees, recurrent/attention networks, a tabular foundation model [14], zero-shot time-series foundation models [11], and forecast combinations, under an identical information set and refit frequency.</w:t>
            </w:r>
          </w:p>
          <w:p>
            <w:pPr>
              <w:pStyle w:val="ListBullet"/>
              <w:spacing w:after="60"/>
              <w:ind w:left="454"/>
              <w:jc w:val="both"/>
            </w:pPr>
            <w:r>
              <w:rPr>
                <w:rFonts w:ascii="Times New Roman" w:hAnsi="Times New Roman"/>
                <w:sz w:val="24"/>
              </w:rPr>
              <w:t>Evaluate with scale-invariant QLIKE [15], CRPS, and log/Brier scores [16]; assess significance with Diebold–Mariano tests [17] and Model Confidence Sets [12].</w:t>
            </w:r>
          </w:p>
          <w:p>
            <w:pPr>
              <w:spacing w:before="140" w:after="60"/>
            </w:pPr>
            <w:r>
              <w:rPr>
                <w:rFonts w:ascii="Times New Roman" w:hAnsi="Times New Roman"/>
                <w:b/>
                <w:i/>
                <w:sz w:val="24"/>
              </w:rPr>
              <w:t>Pattern, Exogenous, and Causal Analysis</w:t>
            </w:r>
          </w:p>
          <w:p>
            <w:pPr>
              <w:pStyle w:val="ListBullet"/>
              <w:spacing w:after="60"/>
              <w:ind w:left="454"/>
              <w:jc w:val="both"/>
            </w:pPr>
            <w:r>
              <w:rPr>
                <w:rFonts w:ascii="Times New Roman" w:hAnsi="Times New Roman"/>
                <w:sz w:val="24"/>
              </w:rPr>
              <w:t>Enumerate the hypothesis space in advance per discovery family and apply step-down max-</w:t>
            </w:r>
            <w:r>
              <w:rPr>
                <w:rFonts w:ascii="Times New Roman" w:hAnsi="Times New Roman"/>
                <w:i/>
                <w:sz w:val="24"/>
              </w:rPr>
              <w:t>T</w:t>
            </w:r>
            <w:r>
              <w:rPr>
                <w:rFonts w:ascii="Times New Roman" w:hAnsi="Times New Roman"/>
                <w:sz w:val="24"/>
              </w:rPr>
              <w:t xml:space="preserve"> resampling with block-preserving nulls [4]; remaining work is limited to pre-registered evaluations at horizons/axes not yet scored — no new family is introduced after the protocol is frozen.</w:t>
            </w:r>
          </w:p>
          <w:p>
            <w:pPr>
              <w:pStyle w:val="ListBullet"/>
              <w:spacing w:after="60"/>
              <w:ind w:left="454"/>
              <w:jc w:val="both"/>
            </w:pPr>
            <w:r>
              <w:rPr>
                <w:rFonts w:ascii="Times New Roman" w:hAnsi="Times New Roman"/>
                <w:sz w:val="24"/>
              </w:rPr>
              <w:t>Condition every candidate on the strongest available null (production volatility forecast for magnitude; time-series momentum for direction [3]).</w:t>
            </w:r>
          </w:p>
          <w:p>
            <w:pPr>
              <w:pStyle w:val="ListBullet"/>
              <w:spacing w:after="60"/>
              <w:ind w:left="454"/>
              <w:jc w:val="both"/>
            </w:pPr>
            <w:r>
              <w:rPr>
                <w:rFonts w:ascii="Times New Roman" w:hAnsi="Times New Roman"/>
                <w:sz w:val="24"/>
              </w:rPr>
              <w:t>For the exogenous layer, contrast all-variable, validation-selected, and causally-filtered feature sets (Granger+Westfall–Young, triangulated against PCMCI [18], Double Machine Learning [33], Causal Forest [34], and CausalImpact [28] — Proposed Method, Causal Discovery Method) under an identical model class and parameter budget. This layer, including the triangulation, is complete; remaining work is limited to writing up the findings (Week 9–10), and the causal-conditioned forecast overlay is deferred (Deferred / Future Work) rather than pursued further here.</w:t>
            </w:r>
          </w:p>
          <w:p>
            <w:pPr>
              <w:pStyle w:val="ListBullet"/>
              <w:spacing w:after="60"/>
              <w:ind w:left="454"/>
              <w:jc w:val="both"/>
            </w:pPr>
            <w:r>
              <w:rPr>
                <w:rFonts w:ascii="Times New Roman" w:hAnsi="Times New Roman"/>
                <w:sz w:val="24"/>
              </w:rPr>
              <w:t>Screen for sign consistency across pairs and years, and require leave-one-pair-out transfer before any candidate is admitted.</w:t>
            </w:r>
          </w:p>
          <w:p>
            <w:pPr>
              <w:spacing w:before="140" w:after="60"/>
            </w:pPr>
            <w:r>
              <w:rPr>
                <w:rFonts w:ascii="Times New Roman" w:hAnsi="Times New Roman"/>
                <w:b/>
                <w:i/>
                <w:sz w:val="24"/>
              </w:rPr>
              <w:t>Calibration, Risk, and Decision Layer</w:t>
            </w:r>
          </w:p>
          <w:p>
            <w:pPr>
              <w:pStyle w:val="ListBullet"/>
              <w:spacing w:after="60"/>
              <w:ind w:left="454"/>
              <w:jc w:val="both"/>
            </w:pPr>
            <w:r>
              <w:rPr>
                <w:rFonts w:ascii="Times New Roman" w:hAnsi="Times New Roman"/>
                <w:sz w:val="24"/>
              </w:rPr>
              <w:t>Adaptive conformal inference with Mondrian stratification by volatility regime [19], [20]; verify empirical coverage overall and by regime.</w:t>
            </w:r>
          </w:p>
          <w:p>
            <w:pPr>
              <w:pStyle w:val="ListBullet"/>
              <w:spacing w:after="60"/>
              <w:ind w:left="454"/>
              <w:jc w:val="both"/>
            </w:pPr>
            <w:r>
              <w:rPr>
                <w:rFonts w:ascii="Times New Roman" w:hAnsi="Times New Roman"/>
                <w:sz w:val="24"/>
              </w:rPr>
              <w:t>Estimate VaR/ES from empirical quantiles of standardised returns; backtest per pair with unconditional [21], conditional [22], and dynamic-quantile [23] tests; assess the joint (VaR, ES) pair with a strictly consistent scoring function [24].</w:t>
            </w:r>
          </w:p>
          <w:p>
            <w:pPr>
              <w:pStyle w:val="ListBullet"/>
              <w:spacing w:after="60"/>
              <w:ind w:left="454"/>
              <w:jc w:val="both"/>
            </w:pPr>
            <w:r>
              <w:rPr>
                <w:rFonts w:ascii="Times New Roman" w:hAnsi="Times New Roman"/>
                <w:sz w:val="24"/>
              </w:rPr>
              <w:t>Compute position size as the minimum of a growth-optimal fraction [25] and a ruin-constrained cap, adjusted by regime, drawdown, portfolio correlation, and a measured slippage coefficient.</w:t>
            </w:r>
          </w:p>
          <w:p>
            <w:pPr>
              <w:spacing w:before="140" w:after="60"/>
            </w:pPr>
            <w:r>
              <w:rPr>
                <w:rFonts w:ascii="Times New Roman" w:hAnsi="Times New Roman"/>
                <w:b/>
                <w:i/>
                <w:sz w:val="24"/>
              </w:rPr>
              <w:t>Power Analysis and Sealed Validation</w:t>
            </w:r>
          </w:p>
          <w:p>
            <w:pPr>
              <w:pStyle w:val="ListBullet"/>
              <w:spacing w:after="60"/>
              <w:ind w:left="454"/>
              <w:jc w:val="both"/>
            </w:pPr>
            <w:r>
              <w:rPr>
                <w:rFonts w:ascii="Times New Roman" w:hAnsi="Times New Roman"/>
                <w:sz w:val="24"/>
              </w:rPr>
              <w:t>For every negative finding, inject synthetic effects through the actual testing funnel and report the effect size detected at 80% power, with a negative control for the false-positive rate under pure noise.</w:t>
            </w:r>
          </w:p>
          <w:p>
            <w:pPr>
              <w:pStyle w:val="ListBullet"/>
              <w:spacing w:after="60"/>
              <w:ind w:left="454"/>
              <w:jc w:val="both"/>
            </w:pPr>
            <w:r>
              <w:rPr>
                <w:rFonts w:ascii="Times New Roman" w:hAnsi="Times New Roman"/>
                <w:sz w:val="24"/>
              </w:rPr>
              <w:t>Freeze the final configuration in writing, then open the sealed evaluation set exactly once and report the resulting numbers without modification.</w:t>
            </w:r>
          </w:p>
          <w:p>
            <w:pPr>
              <w:spacing w:before="140" w:after="60"/>
            </w:pPr>
            <w:r>
              <w:rPr>
                <w:rFonts w:ascii="Times New Roman" w:hAnsi="Times New Roman"/>
                <w:b/>
                <w:i/>
                <w:sz w:val="24"/>
              </w:rPr>
              <w:t>System Implementation and Analysis</w:t>
            </w:r>
          </w:p>
          <w:p>
            <w:pPr>
              <w:pStyle w:val="ListBullet"/>
              <w:spacing w:after="60"/>
              <w:ind w:left="454"/>
              <w:jc w:val="both"/>
            </w:pPr>
            <w:r>
              <w:rPr>
                <w:rFonts w:ascii="Times New Roman" w:hAnsi="Times New Roman"/>
                <w:sz w:val="24"/>
              </w:rPr>
              <w:t>Maintain the operating end-to-end product path (Proposed Method and System Architecture) throughout the study, integrating each research layer as a versioned artefact the week it is completed (per-week deliverables in the Research Plan); harden the system in the final weeks with full provenance for every displayed quantity.</w:t>
            </w:r>
          </w:p>
          <w:p>
            <w:pPr>
              <w:pStyle w:val="ListBullet"/>
              <w:spacing w:after="60"/>
              <w:ind w:left="454"/>
              <w:jc w:val="both"/>
            </w:pPr>
            <w:r>
              <w:rPr>
                <w:rFonts w:ascii="Times New Roman" w:hAnsi="Times New Roman"/>
                <w:sz w:val="24"/>
              </w:rPr>
              <w:t>Analyse failure cases and limitations — pairs failing tail backtests, horizons where calibration degrades — and report them within the interface rather than omitting them.</w:t>
            </w:r>
          </w:p>
        </w:tc>
      </w:tr>
      <w:tr>
        <w:tc>
          <w:tcPr>
            <w:tcW w:type="dxa" w:w="9973"/>
          </w:tcPr>
          <w:p>
            <w:pPr>
              <w:spacing w:after="100"/>
            </w:pPr>
            <w:r>
              <w:rPr>
                <w:rFonts w:ascii="Times New Roman" w:hAnsi="Times New Roman"/>
                <w:b/>
                <w:sz w:val="24"/>
              </w:rPr>
              <w:t>Expected Results and Contributions:</w:t>
            </w:r>
          </w:p>
          <w:p>
            <w:pPr>
              <w:pStyle w:val="ListBullet"/>
              <w:spacing w:after="60"/>
              <w:ind w:left="454"/>
              <w:jc w:val="both"/>
            </w:pPr>
            <w:r>
              <w:rPr>
                <w:rFonts w:ascii="Times New Roman" w:hAnsi="Times New Roman"/>
                <w:b/>
                <w:sz w:val="24"/>
              </w:rPr>
              <w:t>A validated FX decision support system</w:t>
            </w:r>
            <w:r>
              <w:rPr>
                <w:rFonts w:ascii="Times New Roman" w:hAnsi="Times New Roman"/>
                <w:sz w:val="24"/>
              </w:rPr>
              <w:t xml:space="preserve"> issuing, per session and pair, a volatility forecast, a calibrated three-class probability with a conformal prediction set, an event-risk assessment, and a ruin-constrained position-sizing recommendation, with every displayed quantity traceable to a specific measurement.</w:t>
            </w:r>
          </w:p>
          <w:p>
            <w:pPr>
              <w:pStyle w:val="ListBullet"/>
              <w:spacing w:after="60"/>
              <w:ind w:left="454"/>
              <w:jc w:val="both"/>
            </w:pPr>
            <w:r>
              <w:rPr>
                <w:rFonts w:ascii="Times New Roman" w:hAnsi="Times New Roman"/>
                <w:b/>
                <w:sz w:val="24"/>
              </w:rPr>
              <w:t>An axis-resolved characterisation of daily FX predictability.</w:t>
            </w:r>
            <w:r>
              <w:rPr>
                <w:rFonts w:ascii="Times New Roman" w:hAnsi="Times New Roman"/>
                <w:sz w:val="24"/>
              </w:rPr>
              <w:t xml:space="preserve"> Results frozen to date show positive, statistically significant skill on the magnitude axis and none on direction across twelve independent discovery branches; the thesis completes the remaining horizons and confirms this on the sealed evaluation set, not yet opened.</w:t>
            </w:r>
          </w:p>
          <w:p>
            <w:pPr>
              <w:pStyle w:val="ListBullet"/>
              <w:spacing w:after="60"/>
              <w:ind w:left="454"/>
              <w:jc w:val="both"/>
            </w:pPr>
            <w:r>
              <w:rPr>
                <w:rFonts w:ascii="Times New Roman" w:hAnsi="Times New Roman"/>
                <w:b/>
                <w:sz w:val="24"/>
              </w:rPr>
              <w:t>A systematic benchmark of model complexity for FX volatility forecasting</w:t>
            </w:r>
            <w:r>
              <w:rPr>
                <w:rFonts w:ascii="Times New Roman" w:hAnsi="Times New Roman"/>
                <w:sz w:val="24"/>
              </w:rPr>
              <w:t xml:space="preserve"> — linear, tree-based, recurrent, attention-based, and foundation models, plus exhaustive forecast combinations, evaluated with proper scoring rules and model confidence sets.</w:t>
            </w:r>
          </w:p>
          <w:p>
            <w:pPr>
              <w:pStyle w:val="ListBullet"/>
              <w:spacing w:after="60"/>
              <w:ind w:left="454"/>
              <w:jc w:val="both"/>
            </w:pPr>
            <w:r>
              <w:rPr>
                <w:rFonts w:ascii="Times New Roman" w:hAnsi="Times New Roman"/>
                <w:b/>
                <w:sz w:val="24"/>
              </w:rPr>
              <w:t>An empirical comparison of causal filtering against ordinary feature selection, and a five-method causal triangulation with an honest split between its two roles.</w:t>
            </w:r>
            <w:r>
              <w:rPr>
                <w:rFonts w:ascii="Times New Roman" w:hAnsi="Times New Roman"/>
                <w:sz w:val="24"/>
              </w:rPr>
              <w:t xml:space="preserve"> A completed, frozen ablation — its sealed-set evaluation deliberately not opened, per the pre-registered rule that a non-positive verdict does not warrant it — shows causally-filtered variables degrade substantially less out of sample than validation-selected ones, the mechanism measured as distribution drift in the latter. Separately, Granger+Westfall–Young, PCMCI, Double ML, Causal Forest, and CausalImpact independently converge on VIX and demonstrate concretely (PCMCI's simultaneous conditioning) how it is distinguished from a confound. The triangulation's validation role (deciding which variable is trusted) is complete and load-bearing; its forecast-performance role was tested and found not yet effective, reported as a negative finding rather than an overstated gain.</w:t>
            </w:r>
          </w:p>
          <w:p>
            <w:pPr>
              <w:pStyle w:val="ListBullet"/>
              <w:spacing w:after="60"/>
              <w:ind w:left="454"/>
              <w:jc w:val="both"/>
            </w:pPr>
            <w:r>
              <w:rPr>
                <w:rFonts w:ascii="Times New Roman" w:hAnsi="Times New Roman"/>
                <w:b/>
                <w:sz w:val="24"/>
              </w:rPr>
              <w:t>Power-bounded negative evidence</w:t>
            </w:r>
            <w:r>
              <w:rPr>
                <w:rFonts w:ascii="Times New Roman" w:hAnsi="Times New Roman"/>
                <w:sz w:val="24"/>
              </w:rPr>
              <w:t xml:space="preserve"> — every negative finding reported with the minimum effect size its procedure could detect, converting "no relationship was found" into "no relationship stronger than </w:t>
            </w:r>
            <w:r>
              <w:rPr>
                <w:rFonts w:ascii="Times New Roman" w:hAnsi="Times New Roman"/>
                <w:i/>
                <w:sz w:val="24"/>
              </w:rPr>
              <w:t>X</w:t>
            </w:r>
            <w:r>
              <w:rPr>
                <w:rFonts w:ascii="Times New Roman" w:hAnsi="Times New Roman"/>
                <w:sz w:val="24"/>
              </w:rPr>
              <w:t xml:space="preserve"> exists in these data".</w:t>
            </w:r>
          </w:p>
          <w:p>
            <w:pPr>
              <w:pStyle w:val="ListBullet"/>
              <w:spacing w:after="60"/>
              <w:ind w:left="454"/>
              <w:jc w:val="both"/>
            </w:pPr>
            <w:r>
              <w:rPr>
                <w:rFonts w:ascii="Times New Roman" w:hAnsi="Times New Roman"/>
                <w:b/>
                <w:sz w:val="24"/>
              </w:rPr>
              <w:t>Three applied contributions to risk-aware decision support</w:t>
            </w:r>
            <w:r>
              <w:rPr>
                <w:rFonts w:ascii="Times New Roman" w:hAnsi="Times New Roman"/>
                <w:sz w:val="24"/>
              </w:rPr>
              <w:t>: a portfolio correlation factor quantifying the gap between nominal and realised ruin probability under correlated positions; a holding-horizon table addressing systematic misreading of single-session stop-out probabilities; and a slippage coefficient estimated from observed stop-loss executions rather than assumed.</w:t>
            </w:r>
          </w:p>
          <w:p>
            <w:pPr>
              <w:pStyle w:val="ListBullet"/>
              <w:spacing w:after="60"/>
              <w:ind w:left="454"/>
              <w:jc w:val="both"/>
            </w:pPr>
            <w:r>
              <w:rPr>
                <w:rFonts w:ascii="Times New Roman" w:hAnsi="Times New Roman"/>
                <w:b/>
                <w:sz w:val="24"/>
              </w:rPr>
              <w:t>A reproducible research record</w:t>
            </w:r>
            <w:r>
              <w:rPr>
                <w:rFonts w:ascii="Times New Roman" w:hAnsi="Times New Roman"/>
                <w:sz w:val="24"/>
              </w:rPr>
              <w:t xml:space="preserve"> — the full data dictionary, sealed-set protocol, a registry of every configuration and hypothesis evaluated, and reproduction commands for every reported number, including negative results.</w:t>
            </w:r>
          </w:p>
          <w:p>
            <w:pPr>
              <w:pStyle w:val="ListBullet"/>
              <w:spacing w:after="60"/>
              <w:ind w:left="454"/>
              <w:jc w:val="both"/>
            </w:pPr>
            <w:r>
              <w:rPr>
                <w:rFonts w:ascii="Times New Roman" w:hAnsi="Times New Roman"/>
                <w:b/>
                <w:sz w:val="24"/>
              </w:rPr>
              <w:t>A documented, versioned software architecture</w:t>
            </w:r>
            <w:r>
              <w:rPr>
                <w:rFonts w:ascii="Times New Roman" w:hAnsi="Times New Roman"/>
                <w:sz w:val="24"/>
              </w:rPr>
              <w:t xml:space="preserve"> — the five-layer pipeline, computation layer, API, and web application with an explicit module contract between every layer, so the engineering contribution (how numbers are produced, versioned, and served without the static and live deployments diverging) is itself reported and defensible, not only the numbers it serves.</w:t>
            </w:r>
          </w:p>
        </w:tc>
      </w:tr>
      <w:tr>
        <w:tc>
          <w:tcPr>
            <w:tcW w:type="dxa" w:w="9973"/>
          </w:tcPr>
          <w:p>
            <w:pPr>
              <w:spacing w:after="100"/>
            </w:pPr>
            <w:r>
              <w:rPr>
                <w:rFonts w:ascii="Times New Roman" w:hAnsi="Times New Roman"/>
                <w:b/>
                <w:sz w:val="24"/>
              </w:rPr>
              <w:t>References:</w:t>
            </w:r>
          </w:p>
          <w:p>
            <w:pPr>
              <w:spacing w:after="100"/>
              <w:ind w:firstLine="340"/>
              <w:jc w:val="both"/>
            </w:pPr>
            <w:r>
              <w:rPr>
                <w:rFonts w:ascii="Times New Roman" w:hAnsi="Times New Roman"/>
                <w:sz w:val="24"/>
              </w:rPr>
              <w:t xml:space="preserve">[1] R. A. Meese and K. Rogoff, "Empirical exchange rate models of the seventies: Do they fit out of sample?," </w:t>
            </w:r>
            <w:r>
              <w:rPr>
                <w:rFonts w:ascii="Times New Roman" w:hAnsi="Times New Roman"/>
                <w:i/>
                <w:sz w:val="24"/>
              </w:rPr>
              <w:t>Journal of International Economics</w:t>
            </w:r>
            <w:r>
              <w:rPr>
                <w:rFonts w:ascii="Times New Roman" w:hAnsi="Times New Roman"/>
                <w:sz w:val="24"/>
              </w:rPr>
              <w:t>, vol. 14, no. 1–2, pp. 3–24, 1983, doi: 10.1016/0022-1996(83)90017-X.</w:t>
            </w:r>
          </w:p>
          <w:p>
            <w:pPr>
              <w:spacing w:after="100"/>
              <w:ind w:firstLine="340"/>
              <w:jc w:val="both"/>
            </w:pPr>
            <w:r>
              <w:rPr>
                <w:rFonts w:ascii="Times New Roman" w:hAnsi="Times New Roman"/>
                <w:sz w:val="24"/>
              </w:rPr>
              <w:t xml:space="preserve">[2] P.-H. Hsu, M. P. Taylor, and Z. Wang, "Technical trading: Is it still beating the foreign exchange market?," </w:t>
            </w:r>
            <w:r>
              <w:rPr>
                <w:rFonts w:ascii="Times New Roman" w:hAnsi="Times New Roman"/>
                <w:i/>
                <w:sz w:val="24"/>
              </w:rPr>
              <w:t>Journal of International Economics</w:t>
            </w:r>
            <w:r>
              <w:rPr>
                <w:rFonts w:ascii="Times New Roman" w:hAnsi="Times New Roman"/>
                <w:sz w:val="24"/>
              </w:rPr>
              <w:t>, vol. 102, pp. 188–208, 2016, doi: 10.1016/j.jinteco.2016.03.012.</w:t>
            </w:r>
          </w:p>
          <w:p>
            <w:pPr>
              <w:spacing w:after="100"/>
              <w:ind w:firstLine="340"/>
              <w:jc w:val="both"/>
            </w:pPr>
            <w:r>
              <w:rPr>
                <w:rFonts w:ascii="Times New Roman" w:hAnsi="Times New Roman"/>
                <w:sz w:val="24"/>
              </w:rPr>
              <w:t xml:space="preserve">[3] M. C. Hutchinson, P. E. Kyziropoulos, J. O'Brien, P. O'Reilly, and T. Sharma, "Technical trading rule profitability in currencies: It's all about momentum," </w:t>
            </w:r>
            <w:r>
              <w:rPr>
                <w:rFonts w:ascii="Times New Roman" w:hAnsi="Times New Roman"/>
                <w:i/>
                <w:sz w:val="24"/>
              </w:rPr>
              <w:t>Research in International Business and Finance</w:t>
            </w:r>
            <w:r>
              <w:rPr>
                <w:rFonts w:ascii="Times New Roman" w:hAnsi="Times New Roman"/>
                <w:sz w:val="24"/>
              </w:rPr>
              <w:t>, vol. 63, Art. no. 101779, 2022, doi: 10.1016/j.ribaf.2022.101779.</w:t>
            </w:r>
          </w:p>
          <w:p>
            <w:pPr>
              <w:spacing w:after="100"/>
              <w:ind w:firstLine="340"/>
              <w:jc w:val="both"/>
            </w:pPr>
            <w:r>
              <w:rPr>
                <w:rFonts w:ascii="Times New Roman" w:hAnsi="Times New Roman"/>
                <w:sz w:val="24"/>
              </w:rPr>
              <w:t xml:space="preserve">[4] P. H. Westfall and S. S. Young, </w:t>
            </w:r>
            <w:r>
              <w:rPr>
                <w:rFonts w:ascii="Times New Roman" w:hAnsi="Times New Roman"/>
                <w:i/>
                <w:sz w:val="24"/>
              </w:rPr>
              <w:t>Resampling-Based Multiple Testing: Examples and Methods for p-Value Adjustment</w:t>
            </w:r>
            <w:r>
              <w:rPr>
                <w:rFonts w:ascii="Times New Roman" w:hAnsi="Times New Roman"/>
                <w:sz w:val="24"/>
              </w:rPr>
              <w:t>. New York, NY, USA: John Wiley &amp; Sons, 1993.</w:t>
            </w:r>
          </w:p>
          <w:p>
            <w:pPr>
              <w:spacing w:after="100"/>
              <w:ind w:firstLine="340"/>
              <w:jc w:val="both"/>
            </w:pPr>
            <w:r>
              <w:rPr>
                <w:rFonts w:ascii="Times New Roman" w:hAnsi="Times New Roman"/>
                <w:sz w:val="24"/>
              </w:rPr>
              <w:t xml:space="preserve">[5] P. R. Hansen, "A test for superior predictive ability," </w:t>
            </w:r>
            <w:r>
              <w:rPr>
                <w:rFonts w:ascii="Times New Roman" w:hAnsi="Times New Roman"/>
                <w:i/>
                <w:sz w:val="24"/>
              </w:rPr>
              <w:t>Journal of Business &amp; Economic Statistics</w:t>
            </w:r>
            <w:r>
              <w:rPr>
                <w:rFonts w:ascii="Times New Roman" w:hAnsi="Times New Roman"/>
                <w:sz w:val="24"/>
              </w:rPr>
              <w:t>, vol. 23, no. 4, pp. 365–380, 2005, doi: 10.1198/073500105000000063.</w:t>
            </w:r>
          </w:p>
          <w:p>
            <w:pPr>
              <w:spacing w:after="100"/>
              <w:ind w:firstLine="340"/>
              <w:jc w:val="both"/>
            </w:pPr>
            <w:r>
              <w:rPr>
                <w:rFonts w:ascii="Times New Roman" w:hAnsi="Times New Roman"/>
                <w:sz w:val="24"/>
              </w:rPr>
              <w:t xml:space="preserve">[6] W. Hämäläinen and G. I. Webb, "A tutorial on statistically sound pattern discovery," </w:t>
            </w:r>
            <w:r>
              <w:rPr>
                <w:rFonts w:ascii="Times New Roman" w:hAnsi="Times New Roman"/>
                <w:i/>
                <w:sz w:val="24"/>
              </w:rPr>
              <w:t>Data Mining and Knowledge Discovery</w:t>
            </w:r>
            <w:r>
              <w:rPr>
                <w:rFonts w:ascii="Times New Roman" w:hAnsi="Times New Roman"/>
                <w:sz w:val="24"/>
              </w:rPr>
              <w:t>, vol. 33, no. 2, pp. 325–377, 2019, doi: 10.1007/s10618-018-0590-x.</w:t>
            </w:r>
          </w:p>
          <w:p>
            <w:pPr>
              <w:spacing w:after="100"/>
              <w:ind w:firstLine="340"/>
              <w:jc w:val="both"/>
            </w:pPr>
            <w:r>
              <w:rPr>
                <w:rFonts w:ascii="Times New Roman" w:hAnsi="Times New Roman"/>
                <w:sz w:val="24"/>
              </w:rPr>
              <w:t xml:space="preserve">[7] F. Corsi, "A simple approximate long-memory model of realized volatility," </w:t>
            </w:r>
            <w:r>
              <w:rPr>
                <w:rFonts w:ascii="Times New Roman" w:hAnsi="Times New Roman"/>
                <w:i/>
                <w:sz w:val="24"/>
              </w:rPr>
              <w:t>Journal of Financial Econometrics</w:t>
            </w:r>
            <w:r>
              <w:rPr>
                <w:rFonts w:ascii="Times New Roman" w:hAnsi="Times New Roman"/>
                <w:sz w:val="24"/>
              </w:rPr>
              <w:t>, vol. 7, no. 2, pp. 174–196, 2009, doi: 10.1093/jjfinec/nbp001.</w:t>
            </w:r>
          </w:p>
          <w:p>
            <w:pPr>
              <w:spacing w:after="100"/>
              <w:ind w:firstLine="340"/>
              <w:jc w:val="both"/>
            </w:pPr>
            <w:r>
              <w:rPr>
                <w:rFonts w:ascii="Times New Roman" w:hAnsi="Times New Roman"/>
                <w:sz w:val="24"/>
              </w:rPr>
              <w:t xml:space="preserve">[8] T. Bollerslev, A. J. Patton, and R. Quaedvlieg, "Exploiting the errors: A simple approach for improved volatility forecasting," </w:t>
            </w:r>
            <w:r>
              <w:rPr>
                <w:rFonts w:ascii="Times New Roman" w:hAnsi="Times New Roman"/>
                <w:i/>
                <w:sz w:val="24"/>
              </w:rPr>
              <w:t>Journal of Econometrics</w:t>
            </w:r>
            <w:r>
              <w:rPr>
                <w:rFonts w:ascii="Times New Roman" w:hAnsi="Times New Roman"/>
                <w:sz w:val="24"/>
              </w:rPr>
              <w:t>, vol. 192, no. 1, pp. 1–18, 2016, doi: 10.1016/j.jeconom.2015.10.007.</w:t>
            </w:r>
          </w:p>
          <w:p>
            <w:pPr>
              <w:spacing w:after="100"/>
              <w:ind w:firstLine="340"/>
              <w:jc w:val="both"/>
            </w:pPr>
            <w:r>
              <w:rPr>
                <w:rFonts w:ascii="Times New Roman" w:hAnsi="Times New Roman"/>
                <w:sz w:val="24"/>
              </w:rPr>
              <w:t xml:space="preserve">[9] O. E. Barndorff-Nielsen and N. Shephard, "Power and bipower variation with stochastic volatility and jumps," </w:t>
            </w:r>
            <w:r>
              <w:rPr>
                <w:rFonts w:ascii="Times New Roman" w:hAnsi="Times New Roman"/>
                <w:i/>
                <w:sz w:val="24"/>
              </w:rPr>
              <w:t>Journal of Financial Econometrics</w:t>
            </w:r>
            <w:r>
              <w:rPr>
                <w:rFonts w:ascii="Times New Roman" w:hAnsi="Times New Roman"/>
                <w:sz w:val="24"/>
              </w:rPr>
              <w:t>, vol. 2, no. 1, pp. 1–37, 2004, doi: 10.1093/jjfinec/nbh001.</w:t>
            </w:r>
          </w:p>
          <w:p>
            <w:pPr>
              <w:spacing w:after="100"/>
              <w:ind w:firstLine="340"/>
              <w:jc w:val="both"/>
            </w:pPr>
            <w:r>
              <w:rPr>
                <w:rFonts w:ascii="Times New Roman" w:hAnsi="Times New Roman"/>
                <w:sz w:val="24"/>
              </w:rPr>
              <w:t xml:space="preserve">[10] R. R. Branco, A. Rubesam, and M. Zevallos, "Forecasting realized volatility: Does anything beat linear models?," </w:t>
            </w:r>
            <w:r>
              <w:rPr>
                <w:rFonts w:ascii="Times New Roman" w:hAnsi="Times New Roman"/>
                <w:i/>
                <w:sz w:val="24"/>
              </w:rPr>
              <w:t>Journal of Empirical Finance</w:t>
            </w:r>
            <w:r>
              <w:rPr>
                <w:rFonts w:ascii="Times New Roman" w:hAnsi="Times New Roman"/>
                <w:sz w:val="24"/>
              </w:rPr>
              <w:t>, vol. 78, Art. no. 101524, 2024, doi: 10.1016/j.jempfin.2024.101524.</w:t>
            </w:r>
          </w:p>
          <w:p>
            <w:pPr>
              <w:spacing w:after="100"/>
              <w:ind w:firstLine="340"/>
              <w:jc w:val="both"/>
            </w:pPr>
            <w:r>
              <w:rPr>
                <w:rFonts w:ascii="Times New Roman" w:hAnsi="Times New Roman"/>
                <w:sz w:val="24"/>
              </w:rPr>
              <w:t>[11] A. Brini, "Forecasting realized volatility with time series foundation models: A comparison with econometric benchmarks," arXiv:2607.05291, 2026. [Online]. Available: https://arxiv.org/abs/2607.05291</w:t>
            </w:r>
          </w:p>
          <w:p>
            <w:pPr>
              <w:spacing w:after="100"/>
              <w:ind w:firstLine="340"/>
              <w:jc w:val="both"/>
            </w:pPr>
            <w:r>
              <w:rPr>
                <w:rFonts w:ascii="Times New Roman" w:hAnsi="Times New Roman"/>
                <w:sz w:val="24"/>
              </w:rPr>
              <w:t xml:space="preserve">[12] P. R. Hansen, A. Lunde, and J. M. Nason, "The model confidence set," </w:t>
            </w:r>
            <w:r>
              <w:rPr>
                <w:rFonts w:ascii="Times New Roman" w:hAnsi="Times New Roman"/>
                <w:i/>
                <w:sz w:val="24"/>
              </w:rPr>
              <w:t>Econometrica</w:t>
            </w:r>
            <w:r>
              <w:rPr>
                <w:rFonts w:ascii="Times New Roman" w:hAnsi="Times New Roman"/>
                <w:sz w:val="24"/>
              </w:rPr>
              <w:t>, vol. 79, no. 2, pp. 453–497, 2011, doi: 10.3982/ECTA5771.</w:t>
            </w:r>
          </w:p>
          <w:p>
            <w:pPr>
              <w:spacing w:after="100"/>
              <w:ind w:firstLine="340"/>
              <w:jc w:val="both"/>
            </w:pPr>
            <w:r>
              <w:rPr>
                <w:rFonts w:ascii="Times New Roman" w:hAnsi="Times New Roman"/>
                <w:sz w:val="24"/>
              </w:rPr>
              <w:t xml:space="preserve">[13] Y. Freund and R. E. Schapire, "A decision-theoretic generalization of on-line learning and an application to boosting," </w:t>
            </w:r>
            <w:r>
              <w:rPr>
                <w:rFonts w:ascii="Times New Roman" w:hAnsi="Times New Roman"/>
                <w:i/>
                <w:sz w:val="24"/>
              </w:rPr>
              <w:t>Journal of Computer and System Sciences</w:t>
            </w:r>
            <w:r>
              <w:rPr>
                <w:rFonts w:ascii="Times New Roman" w:hAnsi="Times New Roman"/>
                <w:sz w:val="24"/>
              </w:rPr>
              <w:t>, vol. 55, no. 1, pp. 119–139, 1997, doi: 10.1006/jcss.1997.1504.</w:t>
            </w:r>
          </w:p>
          <w:p>
            <w:pPr>
              <w:spacing w:after="100"/>
              <w:ind w:firstLine="340"/>
              <w:jc w:val="both"/>
            </w:pPr>
            <w:r>
              <w:rPr>
                <w:rFonts w:ascii="Times New Roman" w:hAnsi="Times New Roman"/>
                <w:sz w:val="24"/>
              </w:rPr>
              <w:t xml:space="preserve">[14] N. Hollmann, S. Müller, L. Purucker, A. Krishnakumar, M. Körfer, S. B. Hoo, R. T. Schirrmeister, and F. Hutter, "Accurate predictions on small data with a tabular foundation model," </w:t>
            </w:r>
            <w:r>
              <w:rPr>
                <w:rFonts w:ascii="Times New Roman" w:hAnsi="Times New Roman"/>
                <w:i/>
                <w:sz w:val="24"/>
              </w:rPr>
              <w:t>Nature</w:t>
            </w:r>
            <w:r>
              <w:rPr>
                <w:rFonts w:ascii="Times New Roman" w:hAnsi="Times New Roman"/>
                <w:sz w:val="24"/>
              </w:rPr>
              <w:t>, vol. 637, pp. 319–326, 2025, doi: 10.1038/s41586-024-08328-6.</w:t>
            </w:r>
          </w:p>
          <w:p>
            <w:pPr>
              <w:spacing w:after="100"/>
              <w:ind w:firstLine="340"/>
              <w:jc w:val="both"/>
            </w:pPr>
            <w:r>
              <w:rPr>
                <w:rFonts w:ascii="Times New Roman" w:hAnsi="Times New Roman"/>
                <w:sz w:val="24"/>
              </w:rPr>
              <w:t xml:space="preserve">[15] A. J. Patton, "Volatility forecast comparison using imperfect volatility proxies," </w:t>
            </w:r>
            <w:r>
              <w:rPr>
                <w:rFonts w:ascii="Times New Roman" w:hAnsi="Times New Roman"/>
                <w:i/>
                <w:sz w:val="24"/>
              </w:rPr>
              <w:t>Journal of Econometrics</w:t>
            </w:r>
            <w:r>
              <w:rPr>
                <w:rFonts w:ascii="Times New Roman" w:hAnsi="Times New Roman"/>
                <w:sz w:val="24"/>
              </w:rPr>
              <w:t>, vol. 160, no. 1, pp. 246–256, 2011, doi: 10.1016/j.jeconom.2010.03.034.</w:t>
            </w:r>
          </w:p>
          <w:p>
            <w:pPr>
              <w:spacing w:after="100"/>
              <w:ind w:firstLine="340"/>
              <w:jc w:val="both"/>
            </w:pPr>
            <w:r>
              <w:rPr>
                <w:rFonts w:ascii="Times New Roman" w:hAnsi="Times New Roman"/>
                <w:sz w:val="24"/>
              </w:rPr>
              <w:t xml:space="preserve">[16] T. Gneiting and A. E. Raftery, "Strictly proper scoring rules, prediction, and estimation," </w:t>
            </w:r>
            <w:r>
              <w:rPr>
                <w:rFonts w:ascii="Times New Roman" w:hAnsi="Times New Roman"/>
                <w:i/>
                <w:sz w:val="24"/>
              </w:rPr>
              <w:t>Journal of the American Statistical Association</w:t>
            </w:r>
            <w:r>
              <w:rPr>
                <w:rFonts w:ascii="Times New Roman" w:hAnsi="Times New Roman"/>
                <w:sz w:val="24"/>
              </w:rPr>
              <w:t>, vol. 102, no. 477, pp. 359–378, 2007, doi: 10.1198/016214506000001437.</w:t>
            </w:r>
          </w:p>
          <w:p>
            <w:pPr>
              <w:spacing w:after="100"/>
              <w:ind w:firstLine="340"/>
              <w:jc w:val="both"/>
            </w:pPr>
            <w:r>
              <w:rPr>
                <w:rFonts w:ascii="Times New Roman" w:hAnsi="Times New Roman"/>
                <w:sz w:val="24"/>
              </w:rPr>
              <w:t xml:space="preserve">[17] F. X. Diebold and R. S. Mariano, "Comparing predictive accuracy," </w:t>
            </w:r>
            <w:r>
              <w:rPr>
                <w:rFonts w:ascii="Times New Roman" w:hAnsi="Times New Roman"/>
                <w:i/>
                <w:sz w:val="24"/>
              </w:rPr>
              <w:t>Journal of Business &amp; Economic Statistics</w:t>
            </w:r>
            <w:r>
              <w:rPr>
                <w:rFonts w:ascii="Times New Roman" w:hAnsi="Times New Roman"/>
                <w:sz w:val="24"/>
              </w:rPr>
              <w:t>, vol. 13, no. 3, pp. 253–263, 1995, doi: 10.1080/07350015.1995.10524599.</w:t>
            </w:r>
          </w:p>
          <w:p>
            <w:pPr>
              <w:spacing w:after="100"/>
              <w:ind w:firstLine="340"/>
              <w:jc w:val="both"/>
            </w:pPr>
            <w:r>
              <w:rPr>
                <w:rFonts w:ascii="Times New Roman" w:hAnsi="Times New Roman"/>
                <w:sz w:val="24"/>
              </w:rPr>
              <w:t xml:space="preserve">[18] J. Runge, P. Nowack, M. Kretschmer, S. Flaxman, and D. Sejdinovic, "Detecting and quantifying causal associations in large nonlinear time series datasets," </w:t>
            </w:r>
            <w:r>
              <w:rPr>
                <w:rFonts w:ascii="Times New Roman" w:hAnsi="Times New Roman"/>
                <w:i/>
                <w:sz w:val="24"/>
              </w:rPr>
              <w:t>Science Advances</w:t>
            </w:r>
            <w:r>
              <w:rPr>
                <w:rFonts w:ascii="Times New Roman" w:hAnsi="Times New Roman"/>
                <w:sz w:val="24"/>
              </w:rPr>
              <w:t>, vol. 5, no. 11, Art. no. eaau4996, 2019, doi: 10.1126/sciadv.aau4996.</w:t>
            </w:r>
          </w:p>
          <w:p>
            <w:pPr>
              <w:spacing w:after="100"/>
              <w:ind w:firstLine="340"/>
              <w:jc w:val="both"/>
            </w:pPr>
            <w:r>
              <w:rPr>
                <w:rFonts w:ascii="Times New Roman" w:hAnsi="Times New Roman"/>
                <w:sz w:val="24"/>
              </w:rPr>
              <w:t xml:space="preserve">[19] I. Gibbs and E. Candès, "Adaptive conformal inference under distribution shift," in </w:t>
            </w:r>
            <w:r>
              <w:rPr>
                <w:rFonts w:ascii="Times New Roman" w:hAnsi="Times New Roman"/>
                <w:i/>
                <w:sz w:val="24"/>
              </w:rPr>
              <w:t>Proc. 35th Conf. Neural Information Processing Systems (NeurIPS)</w:t>
            </w:r>
            <w:r>
              <w:rPr>
                <w:rFonts w:ascii="Times New Roman" w:hAnsi="Times New Roman"/>
                <w:sz w:val="24"/>
              </w:rPr>
              <w:t>, 2021, pp. 1660–1672.</w:t>
            </w:r>
          </w:p>
          <w:p>
            <w:pPr>
              <w:spacing w:after="100"/>
              <w:ind w:firstLine="340"/>
              <w:jc w:val="both"/>
            </w:pPr>
            <w:r>
              <w:rPr>
                <w:rFonts w:ascii="Times New Roman" w:hAnsi="Times New Roman"/>
                <w:sz w:val="24"/>
              </w:rPr>
              <w:t xml:space="preserve">[20] A. N. Angelopoulos and S. Bates, "Conformal prediction: A gentle introduction," </w:t>
            </w:r>
            <w:r>
              <w:rPr>
                <w:rFonts w:ascii="Times New Roman" w:hAnsi="Times New Roman"/>
                <w:i/>
                <w:sz w:val="24"/>
              </w:rPr>
              <w:t>Foundations and Trends in Machine Learning</w:t>
            </w:r>
            <w:r>
              <w:rPr>
                <w:rFonts w:ascii="Times New Roman" w:hAnsi="Times New Roman"/>
                <w:sz w:val="24"/>
              </w:rPr>
              <w:t>, vol. 16, no. 4, pp. 494–591, 2023, doi: 10.1561/2200000101.</w:t>
            </w:r>
          </w:p>
          <w:p>
            <w:pPr>
              <w:spacing w:after="100"/>
              <w:ind w:firstLine="340"/>
              <w:jc w:val="both"/>
            </w:pPr>
            <w:r>
              <w:rPr>
                <w:rFonts w:ascii="Times New Roman" w:hAnsi="Times New Roman"/>
                <w:sz w:val="24"/>
              </w:rPr>
              <w:t xml:space="preserve">[21] P. H. Kupiec, "Techniques for verifying the accuracy of risk measurement models," </w:t>
            </w:r>
            <w:r>
              <w:rPr>
                <w:rFonts w:ascii="Times New Roman" w:hAnsi="Times New Roman"/>
                <w:i/>
                <w:sz w:val="24"/>
              </w:rPr>
              <w:t>The Journal of Derivatives</w:t>
            </w:r>
            <w:r>
              <w:rPr>
                <w:rFonts w:ascii="Times New Roman" w:hAnsi="Times New Roman"/>
                <w:sz w:val="24"/>
              </w:rPr>
              <w:t>, vol. 3, no. 2, pp. 73–84, 1995, doi: 10.3905/jod.1995.407942.</w:t>
            </w:r>
          </w:p>
          <w:p>
            <w:pPr>
              <w:spacing w:after="100"/>
              <w:ind w:firstLine="340"/>
              <w:jc w:val="both"/>
            </w:pPr>
            <w:r>
              <w:rPr>
                <w:rFonts w:ascii="Times New Roman" w:hAnsi="Times New Roman"/>
                <w:sz w:val="24"/>
              </w:rPr>
              <w:t xml:space="preserve">[22] P. F. Christoffersen, "Evaluating interval forecasts," </w:t>
            </w:r>
            <w:r>
              <w:rPr>
                <w:rFonts w:ascii="Times New Roman" w:hAnsi="Times New Roman"/>
                <w:i/>
                <w:sz w:val="24"/>
              </w:rPr>
              <w:t>International Economic Review</w:t>
            </w:r>
            <w:r>
              <w:rPr>
                <w:rFonts w:ascii="Times New Roman" w:hAnsi="Times New Roman"/>
                <w:sz w:val="24"/>
              </w:rPr>
              <w:t>, vol. 39, no. 4, pp. 841–862, 1998, doi: 10.2307/2527341.</w:t>
            </w:r>
          </w:p>
          <w:p>
            <w:pPr>
              <w:spacing w:after="100"/>
              <w:ind w:firstLine="340"/>
              <w:jc w:val="both"/>
            </w:pPr>
            <w:r>
              <w:rPr>
                <w:rFonts w:ascii="Times New Roman" w:hAnsi="Times New Roman"/>
                <w:sz w:val="24"/>
              </w:rPr>
              <w:t xml:space="preserve">[23] R. F. Engle and S. Manganelli, "CAViaR: Conditional autoregressive value at risk by regression quantiles," </w:t>
            </w:r>
            <w:r>
              <w:rPr>
                <w:rFonts w:ascii="Times New Roman" w:hAnsi="Times New Roman"/>
                <w:i/>
                <w:sz w:val="24"/>
              </w:rPr>
              <w:t>Journal of Business &amp; Economic Statistics</w:t>
            </w:r>
            <w:r>
              <w:rPr>
                <w:rFonts w:ascii="Times New Roman" w:hAnsi="Times New Roman"/>
                <w:sz w:val="24"/>
              </w:rPr>
              <w:t>, vol. 22, no. 4, pp. 367–381, 2004, doi: 10.1198/073500104000000370.</w:t>
            </w:r>
          </w:p>
          <w:p>
            <w:pPr>
              <w:spacing w:after="100"/>
              <w:ind w:firstLine="340"/>
              <w:jc w:val="both"/>
            </w:pPr>
            <w:r>
              <w:rPr>
                <w:rFonts w:ascii="Times New Roman" w:hAnsi="Times New Roman"/>
                <w:sz w:val="24"/>
              </w:rPr>
              <w:t xml:space="preserve">[24] A. J. Patton, J. F. Ziegel, and R. Chen, "Dynamic semiparametric models for expected shortfall (and value-at-risk)," </w:t>
            </w:r>
            <w:r>
              <w:rPr>
                <w:rFonts w:ascii="Times New Roman" w:hAnsi="Times New Roman"/>
                <w:i/>
                <w:sz w:val="24"/>
              </w:rPr>
              <w:t>Journal of Econometrics</w:t>
            </w:r>
            <w:r>
              <w:rPr>
                <w:rFonts w:ascii="Times New Roman" w:hAnsi="Times New Roman"/>
                <w:sz w:val="24"/>
              </w:rPr>
              <w:t>, vol. 211, no. 2, pp. 388–413, 2019, doi: 10.1016/j.jeconom.2018.10.008.</w:t>
            </w:r>
          </w:p>
          <w:p>
            <w:pPr>
              <w:spacing w:after="100"/>
              <w:ind w:firstLine="340"/>
              <w:jc w:val="both"/>
            </w:pPr>
            <w:r>
              <w:rPr>
                <w:rFonts w:ascii="Times New Roman" w:hAnsi="Times New Roman"/>
                <w:sz w:val="24"/>
              </w:rPr>
              <w:t xml:space="preserve">[25] J. L. Kelly, "A new interpretation of information rate," </w:t>
            </w:r>
            <w:r>
              <w:rPr>
                <w:rFonts w:ascii="Times New Roman" w:hAnsi="Times New Roman"/>
                <w:i/>
                <w:sz w:val="24"/>
              </w:rPr>
              <w:t>The Bell System Technical Journal</w:t>
            </w:r>
            <w:r>
              <w:rPr>
                <w:rFonts w:ascii="Times New Roman" w:hAnsi="Times New Roman"/>
                <w:sz w:val="24"/>
              </w:rPr>
              <w:t>, vol. 35, no. 4, pp. 917–926, 1956, doi: 10.1002/j.1538-7305.1956.tb03809.x.</w:t>
            </w:r>
          </w:p>
          <w:p>
            <w:pPr>
              <w:spacing w:after="100"/>
              <w:ind w:firstLine="340"/>
              <w:jc w:val="both"/>
            </w:pPr>
            <w:r>
              <w:rPr>
                <w:rFonts w:ascii="Times New Roman" w:hAnsi="Times New Roman"/>
                <w:sz w:val="24"/>
              </w:rPr>
              <w:t xml:space="preserve">[26] I. Orquín-Serrano, "Predictive power of adaptive candlestick patterns in Forex market. EURUSD case," </w:t>
            </w:r>
            <w:r>
              <w:rPr>
                <w:rFonts w:ascii="Times New Roman" w:hAnsi="Times New Roman"/>
                <w:i/>
                <w:sz w:val="24"/>
              </w:rPr>
              <w:t>Mathematics</w:t>
            </w:r>
            <w:r>
              <w:rPr>
                <w:rFonts w:ascii="Times New Roman" w:hAnsi="Times New Roman"/>
                <w:sz w:val="24"/>
              </w:rPr>
              <w:t>, vol. 8, no. 5, Art. no. 802, 2020, doi: 10.3390/math8050802.</w:t>
            </w:r>
          </w:p>
          <w:p>
            <w:pPr>
              <w:spacing w:after="100"/>
              <w:ind w:firstLine="340"/>
              <w:jc w:val="both"/>
            </w:pPr>
            <w:r>
              <w:rPr>
                <w:rFonts w:ascii="Times New Roman" w:hAnsi="Times New Roman"/>
                <w:sz w:val="24"/>
              </w:rPr>
              <w:t xml:space="preserve">[27] D. Arnott and G. Pervan, "A critical analysis of decision support systems research," </w:t>
            </w:r>
            <w:r>
              <w:rPr>
                <w:rFonts w:ascii="Times New Roman" w:hAnsi="Times New Roman"/>
                <w:i/>
                <w:sz w:val="24"/>
              </w:rPr>
              <w:t>Journal of Information Technology</w:t>
            </w:r>
            <w:r>
              <w:rPr>
                <w:rFonts w:ascii="Times New Roman" w:hAnsi="Times New Roman"/>
                <w:sz w:val="24"/>
              </w:rPr>
              <w:t>, vol. 20, no. 2, pp. 67–87, 2005, doi: 10.1057/palgrave.jit.2000035.</w:t>
            </w:r>
          </w:p>
          <w:p>
            <w:pPr>
              <w:spacing w:after="100"/>
              <w:ind w:firstLine="340"/>
              <w:jc w:val="both"/>
            </w:pPr>
            <w:r>
              <w:rPr>
                <w:rFonts w:ascii="Times New Roman" w:hAnsi="Times New Roman"/>
                <w:sz w:val="24"/>
              </w:rPr>
              <w:t xml:space="preserve">[28] K. H. Brodersen, F. Gallusser, J. Koehler, N. Remy, and S. L. Scott, "Inferring causal impact using Bayesian structural time-series models," </w:t>
            </w:r>
            <w:r>
              <w:rPr>
                <w:rFonts w:ascii="Times New Roman" w:hAnsi="Times New Roman"/>
                <w:i/>
                <w:sz w:val="24"/>
              </w:rPr>
              <w:t>Annals of Applied Statistics</w:t>
            </w:r>
            <w:r>
              <w:rPr>
                <w:rFonts w:ascii="Times New Roman" w:hAnsi="Times New Roman"/>
                <w:sz w:val="24"/>
              </w:rPr>
              <w:t>, vol. 9, no. 1, pp. 247–274, 2015, doi: 10.1214/14-AOAS788.</w:t>
            </w:r>
          </w:p>
          <w:p>
            <w:pPr>
              <w:spacing w:after="100"/>
              <w:ind w:firstLine="340"/>
              <w:jc w:val="both"/>
            </w:pPr>
            <w:r>
              <w:rPr>
                <w:rFonts w:ascii="Times New Roman" w:hAnsi="Times New Roman"/>
                <w:sz w:val="24"/>
              </w:rPr>
              <w:t xml:space="preserve">[29] J. Runge, A. Gerhardus, G. Varando, V. Eyring, and G. Camps-Valls, "Causal inference for time series," </w:t>
            </w:r>
            <w:r>
              <w:rPr>
                <w:rFonts w:ascii="Times New Roman" w:hAnsi="Times New Roman"/>
                <w:i/>
                <w:sz w:val="24"/>
              </w:rPr>
              <w:t>Nature Reviews Earth &amp; Environment</w:t>
            </w:r>
            <w:r>
              <w:rPr>
                <w:rFonts w:ascii="Times New Roman" w:hAnsi="Times New Roman"/>
                <w:sz w:val="24"/>
              </w:rPr>
              <w:t>, vol. 4, pp. 487–505, 2023, doi: 10.1038/s43017-023-00431-y.</w:t>
            </w:r>
          </w:p>
          <w:p>
            <w:pPr>
              <w:spacing w:after="100"/>
              <w:ind w:firstLine="340"/>
              <w:jc w:val="both"/>
            </w:pPr>
            <w:r>
              <w:rPr>
                <w:rFonts w:ascii="Times New Roman" w:hAnsi="Times New Roman"/>
                <w:sz w:val="24"/>
              </w:rPr>
              <w:t xml:space="preserve">[30] A. N. Angelopoulos, E. J. Candès, and R. J. Tibshirani, "Conformal PID control for time series prediction," in </w:t>
            </w:r>
            <w:r>
              <w:rPr>
                <w:rFonts w:ascii="Times New Roman" w:hAnsi="Times New Roman"/>
                <w:i/>
                <w:sz w:val="24"/>
              </w:rPr>
              <w:t>Advances in Neural Information Processing Systems (NeurIPS)</w:t>
            </w:r>
            <w:r>
              <w:rPr>
                <w:rFonts w:ascii="Times New Roman" w:hAnsi="Times New Roman"/>
                <w:sz w:val="24"/>
              </w:rPr>
              <w:t>, vol. 36, 2023. arXiv:2307.16895.</w:t>
            </w:r>
          </w:p>
          <w:p>
            <w:pPr>
              <w:spacing w:after="100"/>
              <w:ind w:firstLine="340"/>
              <w:jc w:val="both"/>
            </w:pPr>
            <w:r>
              <w:rPr>
                <w:rFonts w:ascii="Times New Roman" w:hAnsi="Times New Roman"/>
                <w:sz w:val="24"/>
              </w:rPr>
              <w:t>[31] S. Shankar, R. Garcia, J. M. Hellerstein, and A. G. Parameswaran, "Operationalizing machine learning: An interview study," arXiv:2209.09125, 2022.</w:t>
            </w:r>
          </w:p>
          <w:p>
            <w:pPr>
              <w:spacing w:after="100"/>
              <w:ind w:firstLine="340"/>
              <w:jc w:val="both"/>
            </w:pPr>
            <w:r>
              <w:rPr>
                <w:rFonts w:ascii="Times New Roman" w:hAnsi="Times New Roman"/>
                <w:sz w:val="24"/>
              </w:rPr>
              <w:t>[32] S. Karanam and J. Bhargav, "Microservice architecture patterns for scalable machine learning systems," arXiv:2603.13672, 2026.</w:t>
            </w:r>
          </w:p>
          <w:p>
            <w:pPr>
              <w:spacing w:after="100"/>
              <w:ind w:firstLine="340"/>
              <w:jc w:val="both"/>
            </w:pPr>
            <w:r>
              <w:rPr>
                <w:rFonts w:ascii="Times New Roman" w:hAnsi="Times New Roman"/>
                <w:sz w:val="24"/>
              </w:rPr>
              <w:t xml:space="preserve">[33] V. Chernozhukov, D. Chetverikov, M. Demirer, E. Duflo, C. Hansen, W. Newey, and J. Robins, "Double/debiased machine learning for treatment and structural parameters," </w:t>
            </w:r>
            <w:r>
              <w:rPr>
                <w:rFonts w:ascii="Times New Roman" w:hAnsi="Times New Roman"/>
                <w:i/>
                <w:sz w:val="24"/>
              </w:rPr>
              <w:t>The Econometrics Journal</w:t>
            </w:r>
            <w:r>
              <w:rPr>
                <w:rFonts w:ascii="Times New Roman" w:hAnsi="Times New Roman"/>
                <w:sz w:val="24"/>
              </w:rPr>
              <w:t>, vol. 21, no. 1, pp. C1–C68, 2018, doi: 10.1111/ectj.12097.</w:t>
            </w:r>
          </w:p>
          <w:p>
            <w:pPr>
              <w:spacing w:after="100"/>
              <w:ind w:firstLine="340"/>
              <w:jc w:val="both"/>
            </w:pPr>
            <w:r>
              <w:rPr>
                <w:rFonts w:ascii="Times New Roman" w:hAnsi="Times New Roman"/>
                <w:sz w:val="24"/>
              </w:rPr>
              <w:t xml:space="preserve">[34] S. Wager and S. Athey, "Estimation and inference of heterogeneous treatment effects using random forests," </w:t>
            </w:r>
            <w:r>
              <w:rPr>
                <w:rFonts w:ascii="Times New Roman" w:hAnsi="Times New Roman"/>
                <w:i/>
                <w:sz w:val="24"/>
              </w:rPr>
              <w:t>Journal of the American Statistical Association</w:t>
            </w:r>
            <w:r>
              <w:rPr>
                <w:rFonts w:ascii="Times New Roman" w:hAnsi="Times New Roman"/>
                <w:sz w:val="24"/>
              </w:rPr>
              <w:t>, vol. 113, no. 523, pp. 1228–1242, 2018, doi: 10.1080/01621459.2017.1319839.</w:t>
            </w:r>
          </w:p>
        </w:tc>
      </w:tr>
      <w:tr>
        <w:tc>
          <w:tcPr>
            <w:tcW w:type="dxa" w:w="9973"/>
          </w:tcPr>
          <w:p>
            <w:pPr>
              <w:spacing w:after="100"/>
            </w:pPr>
            <w:r>
              <w:rPr>
                <w:rFonts w:ascii="Times New Roman" w:hAnsi="Times New Roman"/>
                <w:b/>
                <w:sz w:val="24"/>
              </w:rPr>
              <w:t>Research Plan and Timeline:</w:t>
            </w:r>
          </w:p>
          <w:p>
            <w:pPr>
              <w:spacing w:after="100"/>
              <w:ind w:firstLine="340"/>
              <w:jc w:val="both"/>
            </w:pPr>
            <w:r>
              <w:rPr>
                <w:rFonts w:ascii="Times New Roman" w:hAnsi="Times New Roman"/>
                <w:sz w:val="24"/>
              </w:rPr>
              <w:t>Research timeline: 16 weeks.</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794"/>
              <w:gridCol w:w="6350"/>
              <w:gridCol w:w="2041"/>
            </w:tblGrid>
            <w:tr>
              <w:trPr>
                <w:cantSplit/>
                <w:tblHeader/>
              </w:trPr>
              <w:tc>
                <w:tcPr>
                  <w:tcW w:type="dxa" w:w="794"/>
                </w:tcPr>
                <w:p>
                  <w:pPr>
                    <w:spacing w:after="20"/>
                    <w:jc w:val="left"/>
                  </w:pPr>
                  <w:r/>
                  <w:r>
                    <w:rPr>
                      <w:rFonts w:ascii="Times New Roman" w:hAnsi="Times New Roman"/>
                      <w:b/>
                      <w:sz w:val="21"/>
                    </w:rPr>
                    <w:t>No.</w:t>
                  </w:r>
                </w:p>
              </w:tc>
              <w:tc>
                <w:tcPr>
                  <w:tcW w:type="dxa" w:w="6350"/>
                </w:tcPr>
                <w:p>
                  <w:pPr>
                    <w:spacing w:after="20"/>
                    <w:jc w:val="left"/>
                  </w:pPr>
                  <w:r/>
                  <w:r>
                    <w:rPr>
                      <w:rFonts w:ascii="Times New Roman" w:hAnsi="Times New Roman"/>
                      <w:b/>
                      <w:sz w:val="21"/>
                    </w:rPr>
                    <w:t>Assignments</w:t>
                  </w:r>
                </w:p>
              </w:tc>
              <w:tc>
                <w:tcPr>
                  <w:tcW w:type="dxa" w:w="2041"/>
                </w:tcPr>
                <w:p>
                  <w:pPr>
                    <w:spacing w:after="20"/>
                    <w:jc w:val="left"/>
                  </w:pPr>
                  <w:r/>
                  <w:r>
                    <w:rPr>
                      <w:rFonts w:ascii="Times New Roman" w:hAnsi="Times New Roman"/>
                      <w:b/>
                      <w:sz w:val="21"/>
                    </w:rPr>
                    <w:t>Timeline</w:t>
                  </w:r>
                </w:p>
              </w:tc>
            </w:tr>
            <w:tr>
              <w:trPr>
                <w:cantSplit/>
              </w:trPr>
              <w:tc>
                <w:tcPr>
                  <w:tcW w:type="dxa" w:w="794"/>
                </w:tcPr>
                <w:p>
                  <w:pPr>
                    <w:spacing w:after="20"/>
                    <w:jc w:val="center"/>
                  </w:pPr>
                  <w:r/>
                  <w:r>
                    <w:rPr>
                      <w:rFonts w:ascii="Times New Roman" w:hAnsi="Times New Roman"/>
                      <w:sz w:val="21"/>
                    </w:rPr>
                    <w:t>1</w:t>
                  </w:r>
                </w:p>
              </w:tc>
              <w:tc>
                <w:tcPr>
                  <w:tcW w:type="dxa" w:w="6350"/>
                </w:tcPr>
                <w:p>
                  <w:pPr>
                    <w:spacing w:after="20"/>
                    <w:jc w:val="left"/>
                  </w:pPr>
                  <w:r/>
                  <w:r>
                    <w:rPr>
                      <w:rFonts w:ascii="Times New Roman" w:hAnsi="Times New Roman"/>
                      <w:sz w:val="21"/>
                    </w:rPr>
                    <w:t>– Consolidate the data pipeline; verify contiguity, session conventions, and time-zone handling.</w:t>
                  </w:r>
                </w:p>
                <w:p>
                  <w:pPr>
                    <w:spacing w:after="20"/>
                    <w:jc w:val="left"/>
                  </w:pPr>
                  <w:r>
                    <w:rPr>
                      <w:rFonts w:ascii="Times New Roman" w:hAnsi="Times New Roman"/>
                      <w:sz w:val="21"/>
                    </w:rPr>
                    <w:t>– Fix the evaluation protocol: partition, per-axis metrics, multiple-testing procedure, sealed-set policy.</w:t>
                  </w:r>
                </w:p>
                <w:p>
                  <w:pPr>
                    <w:spacing w:after="20"/>
                    <w:jc w:val="left"/>
                  </w:pPr>
                  <w:r>
                    <w:rPr>
                      <w:rFonts w:ascii="Times New Roman" w:hAnsi="Times New Roman"/>
                      <w:sz w:val="21"/>
                    </w:rPr>
                    <w:t>– Reproduce all baseline results from a clean checkout.</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verify the daily pipeline job and </w:t>
                  </w:r>
                  <w:r>
                    <w:rPr>
                      <w:rFonts w:ascii="Consolas" w:hAnsi="Consolas"/>
                      <w:sz w:val="21"/>
                    </w:rPr>
                    <w:t>/health</w:t>
                  </w:r>
                  <w:r>
                    <w:rPr>
                      <w:rFonts w:ascii="Times New Roman" w:hAnsi="Times New Roman"/>
                      <w:sz w:val="21"/>
                    </w:rPr>
                    <w:t>/</w:t>
                  </w:r>
                  <w:r>
                    <w:rPr>
                      <w:rFonts w:ascii="Consolas" w:hAnsi="Consolas"/>
                      <w:sz w:val="21"/>
                    </w:rPr>
                    <w:t>/meta</w:t>
                  </w:r>
                  <w:r>
                    <w:rPr>
                      <w:rFonts w:ascii="Times New Roman" w:hAnsi="Times New Roman"/>
                      <w:sz w:val="21"/>
                    </w:rPr>
                    <w:t xml:space="preserve"> diagnostics against the reproduced baseline; tag this state as the architecture's starting version.</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2</w:t>
                  </w:r>
                </w:p>
              </w:tc>
              <w:tc>
                <w:tcPr>
                  <w:tcW w:type="dxa" w:w="6350"/>
                </w:tcPr>
                <w:p>
                  <w:pPr>
                    <w:spacing w:after="20"/>
                    <w:jc w:val="left"/>
                  </w:pPr>
                  <w:r/>
                  <w:r>
                    <w:rPr>
                      <w:rFonts w:ascii="Times New Roman" w:hAnsi="Times New Roman"/>
                      <w:sz w:val="21"/>
                    </w:rPr>
                    <w:t>– Complete the pattern-discovery families at the five- and twenty-session horizons.</w:t>
                  </w:r>
                </w:p>
                <w:p>
                  <w:pPr>
                    <w:spacing w:after="20"/>
                    <w:jc w:val="left"/>
                  </w:pPr>
                  <w:r>
                    <w:rPr>
                      <w:rFonts w:ascii="Times New Roman" w:hAnsi="Times New Roman"/>
                      <w:sz w:val="21"/>
                    </w:rPr>
                    <w:t>– Apply superior predictive ability testing at the family level.</w:t>
                  </w:r>
                </w:p>
                <w:p>
                  <w:pPr>
                    <w:spacing w:after="20"/>
                    <w:jc w:val="left"/>
                  </w:pPr>
                  <w:r>
                    <w:rPr>
                      <w:rFonts w:ascii="Times New Roman" w:hAnsi="Times New Roman"/>
                      <w:sz w:val="21"/>
                    </w:rPr>
                    <w:t>– Document the enumerated hypothesis space in full.</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register the new discovery-family results in the model registry served by </w:t>
                  </w:r>
                  <w:r>
                    <w:rPr>
                      <w:rFonts w:ascii="Consolas" w:hAnsi="Consolas"/>
                      <w:sz w:val="21"/>
                    </w:rPr>
                    <w:t>/models</w:t>
                  </w:r>
                  <w:r>
                    <w:rPr>
                      <w:rFonts w:ascii="Times New Roman" w:hAnsi="Times New Roman"/>
                      <w:sz w:val="21"/>
                    </w:rPr>
                    <w:t>.</w:t>
                  </w:r>
                </w:p>
              </w:tc>
              <w:tc>
                <w:tcPr>
                  <w:tcW w:type="dxa" w:w="2041"/>
                </w:tcPr>
                <w:p>
                  <w:pPr>
                    <w:spacing w:after="20"/>
                    <w:jc w:val="center"/>
                  </w:pPr>
                  <w:r/>
                  <w:r>
                    <w:rPr>
                      <w:rFonts w:ascii="Times New Roman" w:hAnsi="Times New Roman"/>
                      <w:sz w:val="21"/>
                    </w:rPr>
                    <w:t>Week 3–4</w:t>
                  </w:r>
                </w:p>
              </w:tc>
            </w:tr>
            <w:tr>
              <w:trPr>
                <w:cantSplit/>
              </w:trPr>
              <w:tc>
                <w:tcPr>
                  <w:tcW w:type="dxa" w:w="794"/>
                </w:tcPr>
                <w:p>
                  <w:pPr>
                    <w:spacing w:after="20"/>
                    <w:jc w:val="center"/>
                  </w:pPr>
                  <w:r/>
                  <w:r>
                    <w:rPr>
                      <w:rFonts w:ascii="Times New Roman" w:hAnsi="Times New Roman"/>
                      <w:sz w:val="21"/>
                    </w:rPr>
                    <w:t>3</w:t>
                  </w:r>
                </w:p>
              </w:tc>
              <w:tc>
                <w:tcPr>
                  <w:tcW w:type="dxa" w:w="6350"/>
                </w:tcPr>
                <w:p>
                  <w:pPr>
                    <w:spacing w:after="20"/>
                    <w:jc w:val="left"/>
                  </w:pPr>
                  <w:r/>
                  <w:r>
                    <w:rPr>
                      <w:rFonts w:ascii="Times New Roman" w:hAnsi="Times New Roman"/>
                      <w:sz w:val="21"/>
                    </w:rPr>
                    <w:t>– Conduct minimum detectable effect size analysis for every negative finding.</w:t>
                  </w:r>
                </w:p>
                <w:p>
                  <w:pPr>
                    <w:spacing w:after="20"/>
                    <w:jc w:val="left"/>
                  </w:pPr>
                  <w:r>
                    <w:rPr>
                      <w:rFonts w:ascii="Times New Roman" w:hAnsi="Times New Roman"/>
                      <w:sz w:val="21"/>
                    </w:rPr>
                    <w:t>– Validate the discovery funnel with negative controls and known-effect injection.</w:t>
                  </w:r>
                </w:p>
                <w:p>
                  <w:pPr>
                    <w:spacing w:after="20"/>
                    <w:jc w:val="left"/>
                  </w:pPr>
                  <w:r>
                    <w:rPr>
                      <w:rFonts w:ascii="Times New Roman" w:hAnsi="Times New Roman"/>
                      <w:sz w:val="21"/>
                    </w:rPr>
                    <w:t>– Formalise the power-bounded reporting template.</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extend </w:t>
                  </w:r>
                  <w:r>
                    <w:rPr>
                      <w:rFonts w:ascii="Consolas" w:hAnsi="Consolas"/>
                      <w:sz w:val="21"/>
                    </w:rPr>
                    <w:t>/calibration</w:t>
                  </w:r>
                  <w:r>
                    <w:rPr>
                      <w:rFonts w:ascii="Times New Roman" w:hAnsi="Times New Roman"/>
                      <w:sz w:val="21"/>
                    </w:rPr>
                    <w:t xml:space="preserve"> with the MDES figure for every negative finding.</w:t>
                  </w:r>
                </w:p>
              </w:tc>
              <w:tc>
                <w:tcPr>
                  <w:tcW w:type="dxa" w:w="2041"/>
                </w:tcPr>
                <w:p>
                  <w:pPr>
                    <w:spacing w:after="20"/>
                    <w:jc w:val="center"/>
                  </w:pPr>
                  <w:r/>
                  <w:r>
                    <w:rPr>
                      <w:rFonts w:ascii="Times New Roman" w:hAnsi="Times New Roman"/>
                      <w:sz w:val="21"/>
                    </w:rPr>
                    <w:t>Week 5–6</w:t>
                  </w:r>
                </w:p>
              </w:tc>
            </w:tr>
            <w:tr>
              <w:trPr>
                <w:cantSplit/>
              </w:trPr>
              <w:tc>
                <w:tcPr>
                  <w:tcW w:type="dxa" w:w="794"/>
                </w:tcPr>
                <w:p>
                  <w:pPr>
                    <w:spacing w:after="20"/>
                    <w:jc w:val="center"/>
                  </w:pPr>
                  <w:r/>
                  <w:r>
                    <w:rPr>
                      <w:rFonts w:ascii="Times New Roman" w:hAnsi="Times New Roman"/>
                      <w:sz w:val="21"/>
                    </w:rPr>
                    <w:t>4</w:t>
                  </w:r>
                </w:p>
              </w:tc>
              <w:tc>
                <w:tcPr>
                  <w:tcW w:type="dxa" w:w="6350"/>
                </w:tcPr>
                <w:p>
                  <w:pPr>
                    <w:spacing w:after="20"/>
                    <w:jc w:val="left"/>
                  </w:pPr>
                  <w:r/>
                  <w:r>
                    <w:rPr>
                      <w:rFonts w:ascii="Times New Roman" w:hAnsi="Times New Roman"/>
                      <w:sz w:val="21"/>
                    </w:rPr>
                    <w:t>– Address tail-risk failures for the two pairs failing VaR/ES backtests at the 99% level, using conditional and extreme-value approaches.</w:t>
                  </w:r>
                </w:p>
                <w:p>
                  <w:pPr>
                    <w:spacing w:after="20"/>
                    <w:jc w:val="left"/>
                  </w:pPr>
                  <w:r>
                    <w:rPr>
                      <w:rFonts w:ascii="Times New Roman" w:hAnsi="Times New Roman"/>
                      <w:sz w:val="21"/>
                    </w:rPr>
                    <w:t>– Recalibrate the twenty-session horizon.</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update </w:t>
                  </w:r>
                  <w:r>
                    <w:rPr>
                      <w:rFonts w:ascii="Consolas" w:hAnsi="Consolas"/>
                      <w:sz w:val="21"/>
                    </w:rPr>
                    <w:t>/risk</w:t>
                  </w:r>
                  <w:r>
                    <w:rPr>
                      <w:rFonts w:ascii="Times New Roman" w:hAnsi="Times New Roman"/>
                      <w:sz w:val="21"/>
                    </w:rPr>
                    <w:t xml:space="preserve">'s VaR/ES fields for the affected pairs and </w:t>
                  </w:r>
                  <w:r>
                    <w:rPr>
                      <w:rFonts w:ascii="Consolas" w:hAnsi="Consolas"/>
                      <w:sz w:val="21"/>
                    </w:rPr>
                    <w:t>/forecast_next</w:t>
                  </w:r>
                  <w:r>
                    <w:rPr>
                      <w:rFonts w:ascii="Times New Roman" w:hAnsi="Times New Roman"/>
                      <w:sz w:val="21"/>
                    </w:rPr>
                    <w:t>'s twenty-session horizon.</w:t>
                  </w:r>
                </w:p>
              </w:tc>
              <w:tc>
                <w:tcPr>
                  <w:tcW w:type="dxa" w:w="2041"/>
                </w:tcPr>
                <w:p>
                  <w:pPr>
                    <w:spacing w:after="20"/>
                    <w:jc w:val="center"/>
                  </w:pPr>
                  <w:r/>
                  <w:r>
                    <w:rPr>
                      <w:rFonts w:ascii="Times New Roman" w:hAnsi="Times New Roman"/>
                      <w:sz w:val="21"/>
                    </w:rPr>
                    <w:t>Week 7–8</w:t>
                  </w:r>
                </w:p>
              </w:tc>
            </w:tr>
            <w:tr>
              <w:trPr>
                <w:cantSplit/>
              </w:trPr>
              <w:tc>
                <w:tcPr>
                  <w:tcW w:type="dxa" w:w="794"/>
                </w:tcPr>
                <w:p>
                  <w:pPr>
                    <w:spacing w:after="20"/>
                    <w:jc w:val="center"/>
                  </w:pPr>
                  <w:r/>
                  <w:r>
                    <w:rPr>
                      <w:rFonts w:ascii="Times New Roman" w:hAnsi="Times New Roman"/>
                      <w:sz w:val="21"/>
                    </w:rPr>
                    <w:t>5</w:t>
                  </w:r>
                </w:p>
              </w:tc>
              <w:tc>
                <w:tcPr>
                  <w:tcW w:type="dxa" w:w="6350"/>
                </w:tcPr>
                <w:p>
                  <w:pPr>
                    <w:spacing w:after="20"/>
                    <w:jc w:val="left"/>
                  </w:pPr>
                  <w:r/>
                  <w:r>
                    <w:rPr>
                      <w:rFonts w:ascii="Times New Roman" w:hAnsi="Times New Roman"/>
                      <w:sz w:val="21"/>
                    </w:rPr>
                    <w:t>– Write up the completed exogenous/causal analysis: the ablation and the five-method triangulation (already done, not run here).</w:t>
                  </w:r>
                </w:p>
                <w:p>
                  <w:pPr>
                    <w:spacing w:after="20"/>
                    <w:jc w:val="left"/>
                  </w:pPr>
                  <w:r>
                    <w:rPr>
                      <w:rFonts w:ascii="Times New Roman" w:hAnsi="Times New Roman"/>
                      <w:sz w:val="21"/>
                    </w:rPr>
                    <w:t>– Report results separately per axis, as already measured.</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expose causal-validation provenance as a read-only </w:t>
                  </w:r>
                  <w:r>
                    <w:rPr>
                      <w:rFonts w:ascii="Consolas" w:hAnsi="Consolas"/>
                      <w:sz w:val="21"/>
                    </w:rPr>
                    <w:t>/forecast</w:t>
                  </w:r>
                  <w:r>
                    <w:rPr>
                      <w:rFonts w:ascii="Times New Roman" w:hAnsi="Times New Roman"/>
                      <w:sz w:val="21"/>
                    </w:rPr>
                    <w:t xml:space="preserve"> diagnostic field — not used to alter the forecast value.</w:t>
                  </w:r>
                </w:p>
              </w:tc>
              <w:tc>
                <w:tcPr>
                  <w:tcW w:type="dxa" w:w="2041"/>
                </w:tcPr>
                <w:p>
                  <w:pPr>
                    <w:spacing w:after="20"/>
                    <w:jc w:val="center"/>
                  </w:pPr>
                  <w:r/>
                  <w:r>
                    <w:rPr>
                      <w:rFonts w:ascii="Times New Roman" w:hAnsi="Times New Roman"/>
                      <w:sz w:val="21"/>
                    </w:rPr>
                    <w:t>Week 9–10</w:t>
                  </w:r>
                </w:p>
              </w:tc>
            </w:tr>
            <w:tr>
              <w:trPr>
                <w:cantSplit/>
              </w:trPr>
              <w:tc>
                <w:tcPr>
                  <w:tcW w:type="dxa" w:w="794"/>
                </w:tcPr>
                <w:p>
                  <w:pPr>
                    <w:spacing w:after="20"/>
                    <w:jc w:val="center"/>
                  </w:pPr>
                  <w:r/>
                  <w:r>
                    <w:rPr>
                      <w:rFonts w:ascii="Times New Roman" w:hAnsi="Times New Roman"/>
                      <w:sz w:val="21"/>
                    </w:rPr>
                    <w:t>6</w:t>
                  </w:r>
                </w:p>
              </w:tc>
              <w:tc>
                <w:tcPr>
                  <w:tcW w:type="dxa" w:w="6350"/>
                </w:tcPr>
                <w:p>
                  <w:pPr>
                    <w:spacing w:after="20"/>
                    <w:jc w:val="left"/>
                  </w:pPr>
                  <w:r/>
                  <w:r>
                    <w:rPr>
                      <w:rFonts w:ascii="Times New Roman" w:hAnsi="Times New Roman"/>
                      <w:sz w:val="21"/>
                    </w:rPr>
                    <w:t>– Evaluate the end-to-end economic result after measured transaction costs and slippage.</w:t>
                  </w:r>
                </w:p>
                <w:p>
                  <w:pPr>
                    <w:spacing w:after="20"/>
                    <w:jc w:val="left"/>
                  </w:pPr>
                  <w:r>
                    <w:rPr>
                      <w:rFonts w:ascii="Times New Roman" w:hAnsi="Times New Roman"/>
                      <w:sz w:val="21"/>
                    </w:rPr>
                    <w:t>– Accumulate the forecast journal; compute rolling calibration.</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extend </w:t>
                  </w:r>
                  <w:r>
                    <w:rPr>
                      <w:rFonts w:ascii="Consolas" w:hAnsi="Consolas"/>
                      <w:sz w:val="21"/>
                    </w:rPr>
                    <w:t>/journal</w:t>
                  </w:r>
                  <w:r>
                    <w:rPr>
                      <w:rFonts w:ascii="Times New Roman" w:hAnsi="Times New Roman"/>
                      <w:sz w:val="21"/>
                    </w:rPr>
                    <w:t xml:space="preserve"> with cost-adjusted performance and rolling calibration diagnostics.</w:t>
                  </w:r>
                </w:p>
              </w:tc>
              <w:tc>
                <w:tcPr>
                  <w:tcW w:type="dxa" w:w="2041"/>
                </w:tcPr>
                <w:p>
                  <w:pPr>
                    <w:spacing w:after="20"/>
                    <w:jc w:val="center"/>
                  </w:pPr>
                  <w:r/>
                  <w:r>
                    <w:rPr>
                      <w:rFonts w:ascii="Times New Roman" w:hAnsi="Times New Roman"/>
                      <w:sz w:val="21"/>
                    </w:rPr>
                    <w:t>Week 11</w:t>
                  </w:r>
                </w:p>
              </w:tc>
            </w:tr>
            <w:tr>
              <w:trPr>
                <w:cantSplit/>
              </w:trPr>
              <w:tc>
                <w:tcPr>
                  <w:tcW w:type="dxa" w:w="794"/>
                </w:tcPr>
                <w:p>
                  <w:pPr>
                    <w:spacing w:after="20"/>
                    <w:jc w:val="center"/>
                  </w:pPr>
                  <w:r/>
                  <w:r>
                    <w:rPr>
                      <w:rFonts w:ascii="Times New Roman" w:hAnsi="Times New Roman"/>
                      <w:sz w:val="21"/>
                    </w:rPr>
                    <w:t>7</w:t>
                  </w:r>
                </w:p>
              </w:tc>
              <w:tc>
                <w:tcPr>
                  <w:tcW w:type="dxa" w:w="6350"/>
                </w:tcPr>
                <w:p>
                  <w:pPr>
                    <w:spacing w:after="20"/>
                    <w:jc w:val="left"/>
                  </w:pPr>
                  <w:r/>
                  <w:r>
                    <w:rPr>
                      <w:rFonts w:ascii="Times New Roman" w:hAnsi="Times New Roman"/>
                      <w:sz w:val="21"/>
                    </w:rPr>
                    <w:t>– Freeze the final configuration in writing: variables, selection method, models, metrics, decision rules.</w:t>
                  </w:r>
                </w:p>
                <w:p>
                  <w:pPr>
                    <w:spacing w:after="20"/>
                    <w:jc w:val="left"/>
                  </w:pPr>
                  <w:r>
                    <w:rPr>
                      <w:rFonts w:ascii="Times New Roman" w:hAnsi="Times New Roman"/>
                      <w:sz w:val="21"/>
                    </w:rPr>
                    <w:t>– Prepare the sealed-set evaluation record.</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tag and freeze the API response schemas and forecast-artefact version.</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8</w:t>
                  </w:r>
                </w:p>
              </w:tc>
              <w:tc>
                <w:tcPr>
                  <w:tcW w:type="dxa" w:w="6350"/>
                </w:tcPr>
                <w:p>
                  <w:pPr>
                    <w:spacing w:after="20"/>
                    <w:jc w:val="left"/>
                  </w:pPr>
                  <w:r/>
                  <w:r>
                    <w:rPr>
                      <w:rFonts w:ascii="Times New Roman" w:hAnsi="Times New Roman"/>
                      <w:sz w:val="21"/>
                    </w:rPr>
                    <w:t>– Open the sealed evaluation set exactly once; score the frozen configuration.</w:t>
                  </w:r>
                </w:p>
                <w:p>
                  <w:pPr>
                    <w:spacing w:after="20"/>
                    <w:jc w:val="left"/>
                  </w:pPr>
                  <w:r>
                    <w:rPr>
                      <w:rFonts w:ascii="Times New Roman" w:hAnsi="Times New Roman"/>
                      <w:sz w:val="21"/>
                    </w:rPr>
                    <w:t>– Report results without modification or retuning.</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serve sealed-set results through the same frozen endpoints used throughout — no separate reporting path.</w:t>
                  </w:r>
                </w:p>
              </w:tc>
              <w:tc>
                <w:tcPr>
                  <w:tcW w:type="dxa" w:w="2041"/>
                </w:tcPr>
                <w:p>
                  <w:pPr>
                    <w:spacing w:after="20"/>
                    <w:jc w:val="center"/>
                  </w:pPr>
                  <w:r/>
                  <w:r>
                    <w:rPr>
                      <w:rFonts w:ascii="Times New Roman" w:hAnsi="Times New Roman"/>
                      <w:sz w:val="21"/>
                    </w:rPr>
                    <w:t>Week 13</w:t>
                  </w:r>
                </w:p>
              </w:tc>
            </w:tr>
            <w:tr>
              <w:trPr>
                <w:cantSplit/>
              </w:trPr>
              <w:tc>
                <w:tcPr>
                  <w:tcW w:type="dxa" w:w="794"/>
                </w:tcPr>
                <w:p>
                  <w:pPr>
                    <w:spacing w:after="20"/>
                    <w:jc w:val="center"/>
                  </w:pPr>
                  <w:r/>
                  <w:r>
                    <w:rPr>
                      <w:rFonts w:ascii="Times New Roman" w:hAnsi="Times New Roman"/>
                      <w:sz w:val="21"/>
                    </w:rPr>
                    <w:t>9</w:t>
                  </w:r>
                </w:p>
              </w:tc>
              <w:tc>
                <w:tcPr>
                  <w:tcW w:type="dxa" w:w="6350"/>
                </w:tcPr>
                <w:p>
                  <w:pPr>
                    <w:spacing w:after="20"/>
                    <w:jc w:val="left"/>
                  </w:pPr>
                  <w:r/>
                  <w:r>
                    <w:rPr>
                      <w:rFonts w:ascii="Times New Roman" w:hAnsi="Times New Roman"/>
                      <w:sz w:val="21"/>
                    </w:rPr>
                    <w:t>– Complete the system: computation layer, versioned forecast artefacts, API, and UI with full provenance for every displayed quantity.</w:t>
                  </w:r>
                </w:p>
                <w:p>
                  <w:pPr>
                    <w:spacing w:after="20"/>
                    <w:jc w:val="left"/>
                  </w:pPr>
                  <w:r>
                    <w:rPr>
                      <w:rFonts w:ascii="Times New Roman" w:hAnsi="Times New Roman"/>
                      <w:sz w:val="21"/>
                    </w:rPr>
                    <w:t>– Verify continuous daily operation.</w:t>
                  </w:r>
                </w:p>
              </w:tc>
              <w:tc>
                <w:tcPr>
                  <w:tcW w:type="dxa" w:w="2041"/>
                </w:tcPr>
                <w:p>
                  <w:pPr>
                    <w:spacing w:after="20"/>
                    <w:jc w:val="center"/>
                  </w:pPr>
                  <w:r/>
                  <w:r>
                    <w:rPr>
                      <w:rFonts w:ascii="Times New Roman" w:hAnsi="Times New Roman"/>
                      <w:sz w:val="21"/>
                    </w:rPr>
                    <w:t>Week 14</w:t>
                  </w:r>
                </w:p>
              </w:tc>
            </w:tr>
            <w:tr>
              <w:trPr>
                <w:cantSplit/>
              </w:trPr>
              <w:tc>
                <w:tcPr>
                  <w:tcW w:type="dxa" w:w="794"/>
                </w:tcPr>
                <w:p>
                  <w:pPr>
                    <w:spacing w:after="20"/>
                    <w:jc w:val="center"/>
                  </w:pPr>
                  <w:r/>
                  <w:r>
                    <w:rPr>
                      <w:rFonts w:ascii="Times New Roman" w:hAnsi="Times New Roman"/>
                      <w:sz w:val="21"/>
                    </w:rPr>
                    <w:t>10</w:t>
                  </w:r>
                </w:p>
              </w:tc>
              <w:tc>
                <w:tcPr>
                  <w:tcW w:type="dxa" w:w="6350"/>
                </w:tcPr>
                <w:p>
                  <w:pPr>
                    <w:spacing w:after="20"/>
                    <w:jc w:val="left"/>
                  </w:pPr>
                  <w:r/>
                  <w:r>
                    <w:rPr>
                      <w:rFonts w:ascii="Times New Roman" w:hAnsi="Times New Roman"/>
                      <w:sz w:val="21"/>
                    </w:rPr>
                    <w:t>– Analyse model behaviour by regime, pair, and year; examine failure cases and document limitations.</w:t>
                  </w:r>
                </w:p>
                <w:p>
                  <w:pPr>
                    <w:spacing w:after="20"/>
                    <w:jc w:val="left"/>
                  </w:pPr>
                  <w:r>
                    <w:rPr>
                      <w:rFonts w:ascii="Times New Roman" w:hAnsi="Times New Roman"/>
                      <w:sz w:val="21"/>
                    </w:rPr>
                    <w:t xml:space="preserve">– </w:t>
                  </w:r>
                  <w:r>
                    <w:rPr>
                      <w:rFonts w:ascii="Times New Roman" w:hAnsi="Times New Roman"/>
                      <w:b/>
                      <w:sz w:val="21"/>
                    </w:rPr>
                    <w:t>Engineering:</w:t>
                  </w:r>
                  <w:r>
                    <w:rPr>
                      <w:rFonts w:ascii="Times New Roman" w:hAnsi="Times New Roman"/>
                      <w:sz w:val="21"/>
                    </w:rPr>
                    <w:t xml:space="preserve"> add regime-, pair-, and year-conditional breakdowns to the risk and calibration views.</w:t>
                  </w:r>
                </w:p>
              </w:tc>
              <w:tc>
                <w:tcPr>
                  <w:tcW w:type="dxa" w:w="2041"/>
                </w:tcPr>
                <w:p>
                  <w:pPr>
                    <w:spacing w:after="20"/>
                    <w:jc w:val="center"/>
                  </w:pPr>
                  <w:r/>
                  <w:r>
                    <w:rPr>
                      <w:rFonts w:ascii="Times New Roman" w:hAnsi="Times New Roman"/>
                      <w:sz w:val="21"/>
                    </w:rPr>
                    <w:t>Week 15</w:t>
                  </w:r>
                </w:p>
              </w:tc>
            </w:tr>
            <w:tr>
              <w:trPr>
                <w:cantSplit/>
              </w:trPr>
              <w:tc>
                <w:tcPr>
                  <w:tcW w:type="dxa" w:w="794"/>
                </w:tcPr>
                <w:p>
                  <w:pPr>
                    <w:spacing w:after="20"/>
                    <w:jc w:val="center"/>
                  </w:pPr>
                  <w:r/>
                  <w:r>
                    <w:rPr>
                      <w:rFonts w:ascii="Times New Roman" w:hAnsi="Times New Roman"/>
                      <w:sz w:val="21"/>
                    </w:rPr>
                    <w:t>11</w:t>
                  </w:r>
                </w:p>
              </w:tc>
              <w:tc>
                <w:tcPr>
                  <w:tcW w:type="dxa" w:w="6350"/>
                </w:tcPr>
                <w:p>
                  <w:pPr>
                    <w:spacing w:after="20"/>
                    <w:jc w:val="left"/>
                  </w:pPr>
                  <w:r/>
                  <w:r>
                    <w:rPr>
                      <w:rFonts w:ascii="Times New Roman" w:hAnsi="Times New Roman"/>
                      <w:sz w:val="21"/>
                    </w:rPr>
                    <w:t>– Complete the thesis report; revise content per advisor feedback; prepare for the final defence.</w:t>
                  </w:r>
                </w:p>
              </w:tc>
              <w:tc>
                <w:tcPr>
                  <w:tcW w:type="dxa" w:w="2041"/>
                </w:tcPr>
                <w:p>
                  <w:pPr>
                    <w:spacing w:after="20"/>
                    <w:jc w:val="center"/>
                  </w:pPr>
                  <w:r/>
                  <w:r>
                    <w:rPr>
                      <w:rFonts w:ascii="Times New Roman" w:hAnsi="Times New Roman"/>
                      <w:sz w:val="21"/>
                    </w:rPr>
                    <w:t>Week 16</w:t>
                  </w:r>
                </w:p>
              </w:tc>
            </w:tr>
          </w:tbl>
          <w:p/>
          <w:p>
            <w:pPr>
              <w:spacing w:after="0" w:before="0"/>
            </w:pPr>
            <w:r>
              <w:rPr>
                <w:sz w:val="2"/>
              </w:rPr>
            </w:r>
          </w:p>
          <w:p>
            <w:pPr>
              <w:spacing w:after="100"/>
              <w:ind w:firstLine="340"/>
              <w:jc w:val="both"/>
            </w:pPr>
            <w:r>
              <w:rPr>
                <w:rFonts w:ascii="Times New Roman" w:hAnsi="Times New Roman"/>
                <w:sz w:val="24"/>
              </w:rPr>
              <w:t>Software-architecture work therefore runs across Weeks 1–15, extending the operating API and web application one layer at a time as each research result is frozen, rather than being concentrated at the end.</w:t>
            </w:r>
          </w:p>
        </w:tc>
      </w:tr>
      <w:tr>
        <w:tc>
          <w:tcPr>
            <w:tcW w:type="dxa" w:w="9973"/>
          </w:tcPr>
          <w:p>
            <w:pPr>
              <w:spacing w:after="100"/>
            </w:pPr>
            <w:r>
              <w:rPr>
                <w:rFonts w:ascii="Times New Roman" w:hAnsi="Times New Roman"/>
                <w:b/>
                <w:sz w:val="24"/>
              </w:rPr>
              <w:t>Deferred / Future Work (Not Scheduled in This Thesis):</w:t>
            </w:r>
          </w:p>
          <w:p>
            <w:pPr>
              <w:spacing w:after="100"/>
              <w:ind w:firstLine="340"/>
              <w:jc w:val="both"/>
            </w:pPr>
            <w:r>
              <w:rPr>
                <w:rFonts w:ascii="Times New Roman" w:hAnsi="Times New Roman"/>
                <w:sz w:val="24"/>
              </w:rPr>
              <w:t xml:space="preserve">Directions surfaced by completed experiments that are explicitly </w:t>
            </w:r>
            <w:r>
              <w:rPr>
                <w:rFonts w:ascii="Times New Roman" w:hAnsi="Times New Roman"/>
                <w:b/>
                <w:sz w:val="24"/>
              </w:rPr>
              <w:t>not</w:t>
            </w:r>
            <w:r>
              <w:rPr>
                <w:rFonts w:ascii="Times New Roman" w:hAnsi="Times New Roman"/>
                <w:sz w:val="24"/>
              </w:rPr>
              <w:t xml:space="preserve"> part of the sixteen-week plan, kept separate from Proposed Method so the timeline stays honest about what is actually committed:</w:t>
            </w:r>
          </w:p>
          <w:p>
            <w:pPr>
              <w:pStyle w:val="ListBullet"/>
              <w:spacing w:after="60"/>
              <w:ind w:left="454"/>
              <w:jc w:val="both"/>
            </w:pPr>
            <w:r>
              <w:rPr>
                <w:rFonts w:ascii="Times New Roman" w:hAnsi="Times New Roman"/>
                <w:b/>
                <w:sz w:val="24"/>
              </w:rPr>
              <w:t>Causal-conditioned forecast overlay.</w:t>
            </w:r>
            <w:r>
              <w:rPr>
                <w:rFonts w:ascii="Times New Roman" w:hAnsi="Times New Roman"/>
                <w:sz w:val="24"/>
              </w:rPr>
              <w:t xml:space="preserve"> The VIX effect is real and robust (Double ML, 6/6 pairs significant after Holm correction), but a constant or Causal-Forest regime-conditional overlay on the HAR forecast gave no significant QLIKE improvement in any pair. Deferred pending a better functional form, or acceptance that the baseline already absorbs it.</w:t>
            </w:r>
          </w:p>
          <w:p>
            <w:pPr>
              <w:pStyle w:val="ListBullet"/>
              <w:spacing w:after="60"/>
              <w:ind w:left="454"/>
              <w:jc w:val="both"/>
            </w:pPr>
            <w:r>
              <w:rPr>
                <w:rFonts w:ascii="Times New Roman" w:hAnsi="Times New Roman"/>
                <w:b/>
                <w:sz w:val="24"/>
              </w:rPr>
              <w:t>Contemporaneous causal edges (PCMCI+, τ = 0).</w:t>
            </w:r>
            <w:r>
              <w:rPr>
                <w:rFonts w:ascii="Times New Roman" w:hAnsi="Times New Roman"/>
                <w:sz w:val="24"/>
              </w:rPr>
              <w:t xml:space="preserve"> Undirected or sign-ambiguous edges between implied-volatility variables and FX volatility, inconsistent with the frozen lagged result — resolving this needs a larger sample or a nonlinear conditional-independence test.</w:t>
            </w:r>
          </w:p>
          <w:p>
            <w:pPr>
              <w:pStyle w:val="ListBullet"/>
              <w:spacing w:after="60"/>
              <w:ind w:left="454"/>
              <w:jc w:val="both"/>
            </w:pPr>
            <w:r>
              <w:rPr>
                <w:rFonts w:ascii="Times New Roman" w:hAnsi="Times New Roman"/>
                <w:b/>
                <w:sz w:val="24"/>
              </w:rPr>
              <w:t>Cross-pair volatility spillover (DYNOTEARS).</w:t>
            </w:r>
            <w:r>
              <w:rPr>
                <w:rFonts w:ascii="Times New Roman" w:hAnsi="Times New Roman"/>
                <w:sz w:val="24"/>
              </w:rPr>
              <w:t xml:space="preserve"> A self-implemented DYNOTEARS network detects contemporaneous spillover (e.g., AUD/USD↔USD/CAD, EUR/USD→USD/CHF) consistent with an independently run linear Diebold–Yilmaz measure, but neither improves test-set QLIKE when added as an extra HAR feature (six-pair average 0.1281 vs. 0.1285) — real structure, not yet forecastable at a daily horizon.</w:t>
            </w:r>
          </w:p>
          <w:p>
            <w:pPr>
              <w:pStyle w:val="ListBullet"/>
              <w:spacing w:after="60"/>
              <w:ind w:left="454"/>
              <w:jc w:val="both"/>
            </w:pPr>
            <w:r>
              <w:rPr>
                <w:rFonts w:ascii="Times New Roman" w:hAnsi="Times New Roman"/>
                <w:b/>
                <w:sz w:val="24"/>
              </w:rPr>
              <w:t>FX-specific implied volatility.</w:t>
            </w:r>
            <w:r>
              <w:rPr>
                <w:rFonts w:ascii="Times New Roman" w:hAnsi="Times New Roman"/>
                <w:sz w:val="24"/>
              </w:rPr>
              <w:t xml:space="preserve"> </w:t>
            </w:r>
            <w:r>
              <w:rPr>
                <w:rFonts w:ascii="Consolas" w:hAnsi="Consolas"/>
                <w:sz w:val="24"/>
              </w:rPr>
              <w:t>EVZCLS</w:t>
            </w:r>
            <w:r>
              <w:rPr>
                <w:rFonts w:ascii="Times New Roman" w:hAnsi="Times New Roman"/>
                <w:sz w:val="24"/>
              </w:rPr>
              <w:t>, the single most promising untested candidate, was discontinued by CBOE in March 2025 and is unavailable for this sample.</w:t>
            </w:r>
          </w:p>
          <w:p>
            <w:pPr>
              <w:spacing w:after="100"/>
              <w:ind w:firstLine="340"/>
              <w:jc w:val="both"/>
            </w:pPr>
            <w:r>
              <w:rPr>
                <w:rFonts w:ascii="Times New Roman" w:hAnsi="Times New Roman"/>
                <w:sz w:val="24"/>
              </w:rPr>
              <w:t>None of the above blocks the sealed-set evaluation or system hardening in Weeks 12–15: the production magnitude forecast continues to rely on the extended-HAR baseline alone, with the causal layer contributing to feature-trust validation but not to the forecast value itself.</w:t>
            </w:r>
          </w:p>
        </w:tc>
      </w:tr>
      <w:tr>
        <w:tc>
          <w:tcPr>
            <w:tcW w:type="dxa" w:w="9973"/>
          </w:tcPr>
          <w:p>
            <w:pPr>
              <w:spacing w:after="100"/>
            </w:pPr>
            <w:r>
              <w:rPr>
                <w:rFonts w:ascii="Times New Roman" w:hAnsi="Times New Roman"/>
                <w:b/>
                <w:sz w:val="24"/>
              </w:rPr>
              <w:t>Work Assignment:</w:t>
            </w:r>
          </w:p>
          <w:p>
            <w:pPr>
              <w:spacing w:after="100"/>
              <w:ind w:firstLine="340"/>
              <w:jc w:val="both"/>
            </w:pPr>
            <w:r>
              <w:rPr>
                <w:rFonts w:ascii="Times New Roman" w:hAnsi="Times New Roman"/>
                <w:i/>
                <w:sz w:val="24"/>
              </w:rPr>
              <w:t>(Percentage split confirmed against the two members' actual division of labour, not the undifferentiated 50/50 the advisor explicitly rejected. Both members remain jointly responsible for the correctness of the full system regardless of the split below.)</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5329"/>
              <w:gridCol w:w="1928"/>
              <w:gridCol w:w="1928"/>
            </w:tblGrid>
            <w:tr>
              <w:trPr>
                <w:cantSplit/>
                <w:tblHeader/>
              </w:trPr>
              <w:tc>
                <w:tcPr>
                  <w:tcW w:type="dxa" w:w="5329"/>
                </w:tcPr>
                <w:p>
                  <w:pPr>
                    <w:spacing w:after="20"/>
                    <w:jc w:val="left"/>
                  </w:pPr>
                  <w:r/>
                  <w:r>
                    <w:rPr>
                      <w:rFonts w:ascii="Times New Roman" w:hAnsi="Times New Roman"/>
                      <w:b/>
                      <w:sz w:val="21"/>
                    </w:rPr>
                    <w:t>Assignments</w:t>
                  </w:r>
                </w:p>
              </w:tc>
              <w:tc>
                <w:tcPr>
                  <w:tcW w:type="dxa" w:w="1928"/>
                </w:tcPr>
                <w:p>
                  <w:pPr>
                    <w:spacing w:after="20"/>
                    <w:jc w:val="left"/>
                  </w:pPr>
                  <w:r/>
                  <w:r>
                    <w:rPr>
                      <w:rFonts w:ascii="Times New Roman" w:hAnsi="Times New Roman"/>
                      <w:b/>
                      <w:sz w:val="21"/>
                    </w:rPr>
                    <w:t>Member A (Nguyen Quoc Huy)</w:t>
                  </w:r>
                </w:p>
              </w:tc>
              <w:tc>
                <w:tcPr>
                  <w:tcW w:type="dxa" w:w="1928"/>
                </w:tcPr>
                <w:p>
                  <w:pPr>
                    <w:spacing w:after="20"/>
                    <w:jc w:val="left"/>
                  </w:pPr>
                  <w:r/>
                  <w:r>
                    <w:rPr>
                      <w:rFonts w:ascii="Times New Roman" w:hAnsi="Times New Roman"/>
                      <w:b/>
                      <w:sz w:val="21"/>
                    </w:rPr>
                    <w:t>Member B (Huynh Tran Quoc Huy)</w:t>
                  </w:r>
                </w:p>
              </w:tc>
            </w:tr>
            <w:tr>
              <w:trPr>
                <w:cantSplit/>
              </w:trPr>
              <w:tc>
                <w:tcPr>
                  <w:tcW w:type="dxa" w:w="5329"/>
                </w:tcPr>
                <w:p>
                  <w:pPr>
                    <w:spacing w:after="20"/>
                    <w:jc w:val="left"/>
                  </w:pPr>
                  <w:r/>
                  <w:r>
                    <w:rPr>
                      <w:rFonts w:ascii="Times New Roman" w:hAnsi="Times New Roman"/>
                      <w:sz w:val="21"/>
                    </w:rPr>
                    <w:t>Review literature and define research scope</w:t>
                  </w:r>
                </w:p>
              </w:tc>
              <w:tc>
                <w:tcPr>
                  <w:tcW w:type="dxa" w:w="1928"/>
                </w:tcPr>
                <w:p>
                  <w:pPr>
                    <w:spacing w:after="20"/>
                    <w:jc w:val="center"/>
                  </w:pPr>
                  <w:r/>
                  <w:r>
                    <w:rPr>
                      <w:rFonts w:ascii="Times New Roman" w:hAnsi="Times New Roman"/>
                      <w:sz w:val="21"/>
                    </w:rPr>
                    <w:t>55%</w:t>
                  </w:r>
                </w:p>
              </w:tc>
              <w:tc>
                <w:tcPr>
                  <w:tcW w:type="dxa" w:w="1928"/>
                </w:tcPr>
                <w:p>
                  <w:pPr>
                    <w:spacing w:after="20"/>
                    <w:jc w:val="center"/>
                  </w:pPr>
                  <w:r/>
                  <w:r>
                    <w:rPr>
                      <w:rFonts w:ascii="Times New Roman" w:hAnsi="Times New Roman"/>
                      <w:sz w:val="21"/>
                    </w:rPr>
                    <w:t>45%</w:t>
                  </w:r>
                </w:p>
              </w:tc>
            </w:tr>
            <w:tr>
              <w:trPr>
                <w:cantSplit/>
              </w:trPr>
              <w:tc>
                <w:tcPr>
                  <w:tcW w:type="dxa" w:w="5329"/>
                </w:tcPr>
                <w:p>
                  <w:pPr>
                    <w:spacing w:after="20"/>
                    <w:jc w:val="left"/>
                  </w:pPr>
                  <w:r/>
                  <w:r>
                    <w:rPr>
                      <w:rFonts w:ascii="Times New Roman" w:hAnsi="Times New Roman"/>
                      <w:sz w:val="21"/>
                    </w:rPr>
                    <w:t>Construct the data pipeline and realized measures</w:t>
                  </w:r>
                </w:p>
              </w:tc>
              <w:tc>
                <w:tcPr>
                  <w:tcW w:type="dxa" w:w="1928"/>
                </w:tcPr>
                <w:p>
                  <w:pPr>
                    <w:spacing w:after="20"/>
                    <w:jc w:val="center"/>
                  </w:pPr>
                  <w:r/>
                  <w:r>
                    <w:rPr>
                      <w:rFonts w:ascii="Times New Roman" w:hAnsi="Times New Roman"/>
                      <w:sz w:val="21"/>
                    </w:rPr>
                    <w:t>40%</w:t>
                  </w:r>
                </w:p>
              </w:tc>
              <w:tc>
                <w:tcPr>
                  <w:tcW w:type="dxa" w:w="1928"/>
                </w:tcPr>
                <w:p>
                  <w:pPr>
                    <w:spacing w:after="20"/>
                    <w:jc w:val="center"/>
                  </w:pPr>
                  <w:r/>
                  <w:r>
                    <w:rPr>
                      <w:rFonts w:ascii="Times New Roman" w:hAnsi="Times New Roman"/>
                      <w:sz w:val="21"/>
                    </w:rPr>
                    <w:t>60%</w:t>
                  </w:r>
                </w:p>
              </w:tc>
            </w:tr>
            <w:tr>
              <w:trPr>
                <w:cantSplit/>
              </w:trPr>
              <w:tc>
                <w:tcPr>
                  <w:tcW w:type="dxa" w:w="5329"/>
                </w:tcPr>
                <w:p>
                  <w:pPr>
                    <w:spacing w:after="20"/>
                    <w:jc w:val="left"/>
                  </w:pPr>
                  <w:r/>
                  <w:r>
                    <w:rPr>
                      <w:rFonts w:ascii="Times New Roman" w:hAnsi="Times New Roman"/>
                      <w:sz w:val="21"/>
                    </w:rPr>
                    <w:t>Fix the evaluation protocol and sealed-set policy</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and benchmark the volatility forecasting layer</w:t>
                  </w:r>
                </w:p>
              </w:tc>
              <w:tc>
                <w:tcPr>
                  <w:tcW w:type="dxa" w:w="1928"/>
                </w:tcPr>
                <w:p>
                  <w:pPr>
                    <w:spacing w:after="20"/>
                    <w:jc w:val="center"/>
                  </w:pPr>
                  <w:r/>
                  <w:r>
                    <w:rPr>
                      <w:rFonts w:ascii="Times New Roman" w:hAnsi="Times New Roman"/>
                      <w:sz w:val="21"/>
                    </w:rPr>
                    <w:t>65%</w:t>
                  </w:r>
                </w:p>
              </w:tc>
              <w:tc>
                <w:tcPr>
                  <w:tcW w:type="dxa" w:w="1928"/>
                </w:tcPr>
                <w:p>
                  <w:pPr>
                    <w:spacing w:after="20"/>
                    <w:jc w:val="center"/>
                  </w:pPr>
                  <w:r/>
                  <w:r>
                    <w:rPr>
                      <w:rFonts w:ascii="Times New Roman" w:hAnsi="Times New Roman"/>
                      <w:sz w:val="21"/>
                    </w:rPr>
                    <w:t>35%</w:t>
                  </w:r>
                </w:p>
              </w:tc>
            </w:tr>
            <w:tr>
              <w:trPr>
                <w:cantSplit/>
              </w:trPr>
              <w:tc>
                <w:tcPr>
                  <w:tcW w:type="dxa" w:w="5329"/>
                </w:tcPr>
                <w:p>
                  <w:pPr>
                    <w:spacing w:after="20"/>
                    <w:jc w:val="left"/>
                  </w:pPr>
                  <w:r/>
                  <w:r>
                    <w:rPr>
                      <w:rFonts w:ascii="Times New Roman" w:hAnsi="Times New Roman"/>
                      <w:sz w:val="21"/>
                    </w:rPr>
                    <w:t>Develop the pattern-discovery and symbolic-representation branch</w:t>
                  </w:r>
                </w:p>
              </w:tc>
              <w:tc>
                <w:tcPr>
                  <w:tcW w:type="dxa" w:w="1928"/>
                </w:tcPr>
                <w:p>
                  <w:pPr>
                    <w:spacing w:after="20"/>
                    <w:jc w:val="center"/>
                  </w:pPr>
                  <w:r/>
                  <w:r>
                    <w:rPr>
                      <w:rFonts w:ascii="Times New Roman" w:hAnsi="Times New Roman"/>
                      <w:sz w:val="21"/>
                    </w:rPr>
                    <w:t>65%</w:t>
                  </w:r>
                </w:p>
              </w:tc>
              <w:tc>
                <w:tcPr>
                  <w:tcW w:type="dxa" w:w="1928"/>
                </w:tcPr>
                <w:p>
                  <w:pPr>
                    <w:spacing w:after="20"/>
                    <w:jc w:val="center"/>
                  </w:pPr>
                  <w:r/>
                  <w:r>
                    <w:rPr>
                      <w:rFonts w:ascii="Times New Roman" w:hAnsi="Times New Roman"/>
                      <w:sz w:val="21"/>
                    </w:rPr>
                    <w:t>35%</w:t>
                  </w:r>
                </w:p>
              </w:tc>
            </w:tr>
            <w:tr>
              <w:trPr>
                <w:cantSplit/>
              </w:trPr>
              <w:tc>
                <w:tcPr>
                  <w:tcW w:type="dxa" w:w="5329"/>
                </w:tcPr>
                <w:p>
                  <w:pPr>
                    <w:spacing w:after="20"/>
                    <w:jc w:val="left"/>
                  </w:pPr>
                  <w:r/>
                  <w:r>
                    <w:rPr>
                      <w:rFonts w:ascii="Times New Roman" w:hAnsi="Times New Roman"/>
                      <w:sz w:val="21"/>
                    </w:rPr>
                    <w:t>Implement multiple-testing control and stability screening</w:t>
                  </w:r>
                </w:p>
              </w:tc>
              <w:tc>
                <w:tcPr>
                  <w:tcW w:type="dxa" w:w="1928"/>
                </w:tcPr>
                <w:p>
                  <w:pPr>
                    <w:spacing w:after="20"/>
                    <w:jc w:val="center"/>
                  </w:pPr>
                  <w:r/>
                  <w:r>
                    <w:rPr>
                      <w:rFonts w:ascii="Times New Roman" w:hAnsi="Times New Roman"/>
                      <w:sz w:val="21"/>
                    </w:rPr>
                    <w:t>60%</w:t>
                  </w:r>
                </w:p>
              </w:tc>
              <w:tc>
                <w:tcPr>
                  <w:tcW w:type="dxa" w:w="1928"/>
                </w:tcPr>
                <w:p>
                  <w:pPr>
                    <w:spacing w:after="20"/>
                    <w:jc w:val="center"/>
                  </w:pPr>
                  <w:r/>
                  <w:r>
                    <w:rPr>
                      <w:rFonts w:ascii="Times New Roman" w:hAnsi="Times New Roman"/>
                      <w:sz w:val="21"/>
                    </w:rPr>
                    <w:t>40%</w:t>
                  </w:r>
                </w:p>
              </w:tc>
            </w:tr>
            <w:tr>
              <w:trPr>
                <w:cantSplit/>
              </w:trPr>
              <w:tc>
                <w:tcPr>
                  <w:tcW w:type="dxa" w:w="5329"/>
                </w:tcPr>
                <w:p>
                  <w:pPr>
                    <w:spacing w:after="20"/>
                    <w:jc w:val="left"/>
                  </w:pPr>
                  <w:r/>
                  <w:r>
                    <w:rPr>
                      <w:rFonts w:ascii="Times New Roman" w:hAnsi="Times New Roman"/>
                      <w:sz w:val="21"/>
                    </w:rPr>
                    <w:t>Conduct minimum detectable effect size and power analysis</w:t>
                  </w:r>
                </w:p>
              </w:tc>
              <w:tc>
                <w:tcPr>
                  <w:tcW w:type="dxa" w:w="1928"/>
                </w:tcPr>
                <w:p>
                  <w:pPr>
                    <w:spacing w:after="20"/>
                    <w:jc w:val="center"/>
                  </w:pPr>
                  <w:r/>
                  <w:r>
                    <w:rPr>
                      <w:rFonts w:ascii="Times New Roman" w:hAnsi="Times New Roman"/>
                      <w:sz w:val="21"/>
                    </w:rPr>
                    <w:t>60%</w:t>
                  </w:r>
                </w:p>
              </w:tc>
              <w:tc>
                <w:tcPr>
                  <w:tcW w:type="dxa" w:w="1928"/>
                </w:tcPr>
                <w:p>
                  <w:pPr>
                    <w:spacing w:after="20"/>
                    <w:jc w:val="center"/>
                  </w:pPr>
                  <w:r/>
                  <w:r>
                    <w:rPr>
                      <w:rFonts w:ascii="Times New Roman" w:hAnsi="Times New Roman"/>
                      <w:sz w:val="21"/>
                    </w:rPr>
                    <w:t>40%</w:t>
                  </w:r>
                </w:p>
              </w:tc>
            </w:tr>
            <w:tr>
              <w:trPr>
                <w:cantSplit/>
              </w:trPr>
              <w:tc>
                <w:tcPr>
                  <w:tcW w:type="dxa" w:w="5329"/>
                </w:tcPr>
                <w:p>
                  <w:pPr>
                    <w:spacing w:after="20"/>
                    <w:jc w:val="left"/>
                  </w:pPr>
                  <w:r/>
                  <w:r>
                    <w:rPr>
                      <w:rFonts w:ascii="Times New Roman" w:hAnsi="Times New Roman"/>
                      <w:sz w:val="21"/>
                    </w:rPr>
                    <w:t>Develop the exogenous, causal (five-method triangulation), and cross-asset information layers</w:t>
                  </w:r>
                </w:p>
              </w:tc>
              <w:tc>
                <w:tcPr>
                  <w:tcW w:type="dxa" w:w="1928"/>
                </w:tcPr>
                <w:p>
                  <w:pPr>
                    <w:spacing w:after="20"/>
                    <w:jc w:val="center"/>
                  </w:pPr>
                  <w:r/>
                  <w:r>
                    <w:rPr>
                      <w:rFonts w:ascii="Times New Roman" w:hAnsi="Times New Roman"/>
                      <w:sz w:val="21"/>
                    </w:rPr>
                    <w:t>65%</w:t>
                  </w:r>
                </w:p>
              </w:tc>
              <w:tc>
                <w:tcPr>
                  <w:tcW w:type="dxa" w:w="1928"/>
                </w:tcPr>
                <w:p>
                  <w:pPr>
                    <w:spacing w:after="20"/>
                    <w:jc w:val="center"/>
                  </w:pPr>
                  <w:r/>
                  <w:r>
                    <w:rPr>
                      <w:rFonts w:ascii="Times New Roman" w:hAnsi="Times New Roman"/>
                      <w:sz w:val="21"/>
                    </w:rPr>
                    <w:t>35%</w:t>
                  </w:r>
                </w:p>
              </w:tc>
            </w:tr>
            <w:tr>
              <w:trPr>
                <w:cantSplit/>
              </w:trPr>
              <w:tc>
                <w:tcPr>
                  <w:tcW w:type="dxa" w:w="5329"/>
                </w:tcPr>
                <w:p>
                  <w:pPr>
                    <w:spacing w:after="20"/>
                    <w:jc w:val="left"/>
                  </w:pPr>
                  <w:r/>
                  <w:r>
                    <w:rPr>
                      <w:rFonts w:ascii="Times New Roman" w:hAnsi="Times New Roman"/>
                      <w:sz w:val="21"/>
                    </w:rPr>
                    <w:t>Implement conformal prediction and calibration diagnostics</w:t>
                  </w:r>
                </w:p>
              </w:tc>
              <w:tc>
                <w:tcPr>
                  <w:tcW w:type="dxa" w:w="1928"/>
                </w:tcPr>
                <w:p>
                  <w:pPr>
                    <w:spacing w:after="20"/>
                    <w:jc w:val="center"/>
                  </w:pPr>
                  <w:r/>
                  <w:r>
                    <w:rPr>
                      <w:rFonts w:ascii="Times New Roman" w:hAnsi="Times New Roman"/>
                      <w:sz w:val="21"/>
                    </w:rPr>
                    <w:t>40%</w:t>
                  </w:r>
                </w:p>
              </w:tc>
              <w:tc>
                <w:tcPr>
                  <w:tcW w:type="dxa" w:w="1928"/>
                </w:tcPr>
                <w:p>
                  <w:pPr>
                    <w:spacing w:after="20"/>
                    <w:jc w:val="center"/>
                  </w:pPr>
                  <w:r/>
                  <w:r>
                    <w:rPr>
                      <w:rFonts w:ascii="Times New Roman" w:hAnsi="Times New Roman"/>
                      <w:sz w:val="21"/>
                    </w:rPr>
                    <w:t>60%</w:t>
                  </w:r>
                </w:p>
              </w:tc>
            </w:tr>
            <w:tr>
              <w:trPr>
                <w:cantSplit/>
              </w:trPr>
              <w:tc>
                <w:tcPr>
                  <w:tcW w:type="dxa" w:w="5329"/>
                </w:tcPr>
                <w:p>
                  <w:pPr>
                    <w:spacing w:after="20"/>
                    <w:jc w:val="left"/>
                  </w:pPr>
                  <w:r/>
                  <w:r>
                    <w:rPr>
                      <w:rFonts w:ascii="Times New Roman" w:hAnsi="Times New Roman"/>
                      <w:sz w:val="21"/>
                    </w:rPr>
                    <w:t>Develop the risk layer: VaR/ES backtesting and position sizing</w:t>
                  </w:r>
                </w:p>
              </w:tc>
              <w:tc>
                <w:tcPr>
                  <w:tcW w:type="dxa" w:w="1928"/>
                </w:tcPr>
                <w:p>
                  <w:pPr>
                    <w:spacing w:after="20"/>
                    <w:jc w:val="center"/>
                  </w:pPr>
                  <w:r/>
                  <w:r>
                    <w:rPr>
                      <w:rFonts w:ascii="Times New Roman" w:hAnsi="Times New Roman"/>
                      <w:sz w:val="21"/>
                    </w:rPr>
                    <w:t>55%</w:t>
                  </w:r>
                </w:p>
              </w:tc>
              <w:tc>
                <w:tcPr>
                  <w:tcW w:type="dxa" w:w="1928"/>
                </w:tcPr>
                <w:p>
                  <w:pPr>
                    <w:spacing w:after="20"/>
                    <w:jc w:val="center"/>
                  </w:pPr>
                  <w:r/>
                  <w:r>
                    <w:rPr>
                      <w:rFonts w:ascii="Times New Roman" w:hAnsi="Times New Roman"/>
                      <w:sz w:val="21"/>
                    </w:rPr>
                    <w:t>45%</w:t>
                  </w:r>
                </w:p>
              </w:tc>
            </w:tr>
            <w:tr>
              <w:trPr>
                <w:cantSplit/>
              </w:trPr>
              <w:tc>
                <w:tcPr>
                  <w:tcW w:type="dxa" w:w="5329"/>
                </w:tcPr>
                <w:p>
                  <w:pPr>
                    <w:spacing w:after="20"/>
                    <w:jc w:val="left"/>
                  </w:pPr>
                  <w:r/>
                  <w:r>
                    <w:rPr>
                      <w:rFonts w:ascii="Times New Roman" w:hAnsi="Times New Roman"/>
                      <w:sz w:val="21"/>
                    </w:rPr>
                    <w:t>Conduct the end-to-end economic evaluation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Execute the sealed-set validation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Design and implement the data pipeline scheduling and module contracts</w:t>
                  </w:r>
                </w:p>
              </w:tc>
              <w:tc>
                <w:tcPr>
                  <w:tcW w:type="dxa" w:w="1928"/>
                </w:tcPr>
                <w:p>
                  <w:pPr>
                    <w:spacing w:after="20"/>
                    <w:jc w:val="center"/>
                  </w:pPr>
                  <w:r/>
                  <w:r>
                    <w:rPr>
                      <w:rFonts w:ascii="Times New Roman" w:hAnsi="Times New Roman"/>
                      <w:sz w:val="21"/>
                    </w:rPr>
                    <w:t>35%</w:t>
                  </w:r>
                </w:p>
              </w:tc>
              <w:tc>
                <w:tcPr>
                  <w:tcW w:type="dxa" w:w="1928"/>
                </w:tcPr>
                <w:p>
                  <w:pPr>
                    <w:spacing w:after="20"/>
                    <w:jc w:val="center"/>
                  </w:pPr>
                  <w:r/>
                  <w:r>
                    <w:rPr>
                      <w:rFonts w:ascii="Times New Roman" w:hAnsi="Times New Roman"/>
                      <w:sz w:val="21"/>
                    </w:rPr>
                    <w:t>65%</w:t>
                  </w:r>
                </w:p>
              </w:tc>
            </w:tr>
            <w:tr>
              <w:trPr>
                <w:cantSplit/>
              </w:trPr>
              <w:tc>
                <w:tcPr>
                  <w:tcW w:type="dxa" w:w="5329"/>
                </w:tcPr>
                <w:p>
                  <w:pPr>
                    <w:spacing w:after="20"/>
                    <w:jc w:val="left"/>
                  </w:pPr>
                  <w:r/>
                  <w:r>
                    <w:rPr>
                      <w:rFonts w:ascii="Times New Roman" w:hAnsi="Times New Roman"/>
                      <w:sz w:val="21"/>
                    </w:rPr>
                    <w:t>Implement the API layer (FastAPI routers, response schemas)</w:t>
                  </w:r>
                </w:p>
              </w:tc>
              <w:tc>
                <w:tcPr>
                  <w:tcW w:type="dxa" w:w="1928"/>
                </w:tcPr>
                <w:p>
                  <w:pPr>
                    <w:spacing w:after="20"/>
                    <w:jc w:val="center"/>
                  </w:pPr>
                  <w:r/>
                  <w:r>
                    <w:rPr>
                      <w:rFonts w:ascii="Times New Roman" w:hAnsi="Times New Roman"/>
                      <w:sz w:val="21"/>
                    </w:rPr>
                    <w:t>30%</w:t>
                  </w:r>
                </w:p>
              </w:tc>
              <w:tc>
                <w:tcPr>
                  <w:tcW w:type="dxa" w:w="1928"/>
                </w:tcPr>
                <w:p>
                  <w:pPr>
                    <w:spacing w:after="20"/>
                    <w:jc w:val="center"/>
                  </w:pPr>
                  <w:r/>
                  <w:r>
                    <w:rPr>
                      <w:rFonts w:ascii="Times New Roman" w:hAnsi="Times New Roman"/>
                      <w:sz w:val="21"/>
                    </w:rPr>
                    <w:t>70%</w:t>
                  </w:r>
                </w:p>
              </w:tc>
            </w:tr>
            <w:tr>
              <w:trPr>
                <w:cantSplit/>
              </w:trPr>
              <w:tc>
                <w:tcPr>
                  <w:tcW w:type="dxa" w:w="5329"/>
                </w:tcPr>
                <w:p>
                  <w:pPr>
                    <w:spacing w:after="20"/>
                    <w:jc w:val="left"/>
                  </w:pPr>
                  <w:r/>
                  <w:r>
                    <w:rPr>
                      <w:rFonts w:ascii="Times New Roman" w:hAnsi="Times New Roman"/>
                      <w:sz w:val="21"/>
                    </w:rPr>
                    <w:t>Implement the web application and its three deployment variants</w:t>
                  </w:r>
                </w:p>
              </w:tc>
              <w:tc>
                <w:tcPr>
                  <w:tcW w:type="dxa" w:w="1928"/>
                </w:tcPr>
                <w:p>
                  <w:pPr>
                    <w:spacing w:after="20"/>
                    <w:jc w:val="center"/>
                  </w:pPr>
                  <w:r/>
                  <w:r>
                    <w:rPr>
                      <w:rFonts w:ascii="Times New Roman" w:hAnsi="Times New Roman"/>
                      <w:sz w:val="21"/>
                    </w:rPr>
                    <w:t>30%</w:t>
                  </w:r>
                </w:p>
              </w:tc>
              <w:tc>
                <w:tcPr>
                  <w:tcW w:type="dxa" w:w="1928"/>
                </w:tcPr>
                <w:p>
                  <w:pPr>
                    <w:spacing w:after="20"/>
                    <w:jc w:val="center"/>
                  </w:pPr>
                  <w:r/>
                  <w:r>
                    <w:rPr>
                      <w:rFonts w:ascii="Times New Roman" w:hAnsi="Times New Roman"/>
                      <w:sz w:val="21"/>
                    </w:rPr>
                    <w:t>70%</w:t>
                  </w:r>
                </w:p>
              </w:tc>
            </w:tr>
            <w:tr>
              <w:trPr>
                <w:cantSplit/>
              </w:trPr>
              <w:tc>
                <w:tcPr>
                  <w:tcW w:type="dxa" w:w="5329"/>
                </w:tcPr>
                <w:p>
                  <w:pPr>
                    <w:spacing w:after="20"/>
                    <w:jc w:val="left"/>
                  </w:pPr>
                  <w:r/>
                  <w:r>
                    <w:rPr>
                      <w:rFonts w:ascii="Times New Roman" w:hAnsi="Times New Roman"/>
                      <w:sz w:val="21"/>
                    </w:rPr>
                    <w:t>Analyse failure cases and document limitations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Write and revise the thesis report</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Prepare for the final defence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bl>
          <w:p/>
          <w:p>
            <w:pPr>
              <w:spacing w:after="0" w:before="0"/>
            </w:pPr>
            <w:r>
              <w:rPr>
                <w:sz w:val="2"/>
              </w:rPr>
            </w:r>
          </w:p>
        </w:tc>
      </w:tr>
    </w:tbl>
    <w:p>
      <w:pPr>
        <w:spacing w:after="40"/>
      </w:pP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none" w:sz="0" w:color="000000"/>
          <w:insideV w:val="single" w:sz="8" w:color="000000"/>
        </w:tblBorders>
        <w:tblLayout w:type="fixed"/>
        <w:tblCellMar>
          <w:top w:w="110" w:type="dxa"/>
          <w:bottom w:w="110" w:type="dxa"/>
          <w:left w:w="110" w:type="dxa"/>
          <w:right w:w="110" w:type="dxa"/>
        </w:tblCellMar>
        <w:tblLayout w:type="fixed"/>
      </w:tblPr>
      <w:tblGrid>
        <w:gridCol w:w="4422"/>
        <w:gridCol w:w="4535"/>
      </w:tblGrid>
      <w:tr>
        <w:trPr>
          <w:cantSplit/>
        </w:trPr>
        <w:tc>
          <w:tcPr>
            <w:tcW w:type="dxa" w:w="4422"/>
          </w:tcPr>
          <w:p>
            <w:pPr>
              <w:spacing w:after="120"/>
              <w:jc w:val="center"/>
            </w:pPr>
            <w:r>
              <w:rPr>
                <w:rFonts w:ascii="Times New Roman" w:hAnsi="Times New Roman"/>
                <w:b/>
                <w:i w:val="0"/>
                <w:sz w:val="24"/>
              </w:rPr>
              <w:t>Advisor's approval</w:t>
            </w:r>
          </w:p>
          <w:p>
            <w:pPr>
              <w:spacing w:after="1040"/>
              <w:jc w:val="center"/>
            </w:pPr>
            <w:r>
              <w:rPr>
                <w:rFonts w:ascii="Times New Roman" w:hAnsi="Times New Roman"/>
                <w:b w:val="0"/>
                <w:i/>
                <w:sz w:val="24"/>
              </w:rPr>
              <w:t>(Signature and full name)</w:t>
            </w:r>
          </w:p>
          <w:p>
            <w:pPr>
              <w:spacing w:after="120"/>
              <w:jc w:val="center"/>
            </w:pPr>
            <w:r>
              <w:rPr>
                <w:rFonts w:ascii="Times New Roman" w:hAnsi="Times New Roman"/>
                <w:b/>
                <w:i w:val="0"/>
                <w:sz w:val="24"/>
              </w:rPr>
              <w:t>NGUYEN DINH THUAN</w:t>
            </w:r>
          </w:p>
        </w:tc>
        <w:tc>
          <w:tcPr>
            <w:tcW w:type="dxa" w:w="4535"/>
          </w:tcPr>
          <w:p>
            <w:pPr>
              <w:spacing w:after="120"/>
              <w:jc w:val="center"/>
            </w:pPr>
            <w:r>
              <w:rPr>
                <w:rFonts w:ascii="Times New Roman" w:hAnsi="Times New Roman"/>
                <w:b w:val="0"/>
                <w:i w:val="0"/>
                <w:sz w:val="24"/>
              </w:rPr>
              <w:t>Ho Chi Minh City, ... / ... / ......</w:t>
            </w:r>
          </w:p>
          <w:p>
            <w:pPr>
              <w:spacing w:after="120"/>
              <w:jc w:val="center"/>
            </w:pPr>
            <w:r>
              <w:rPr>
                <w:rFonts w:ascii="Times New Roman" w:hAnsi="Times New Roman"/>
                <w:b/>
                <w:i w:val="0"/>
                <w:sz w:val="24"/>
              </w:rPr>
              <w:t>Students</w:t>
            </w:r>
          </w:p>
          <w:p>
            <w:pPr>
              <w:spacing w:after="880"/>
              <w:jc w:val="center"/>
            </w:pPr>
            <w:r>
              <w:rPr>
                <w:rFonts w:ascii="Times New Roman" w:hAnsi="Times New Roman"/>
                <w:b w:val="0"/>
                <w:i/>
                <w:sz w:val="24"/>
              </w:rPr>
              <w:t>(Signatures and full names)</w:t>
            </w:r>
          </w:p>
          <w:p>
            <w:pPr>
              <w:spacing w:after="680"/>
              <w:jc w:val="center"/>
            </w:pPr>
            <w:r>
              <w:rPr>
                <w:rFonts w:ascii="Times New Roman" w:hAnsi="Times New Roman"/>
                <w:b/>
                <w:i w:val="0"/>
                <w:sz w:val="24"/>
              </w:rPr>
              <w:t>NGUYEN QUOC HUY</w:t>
            </w:r>
          </w:p>
          <w:p>
            <w:pPr>
              <w:spacing w:after="120"/>
              <w:jc w:val="center"/>
            </w:pPr>
            <w:r>
              <w:rPr>
                <w:rFonts w:ascii="Times New Roman" w:hAnsi="Times New Roman"/>
                <w:b/>
                <w:i w:val="0"/>
                <w:sz w:val="24"/>
              </w:rPr>
              <w:t>HUYNH TRAN QUOC HUY</w:t>
            </w:r>
          </w:p>
        </w:tc>
      </w:tr>
    </w:tbl>
    <w:sectPr w:rsidR="00FC693F" w:rsidRPr="0006063C" w:rsidSect="00034616">
      <w:pgSz w:w="12240" w:h="15840"/>
      <w:pgMar w:top="1020" w:right="1020"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