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color="000000"/>
          <w:left w:val="none" w:sz="0" w:color="000000"/>
          <w:bottom w:val="none" w:sz="0" w:color="000000"/>
          <w:right w:val="none" w:sz="0" w:color="000000"/>
          <w:insideH w:val="none" w:sz="0" w:color="000000"/>
          <w:insideV w:val="none" w:sz="0" w:color="000000"/>
        </w:tblBorders>
        <w:tblLayout w:type="fixed"/>
        <w:tblCellMar>
          <w:top w:w="0" w:type="dxa"/>
          <w:bottom w:w="0" w:type="dxa"/>
          <w:left w:w="0" w:type="dxa"/>
          <w:right w:w="0" w:type="dxa"/>
        </w:tblCellMar>
        <w:tblLayout w:type="fixed"/>
      </w:tblPr>
      <w:tblGrid>
        <w:gridCol w:w="5896"/>
        <w:gridCol w:w="3175"/>
      </w:tblGrid>
      <w:tr>
        <w:tc>
          <w:tcPr>
            <w:tcW w:type="dxa" w:w="5896"/>
          </w:tcPr>
          <w:p>
            <w:pPr>
              <w:spacing w:after="40"/>
              <w:jc w:val="center"/>
            </w:pPr>
            <w:r>
              <w:rPr>
                <w:rFonts w:ascii="Times New Roman" w:hAnsi="Times New Roman"/>
                <w:b/>
                <w:sz w:val="22"/>
              </w:rPr>
              <w:t>UNIVERSITY OF INFORMATION TECHNOLOGY</w:t>
            </w:r>
          </w:p>
          <w:p>
            <w:pPr>
              <w:spacing w:after="40"/>
              <w:jc w:val="center"/>
            </w:pPr>
            <w:r>
              <w:rPr>
                <w:rFonts w:ascii="Times New Roman" w:hAnsi="Times New Roman"/>
                <w:b/>
                <w:sz w:val="22"/>
              </w:rPr>
              <w:t>ADVANCED PROGRAM</w:t>
            </w:r>
          </w:p>
          <w:p>
            <w:pPr>
              <w:spacing w:after="40"/>
              <w:jc w:val="center"/>
              <w:pBdr>
                <w:bottom w:val="single" w:sz="8" w:space="2" w:color="000000"/>
              </w:pBdr>
            </w:pPr>
            <w:r>
              <w:rPr>
                <w:rFonts w:ascii="Times New Roman" w:hAnsi="Times New Roman"/>
                <w:b/>
                <w:sz w:val="22"/>
              </w:rPr>
              <w:t>IN INFORMATION SYSTEMS</w:t>
            </w:r>
          </w:p>
        </w:tc>
        <w:tc>
          <w:tcPr>
            <w:tcW w:type="dxa" w:w="3175"/>
          </w:tcPr>
          <w:p>
            <w:pPr>
              <w:jc w:val="right"/>
            </w:pPr>
            <w:r>
              <w:drawing>
                <wp:inline xmlns:a="http://schemas.openxmlformats.org/drawingml/2006/main" xmlns:pic="http://schemas.openxmlformats.org/drawingml/2006/picture">
                  <wp:extent cx="1655999" cy="578285"/>
                  <wp:docPr id="1" name="Picture 1"/>
                  <wp:cNvGraphicFramePr>
                    <a:graphicFrameLocks noChangeAspect="1"/>
                  </wp:cNvGraphicFramePr>
                  <a:graphic>
                    <a:graphicData uri="http://schemas.openxmlformats.org/drawingml/2006/picture">
                      <pic:pic>
                        <pic:nvPicPr>
                          <pic:cNvPr id="0" name="aep_logo.png"/>
                          <pic:cNvPicPr/>
                        </pic:nvPicPr>
                        <pic:blipFill>
                          <a:blip r:embed="rId9"/>
                          <a:stretch>
                            <a:fillRect/>
                          </a:stretch>
                        </pic:blipFill>
                        <pic:spPr>
                          <a:xfrm>
                            <a:off x="0" y="0"/>
                            <a:ext cx="1655999" cy="578285"/>
                          </a:xfrm>
                          <a:prstGeom prst="rect"/>
                        </pic:spPr>
                      </pic:pic>
                    </a:graphicData>
                  </a:graphic>
                </wp:inline>
              </w:drawing>
            </w:r>
          </w:p>
        </w:tc>
      </w:tr>
    </w:tbl>
    <w:p>
      <w:pPr>
        <w:spacing w:after="80"/>
      </w:pPr>
    </w:p>
    <w:p>
      <w:pPr>
        <w:spacing w:after="240"/>
        <w:jc w:val="center"/>
      </w:pPr>
      <w:r>
        <w:rPr>
          <w:rFonts w:ascii="Times New Roman" w:hAnsi="Times New Roman"/>
          <w:b/>
          <w:sz w:val="38"/>
        </w:rPr>
        <w:t>THESIS PROPOSAL</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none" w:sz="0" w:color="000000"/>
        </w:tblBorders>
        <w:tblCellMar>
          <w:top w:w="80" w:type="dxa"/>
          <w:bottom w:w="80" w:type="dxa"/>
          <w:left w:w="110" w:type="dxa"/>
          <w:right w:w="110" w:type="dxa"/>
        </w:tblCellMar>
      </w:tblPr>
      <w:tblGrid>
        <w:gridCol w:w="9973"/>
      </w:tblGrid>
      <w:tr>
        <w:tc>
          <w:tcPr>
            <w:tcW w:type="dxa" w:w="9973"/>
          </w:tcPr>
          <w:p>
            <w:pPr>
              <w:jc w:val="both"/>
            </w:pPr>
            <w:r>
              <w:rPr>
                <w:rFonts w:ascii="Times New Roman" w:hAnsi="Times New Roman"/>
                <w:b/>
                <w:sz w:val="24"/>
              </w:rPr>
              <w:t>THESIS TITLE: BUILDING A STATISTICALLY VALIDATED DECISION SUPPORT SYSTEM FOR FOREIGN EXCHANGE TRADING WITH CALIBRATED UNCERTAINTY AND RISK CONTROL</w:t>
            </w:r>
          </w:p>
        </w:tc>
      </w:tr>
      <w:tr>
        <w:tc>
          <w:tcPr>
            <w:tcW w:type="dxa" w:w="9973"/>
          </w:tcPr>
          <w:p>
            <w:r>
              <w:rPr>
                <w:rFonts w:ascii="Times New Roman" w:hAnsi="Times New Roman"/>
                <w:b/>
                <w:sz w:val="24"/>
              </w:rPr>
              <w:t xml:space="preserve">Advisor: </w:t>
            </w:r>
            <w:r>
              <w:rPr>
                <w:rFonts w:ascii="Times New Roman" w:hAnsi="Times New Roman"/>
                <w:sz w:val="24"/>
              </w:rPr>
              <w:t>ASSOCIATE PROFESSOR NGUYEN DINH THUAN</w:t>
            </w:r>
          </w:p>
        </w:tc>
      </w:tr>
      <w:tr>
        <w:tc>
          <w:tcPr>
            <w:tcW w:type="dxa" w:w="9973"/>
          </w:tcPr>
          <w:p>
            <w:r>
              <w:rPr>
                <w:rFonts w:ascii="Times New Roman" w:hAnsi="Times New Roman"/>
                <w:b/>
                <w:sz w:val="24"/>
              </w:rPr>
              <w:t xml:space="preserve">Implementation period: </w:t>
            </w:r>
            <w:r>
              <w:rPr>
                <w:rFonts w:ascii="Times New Roman" w:hAnsi="Times New Roman"/>
                <w:sz w:val="24"/>
              </w:rPr>
              <w:t>09/2026 to 12/2026 (16 weeks)</w:t>
            </w:r>
          </w:p>
        </w:tc>
      </w:tr>
      <w:tr>
        <w:tc>
          <w:tcPr>
            <w:tcW w:type="dxa" w:w="9973"/>
          </w:tcPr>
          <w:p>
            <w:r>
              <w:rPr>
                <w:rFonts w:ascii="Times New Roman" w:hAnsi="Times New Roman"/>
                <w:b/>
                <w:sz w:val="24"/>
              </w:rPr>
              <w:t>Students:</w:t>
            </w:r>
          </w:p>
          <w:p>
            <w:pPr>
              <w:spacing w:after="40"/>
              <w:ind w:left="680"/>
            </w:pPr>
            <w:r>
              <w:rPr>
                <w:rFonts w:ascii="Times New Roman" w:hAnsi="Times New Roman"/>
                <w:sz w:val="24"/>
              </w:rPr>
              <w:t>NGUYEN QUOC HUY – 22520566</w:t>
            </w:r>
          </w:p>
          <w:p>
            <w:pPr>
              <w:spacing w:after="40"/>
              <w:ind w:left="680"/>
            </w:pPr>
            <w:r>
              <w:rPr>
                <w:rFonts w:ascii="Times New Roman" w:hAnsi="Times New Roman"/>
                <w:sz w:val="24"/>
              </w:rPr>
              <w:t>HUYNH TRAN QUOC HUY – 22520544</w:t>
            </w:r>
          </w:p>
        </w:tc>
      </w:tr>
      <w:tr>
        <w:tc>
          <w:tcPr>
            <w:tcW w:type="dxa" w:w="9973"/>
          </w:tcPr>
          <w:p>
            <w:pPr>
              <w:spacing w:after="100"/>
            </w:pPr>
            <w:r>
              <w:rPr>
                <w:rFonts w:ascii="Times New Roman" w:hAnsi="Times New Roman"/>
                <w:b/>
                <w:sz w:val="24"/>
              </w:rPr>
              <w:t>Introduction:</w:t>
            </w:r>
          </w:p>
          <w:p>
            <w:pPr>
              <w:spacing w:after="100"/>
              <w:ind w:firstLine="340"/>
              <w:jc w:val="both"/>
            </w:pPr>
            <w:r>
              <w:rPr>
                <w:rFonts w:ascii="Times New Roman" w:hAnsi="Times New Roman"/>
                <w:sz w:val="24"/>
              </w:rPr>
              <w:t>The foreign exchange (FX) market is the largest and most liquid financial market in the world, and a large number of decision support tools are marketed to retail participants. Such tools typically display a directional forecast, a set of chart-pattern signals, and a qualitative confidence label. The empirical foundation for these outputs is, however, considerably weaker than their presentation suggests. Daily exchange rate returns have resisted prediction since the benchmark result of Meese and Rogoff [1], and large-scale replications of technical trading rules in currencies report that in-sample profitability largely disappears out of sample and that residual abnormal returns are absorbed by a single time-series momentum factor [2], [3].</w:t>
            </w:r>
          </w:p>
          <w:p>
            <w:pPr>
              <w:spacing w:after="100"/>
              <w:ind w:firstLine="340"/>
              <w:jc w:val="both"/>
            </w:pPr>
            <w:r>
              <w:rPr>
                <w:rFonts w:ascii="Times New Roman" w:hAnsi="Times New Roman"/>
                <w:sz w:val="24"/>
              </w:rPr>
              <w:t xml:space="preserve">The central methodological difficulty is not model capacity but </w:t>
            </w:r>
            <w:r>
              <w:rPr>
                <w:rFonts w:ascii="Times New Roman" w:hAnsi="Times New Roman"/>
                <w:b/>
                <w:sz w:val="24"/>
              </w:rPr>
              <w:t>inference under a low signal-to-noise ratio combined with a large hypothesis space</w:t>
            </w:r>
            <w:r>
              <w:rPr>
                <w:rFonts w:ascii="Times New Roman" w:hAnsi="Times New Roman"/>
                <w:sz w:val="24"/>
              </w:rPr>
              <w:t xml:space="preserve">. A system that evaluates thousands of candidate rules, feature sets, or model configurations will identify many nominally significant relationships purely by chance. Unless the hypothesis space is enumerated in advance and the family-wise error rate is controlled — for example by resampling-based step-down procedures [4] or by tests of superior predictive ability over an entire model family [5] — the resulting system reports discoveries that do not survive replication [6]. A second and less frequently addressed difficulty concerns </w:t>
            </w:r>
            <w:r>
              <w:rPr>
                <w:rFonts w:ascii="Times New Roman" w:hAnsi="Times New Roman"/>
                <w:b/>
                <w:sz w:val="24"/>
              </w:rPr>
              <w:t>negative findings</w:t>
            </w:r>
            <w:r>
              <w:rPr>
                <w:rFonts w:ascii="Times New Roman" w:hAnsi="Times New Roman"/>
                <w:sz w:val="24"/>
              </w:rPr>
              <w:t>: reporting that no effect was detected is uninformative unless the minimum detectable effect size (MDES) of the testing procedure is also reported, because "there is nothing there" and "the procedure could not have found it" are otherwise indistinguishable.</w:t>
            </w:r>
          </w:p>
          <w:p>
            <w:pPr>
              <w:spacing w:after="100"/>
              <w:ind w:firstLine="340"/>
              <w:jc w:val="both"/>
            </w:pPr>
            <w:r>
              <w:rPr>
                <w:rFonts w:ascii="Times New Roman" w:hAnsi="Times New Roman"/>
                <w:sz w:val="24"/>
              </w:rPr>
              <w:t xml:space="preserve">A third observation motivates the design adopted here. Predictability in FX is not a single property: it should be decomposed by </w:t>
            </w:r>
            <w:r>
              <w:rPr>
                <w:rFonts w:ascii="Times New Roman" w:hAnsi="Times New Roman"/>
                <w:b/>
                <w:sz w:val="24"/>
              </w:rPr>
              <w:t>target axis</w:t>
            </w:r>
            <w:r>
              <w:rPr>
                <w:rFonts w:ascii="Times New Roman" w:hAnsi="Times New Roman"/>
                <w:sz w:val="24"/>
              </w:rPr>
              <w:t xml:space="preserve">. The </w:t>
            </w:r>
            <w:r>
              <w:rPr>
                <w:rFonts w:ascii="Times New Roman" w:hAnsi="Times New Roman"/>
                <w:i/>
                <w:sz w:val="24"/>
              </w:rPr>
              <w:t>direction</w:t>
            </w:r>
            <w:r>
              <w:rPr>
                <w:rFonts w:ascii="Times New Roman" w:hAnsi="Times New Roman"/>
                <w:sz w:val="24"/>
              </w:rPr>
              <w:t xml:space="preserve"> axis (will the price rise or fall) and the </w:t>
            </w:r>
            <w:r>
              <w:rPr>
                <w:rFonts w:ascii="Times New Roman" w:hAnsi="Times New Roman"/>
                <w:i/>
                <w:sz w:val="24"/>
              </w:rPr>
              <w:t>magnitude</w:t>
            </w:r>
            <w:r>
              <w:rPr>
                <w:rFonts w:ascii="Times New Roman" w:hAnsi="Times New Roman"/>
                <w:sz w:val="24"/>
              </w:rPr>
              <w:t xml:space="preserve"> axis (how large will the movement be) have very different empirical status. The heterogeneous autoregressive (HAR) model of realized volatility [7] and its extensions incorporating measurement-error correction [8] and jump/semivariance components [9] provide well-established magnitude forecasts, whereas directional skill remains contested. Recent comparative studies further report that nonlinear machine-learning models do not statistically outperform linear specifications for realized volatility once multiple testing is accounted for [10], and that time-series foundation models do not consistently beat a log-HAR benchmark [11]. A decision support system should therefore state explicitly </w:t>
            </w:r>
            <w:r>
              <w:rPr>
                <w:rFonts w:ascii="Times New Roman" w:hAnsi="Times New Roman"/>
                <w:i/>
                <w:sz w:val="24"/>
              </w:rPr>
              <w:t>on which axis</w:t>
            </w:r>
            <w:r>
              <w:rPr>
                <w:rFonts w:ascii="Times New Roman" w:hAnsi="Times New Roman"/>
                <w:sz w:val="24"/>
              </w:rPr>
              <w:t xml:space="preserve"> it claims skill, and should demonstrate that claim under a fixed evaluation protocol rather than asserting it.</w:t>
            </w:r>
          </w:p>
          <w:p>
            <w:pPr>
              <w:spacing w:after="100"/>
              <w:ind w:firstLine="340"/>
              <w:jc w:val="both"/>
            </w:pPr>
            <w:r>
              <w:rPr>
                <w:rFonts w:ascii="Times New Roman" w:hAnsi="Times New Roman"/>
                <w:sz w:val="24"/>
              </w:rPr>
              <w:t>Preliminary work carried out by the group has established the feasibility and the empirical baseline for this design, and has already progressed through three staged, pre-registered information layers, each closed with a written decision record before the next was opened. A complete data pipeline has been constructed for six major currency pairs (EUR/USD, GBP/USD, USD/JPY, AUD/USD, USD/CAD, USD/CHF) over 2010–2025, aggregating approximately 34.9 million one-minute bars into daily bars and five-minute realized measures; a production volatility layer, a three-class probability layer, and a risk layer have been implemented end to end and are served through an operating web application updated on a daily schedule. Under a fixed 70/15/15 temporal split, the extended HAR specification attains a test-set QLIKE of 0.1585 against 0.2172 for the previous baseline, while fourteen machine-learning and deep-learning alternatives, two zero-shot time-series foundation models, and 509 forecast combinations fail to displace it from the Model Confidence Set [12]. On the direction axis, 8,652 fully enumerated rule hypotheses across twelve independent discovery branches — spanning historical price patterns and, in a subsequent closed phase, four independent representations of official central-bank communication — yield zero survivors after family-wise error control, with a measured detection power corresponding to a lift of 1.20. A further pre-registered investigation of exogenous macroeconomic and cross-asset variables under a causal-versus-validation feature-selection ablation has also been completed and frozen, with its sealed-set evaluation deliberately withheld because the pre-specified decision rule for opening it was not met.</w:t>
            </w:r>
          </w:p>
          <w:p>
            <w:pPr>
              <w:spacing w:after="100"/>
              <w:ind w:firstLine="340"/>
              <w:jc w:val="both"/>
            </w:pPr>
            <w:r>
              <w:rPr>
                <w:rFonts w:ascii="Times New Roman" w:hAnsi="Times New Roman"/>
                <w:sz w:val="24"/>
              </w:rPr>
              <w:t xml:space="preserve">This thesis therefore addresses a research problem that is methodological as much as it is predictive: </w:t>
            </w:r>
            <w:r>
              <w:rPr>
                <w:rFonts w:ascii="Times New Roman" w:hAnsi="Times New Roman"/>
                <w:b/>
                <w:sz w:val="24"/>
              </w:rPr>
              <w:t>how to construct a decision support system for FX whose every displayed quantity is traceable to a measurement under a pre-registered evaluation protocol, which states the axis on which it has skill, which quantifies the strength of its negative findings, and which converts calibrated uncertainty into actionable risk limits.</w:t>
            </w:r>
            <w:r>
              <w:rPr>
                <w:rFonts w:ascii="Times New Roman" w:hAnsi="Times New Roman"/>
                <w:sz w:val="24"/>
              </w:rPr>
              <w:t xml:space="preserve"> The closed phases established what does and does not carry information; the remaining work consists of completing a small number of explicitly identified residual validation items within the existing protocol (rather than reopening its settled conclusions), performing the single sealed-set evaluation, and finalising the system and its documentation.</w:t>
            </w:r>
          </w:p>
          <w:p>
            <w:pPr>
              <w:spacing w:after="100"/>
              <w:ind w:firstLine="340"/>
              <w:jc w:val="both"/>
            </w:pPr>
            <w:r>
              <w:rPr>
                <w:rFonts w:ascii="Times New Roman" w:hAnsi="Times New Roman"/>
                <w:sz w:val="24"/>
              </w:rPr>
              <w:t xml:space="preserve">This is deliberately a systems thesis as much as a statistics thesis: the pre-registered protocol above is only a decision-support </w:t>
            </w:r>
            <w:r>
              <w:rPr>
                <w:rFonts w:ascii="Times New Roman" w:hAnsi="Times New Roman"/>
                <w:i/>
                <w:sz w:val="24"/>
              </w:rPr>
              <w:t>system</w:t>
            </w:r>
            <w:r>
              <w:rPr>
                <w:rFonts w:ascii="Times New Roman" w:hAnsi="Times New Roman"/>
                <w:sz w:val="24"/>
              </w:rPr>
              <w:t xml:space="preserve"> if every one of its numbers is produced, versioned, and served by software that operates continuously rather than by a script run once for a report. The data pipeline, computation layer, API, and web application described in the Proposed Method section below are therefore treated as a primary deliverable, developed and extended across the full sixteen-week timeline rather than assembled at its end.</w:t>
            </w:r>
          </w:p>
        </w:tc>
      </w:tr>
      <w:tr>
        <w:tc>
          <w:tcPr>
            <w:tcW w:type="dxa" w:w="9973"/>
          </w:tcPr>
          <w:p>
            <w:pPr>
              <w:spacing w:after="100"/>
            </w:pPr>
            <w:r>
              <w:rPr>
                <w:rFonts w:ascii="Times New Roman" w:hAnsi="Times New Roman"/>
                <w:b/>
                <w:sz w:val="24"/>
              </w:rPr>
              <w:t>Market Survey:</w:t>
            </w:r>
          </w:p>
          <w:p>
            <w:pPr>
              <w:spacing w:after="100"/>
              <w:ind w:firstLine="340"/>
              <w:jc w:val="both"/>
            </w:pPr>
            <w:r>
              <w:rPr>
                <w:rFonts w:ascii="Times New Roman" w:hAnsi="Times New Roman"/>
                <w:sz w:val="24"/>
              </w:rPr>
              <w:t>Before specifying the proposed system, the group surveyed the retail FX decision-support tools that already compete for the same user attention this thesis targets, so that the contribution claimed below is stated relative to what exists rather than in the abstract.</w:t>
            </w:r>
          </w:p>
          <w:p>
            <w:pPr>
              <w:pStyle w:val="ListBullet"/>
              <w:spacing w:after="60"/>
              <w:ind w:left="454"/>
              <w:jc w:val="both"/>
            </w:pPr>
            <w:r>
              <w:rPr>
                <w:rFonts w:ascii="Times New Roman" w:hAnsi="Times New Roman"/>
                <w:b/>
                <w:sz w:val="24"/>
              </w:rPr>
              <w:t>Signal marketplaces on trading platforms</w:t>
            </w:r>
            <w:r>
              <w:rPr>
                <w:rFonts w:ascii="Times New Roman" w:hAnsi="Times New Roman"/>
                <w:sz w:val="24"/>
              </w:rPr>
              <w:t xml:space="preserve"> (e.g., MQL5/MetaTrader signal and expert-advisor marketplaces, TradingView public scripts) publish a directional call and a track record computed on the vendor's own in-sample selection, with no pre-registered protocol, no multiple-testing correction across the many scripts a user can browse, and no reported minimum detectable effect size for a "no edge" verdict.</w:t>
            </w:r>
          </w:p>
          <w:p>
            <w:pPr>
              <w:pStyle w:val="ListBullet"/>
              <w:spacing w:after="60"/>
              <w:ind w:left="454"/>
              <w:jc w:val="both"/>
            </w:pPr>
            <w:r>
              <w:rPr>
                <w:rFonts w:ascii="Times New Roman" w:hAnsi="Times New Roman"/>
                <w:b/>
                <w:sz w:val="24"/>
              </w:rPr>
              <w:t>Portfolio-analytics services</w:t>
            </w:r>
            <w:r>
              <w:rPr>
                <w:rFonts w:ascii="Times New Roman" w:hAnsi="Times New Roman"/>
                <w:sz w:val="24"/>
              </w:rPr>
              <w:t xml:space="preserve"> (e.g., Myfxbook, FX Blue) report realized statistics of a user's own trade history but do not issue forward-looking calibrated probabilities or a stop-out probability by holding horizon; risk figures, where present, are descriptive rather than backtested against formal coverage tests.</w:t>
            </w:r>
          </w:p>
          <w:p>
            <w:pPr>
              <w:pStyle w:val="ListBullet"/>
              <w:spacing w:after="60"/>
              <w:ind w:left="454"/>
              <w:jc w:val="both"/>
            </w:pPr>
            <w:r>
              <w:rPr>
                <w:rFonts w:ascii="Times New Roman" w:hAnsi="Times New Roman"/>
                <w:b/>
                <w:sz w:val="24"/>
              </w:rPr>
              <w:t>Broker-supplied "confidence" or "sentiment" widgets</w:t>
            </w:r>
            <w:r>
              <w:rPr>
                <w:rFonts w:ascii="Times New Roman" w:hAnsi="Times New Roman"/>
                <w:sz w:val="24"/>
              </w:rPr>
              <w:t xml:space="preserve"> attach a qualitative label (e.g., a percentage of retail positions long/short) to a pair without stating a proper scoring rule, a baseline, or a calibration diagnostic, so the number cannot be interpreted as a probability.</w:t>
            </w:r>
          </w:p>
          <w:p>
            <w:pPr>
              <w:spacing w:after="100"/>
              <w:ind w:firstLine="340"/>
              <w:jc w:val="both"/>
            </w:pPr>
            <w:r>
              <w:rPr>
                <w:rFonts w:ascii="Times New Roman" w:hAnsi="Times New Roman"/>
                <w:sz w:val="24"/>
              </w:rPr>
              <w:t>None of the surveyed categories discloses (a) the hypothesis space searched, (b) the multiple-testing correction applied, (c) a calibration or coverage guarantee for its stated confidence, or (d) a quantified probability of ruin behind its position-size suggestion — properties long identified as missing from applied decision support systems generally [27] and which this thesis is designed to provide for the FX case specifically. This gap, rather than a claim of superior raw directional accuracy, is the specific contribution the proposed system targets.</w:t>
            </w:r>
          </w:p>
        </w:tc>
      </w:tr>
      <w:tr>
        <w:tc>
          <w:tcPr>
            <w:tcW w:type="dxa" w:w="9973"/>
          </w:tcPr>
          <w:p>
            <w:pPr>
              <w:spacing w:after="100"/>
            </w:pPr>
            <w:r>
              <w:rPr>
                <w:rFonts w:ascii="Times New Roman" w:hAnsi="Times New Roman"/>
                <w:b/>
                <w:sz w:val="24"/>
              </w:rPr>
              <w:t>Research Objectives:</w:t>
            </w:r>
          </w:p>
          <w:p>
            <w:pPr>
              <w:spacing w:after="100"/>
              <w:ind w:firstLine="340"/>
              <w:jc w:val="both"/>
            </w:pPr>
            <w:r>
              <w:rPr>
                <w:rFonts w:ascii="Times New Roman" w:hAnsi="Times New Roman"/>
                <w:sz w:val="24"/>
              </w:rPr>
              <w:t>The primary objective of this research is to design, implement, and empirically validate a decision support system for foreign exchange trading in which forecast skill is established per target axis under strict multiple-testing control, uncertainty is communicated through calibrated conformal prediction sets, and position sizing is constrained by an estimated probability of ruin under explicitly stated assumptions.</w:t>
            </w:r>
          </w:p>
          <w:p>
            <w:pPr>
              <w:spacing w:after="100"/>
              <w:ind w:firstLine="340"/>
              <w:jc w:val="both"/>
            </w:pPr>
            <w:r>
              <w:rPr>
                <w:rFonts w:ascii="Times New Roman" w:hAnsi="Times New Roman"/>
                <w:sz w:val="24"/>
              </w:rPr>
              <w:t xml:space="preserve">Consistent with this objective, three groups of quantities are kept conceptually distinct throughout the study: </w:t>
            </w:r>
            <w:r>
              <w:rPr>
                <w:rFonts w:ascii="Times New Roman" w:hAnsi="Times New Roman"/>
                <w:b/>
                <w:sz w:val="24"/>
              </w:rPr>
              <w:t>predictive axes</w:t>
            </w:r>
            <w:r>
              <w:rPr>
                <w:rFonts w:ascii="Times New Roman" w:hAnsi="Times New Roman"/>
                <w:sz w:val="24"/>
              </w:rPr>
              <w:t xml:space="preserve"> (direction, magnitude, and tail-event probability, each scored against its own baseline and its own proper scoring rule), </w:t>
            </w:r>
            <w:r>
              <w:rPr>
                <w:rFonts w:ascii="Times New Roman" w:hAnsi="Times New Roman"/>
                <w:b/>
                <w:sz w:val="24"/>
              </w:rPr>
              <w:t>calibration diagnostics</w:t>
            </w:r>
            <w:r>
              <w:rPr>
                <w:rFonts w:ascii="Times New Roman" w:hAnsi="Times New Roman"/>
                <w:sz w:val="24"/>
              </w:rPr>
              <w:t xml:space="preserve"> (coverage and reliability of the probabilistic and conformal outputs), and the </w:t>
            </w:r>
            <w:r>
              <w:rPr>
                <w:rFonts w:ascii="Times New Roman" w:hAnsi="Times New Roman"/>
                <w:b/>
                <w:sz w:val="24"/>
              </w:rPr>
              <w:t>decision layer</w:t>
            </w:r>
            <w:r>
              <w:rPr>
                <w:rFonts w:ascii="Times New Roman" w:hAnsi="Times New Roman"/>
                <w:sz w:val="24"/>
              </w:rPr>
              <w:t xml:space="preserve"> (Value-at-Risk, Expected Shortfall, stop-out probability, and position sizing, which consume the predictive and calibration outputs but are not themselves treated as an additional predictive claim).</w:t>
            </w:r>
          </w:p>
          <w:p>
            <w:pPr>
              <w:spacing w:after="100"/>
              <w:ind w:firstLine="340"/>
              <w:jc w:val="both"/>
            </w:pPr>
            <w:r>
              <w:rPr>
                <w:rFonts w:ascii="Times New Roman" w:hAnsi="Times New Roman"/>
                <w:sz w:val="24"/>
              </w:rPr>
              <w:t>Specific objectives include:</w:t>
            </w:r>
          </w:p>
          <w:p>
            <w:pPr>
              <w:pStyle w:val="ListBullet"/>
              <w:spacing w:after="60"/>
              <w:ind w:left="454"/>
              <w:jc w:val="both"/>
            </w:pPr>
            <w:r>
              <w:rPr>
                <w:rFonts w:ascii="Times New Roman" w:hAnsi="Times New Roman"/>
                <w:b/>
                <w:sz w:val="24"/>
              </w:rPr>
              <w:t>Establishing axis-specific predictability.</w:t>
            </w:r>
            <w:r>
              <w:rPr>
                <w:rFonts w:ascii="Times New Roman" w:hAnsi="Times New Roman"/>
                <w:sz w:val="24"/>
              </w:rPr>
              <w:t xml:space="preserve"> Determine, under a single fixed evaluation protocol, on which of the three target axes — direction, magnitude, and risk — out-of-sample predictive skill can be demonstrated for daily FX, and report the result on each axis separately rather than through a single aggregate score.</w:t>
            </w:r>
          </w:p>
          <w:p>
            <w:pPr>
              <w:pStyle w:val="ListBullet"/>
              <w:spacing w:after="60"/>
              <w:ind w:left="454"/>
              <w:jc w:val="both"/>
            </w:pPr>
            <w:r>
              <w:rPr>
                <w:rFonts w:ascii="Times New Roman" w:hAnsi="Times New Roman"/>
                <w:b/>
                <w:sz w:val="24"/>
              </w:rPr>
              <w:t>Benchmarking model complexity against a well-specified econometric baseline.</w:t>
            </w:r>
            <w:r>
              <w:rPr>
                <w:rFonts w:ascii="Times New Roman" w:hAnsi="Times New Roman"/>
                <w:sz w:val="24"/>
              </w:rPr>
              <w:t xml:space="preserve"> Compare linear HAR-type specifications with tree-based ensembles, recurrent and attention-based neural architectures, tabular and time-series foundation models, and systematic forecast combinations, using proper scoring rules and formal model-comparison tests.</w:t>
            </w:r>
          </w:p>
          <w:p>
            <w:pPr>
              <w:pStyle w:val="ListBullet"/>
              <w:spacing w:after="60"/>
              <w:ind w:left="454"/>
              <w:jc w:val="both"/>
            </w:pPr>
            <w:r>
              <w:rPr>
                <w:rFonts w:ascii="Times New Roman" w:hAnsi="Times New Roman"/>
                <w:b/>
                <w:sz w:val="24"/>
              </w:rPr>
              <w:t>Quantifying the incremental value of additional information layers.</w:t>
            </w:r>
            <w:r>
              <w:rPr>
                <w:rFonts w:ascii="Times New Roman" w:hAnsi="Times New Roman"/>
                <w:sz w:val="24"/>
              </w:rPr>
              <w:t xml:space="preserve"> Evaluate whether textual central-bank communication, macroeconomic and cross-asset exogenous variables, and daily candlestick geometry add measurable predictive value beyond price history, and determine whether </w:t>
            </w:r>
            <w:r>
              <w:rPr>
                <w:rFonts w:ascii="Times New Roman" w:hAnsi="Times New Roman"/>
                <w:i/>
                <w:sz w:val="24"/>
              </w:rPr>
              <w:t>causal/temporal filtering</w:t>
            </w:r>
            <w:r>
              <w:rPr>
                <w:rFonts w:ascii="Times New Roman" w:hAnsi="Times New Roman"/>
                <w:sz w:val="24"/>
              </w:rPr>
              <w:t xml:space="preserve"> of such variables outperforms ordinary validation-based feature selection.</w:t>
            </w:r>
          </w:p>
          <w:p>
            <w:pPr>
              <w:pStyle w:val="ListBullet"/>
              <w:spacing w:after="60"/>
              <w:ind w:left="454"/>
              <w:jc w:val="both"/>
            </w:pPr>
            <w:r>
              <w:rPr>
                <w:rFonts w:ascii="Times New Roman" w:hAnsi="Times New Roman"/>
                <w:b/>
                <w:sz w:val="24"/>
              </w:rPr>
              <w:t>Delivering calibrated uncertainty.</w:t>
            </w:r>
            <w:r>
              <w:rPr>
                <w:rFonts w:ascii="Times New Roman" w:hAnsi="Times New Roman"/>
                <w:sz w:val="24"/>
              </w:rPr>
              <w:t xml:space="preserve"> Implement and validate adaptive conformal prediction so that the prediction sets displayed to the user are designed to maintain target coverage under distribution shift, verify this with empirical and regime-conditional coverage under the assumptions of the selected conformal procedure, and assess calibration with proper scoring rules and reliability diagnostics.</w:t>
            </w:r>
          </w:p>
          <w:p>
            <w:pPr>
              <w:pStyle w:val="ListBullet"/>
              <w:spacing w:after="60"/>
              <w:ind w:left="454"/>
              <w:jc w:val="both"/>
            </w:pPr>
            <w:r>
              <w:rPr>
                <w:rFonts w:ascii="Times New Roman" w:hAnsi="Times New Roman"/>
                <w:b/>
                <w:sz w:val="24"/>
              </w:rPr>
              <w:t>Converting forecasts into risk-controlled decisions.</w:t>
            </w:r>
            <w:r>
              <w:rPr>
                <w:rFonts w:ascii="Times New Roman" w:hAnsi="Times New Roman"/>
                <w:sz w:val="24"/>
              </w:rPr>
              <w:t xml:space="preserve"> Produce a per-session decision record comprising forecast volatility, recommended stop distance, probability of stop-out by holding horizon, Value-at-Risk and Expected Shortfall with formal backtests, and a ruin-constrained position size adjusted for portfolio correlation and measured slippage.</w:t>
            </w:r>
          </w:p>
          <w:p>
            <w:pPr>
              <w:pStyle w:val="ListBullet"/>
              <w:spacing w:after="60"/>
              <w:ind w:left="454"/>
              <w:jc w:val="both"/>
            </w:pPr>
            <w:r>
              <w:rPr>
                <w:rFonts w:ascii="Times New Roman" w:hAnsi="Times New Roman"/>
                <w:b/>
                <w:sz w:val="24"/>
              </w:rPr>
              <w:t>Reporting negative findings with quantified power.</w:t>
            </w:r>
            <w:r>
              <w:rPr>
                <w:rFonts w:ascii="Times New Roman" w:hAnsi="Times New Roman"/>
                <w:sz w:val="24"/>
              </w:rPr>
              <w:t xml:space="preserve"> For every negative result, report the minimum detectable effect size of the corresponding testing procedure, so that each negative claim is bounded rather than open-ended.</w:t>
            </w:r>
          </w:p>
          <w:p>
            <w:pPr>
              <w:pStyle w:val="ListBullet"/>
              <w:spacing w:after="60"/>
              <w:ind w:left="454"/>
              <w:jc w:val="both"/>
            </w:pPr>
            <w:r>
              <w:rPr>
                <w:rFonts w:ascii="Times New Roman" w:hAnsi="Times New Roman"/>
                <w:b/>
                <w:sz w:val="24"/>
              </w:rPr>
              <w:t>Engineering a production decision support architecture.</w:t>
            </w:r>
            <w:r>
              <w:rPr>
                <w:rFonts w:ascii="Times New Roman" w:hAnsi="Times New Roman"/>
                <w:sz w:val="24"/>
              </w:rPr>
              <w:t xml:space="preserve"> Design and operate, throughout the sixteen-week timeline rather than only at its conclusion, a five-layer software architecture — data pipeline, computation layer, versioned forecast artefacts, a documented API, and a web application — so that each research layer above is integrated as soon as it is completed instead of being connected for the first time late in the project (see Proposed Method and System Architecture).</w:t>
            </w:r>
          </w:p>
          <w:p>
            <w:pPr>
              <w:pStyle w:val="ListBullet"/>
              <w:spacing w:after="60"/>
              <w:ind w:left="454"/>
              <w:jc w:val="both"/>
            </w:pPr>
            <w:r>
              <w:rPr>
                <w:rFonts w:ascii="Times New Roman" w:hAnsi="Times New Roman"/>
                <w:b/>
                <w:sz w:val="24"/>
              </w:rPr>
              <w:t>Implementing the complete system.</w:t>
            </w:r>
            <w:r>
              <w:rPr>
                <w:rFonts w:ascii="Times New Roman" w:hAnsi="Times New Roman"/>
                <w:sz w:val="24"/>
              </w:rPr>
              <w:t xml:space="preserve"> Deliver a reproducible web-based decision support system in which every displayed number is traceable to a specific measurement and its supporting evidence, extending the API and web application that are already operating on a daily schedule (Introduction).</w:t>
            </w:r>
          </w:p>
        </w:tc>
      </w:tr>
      <w:tr>
        <w:tc>
          <w:tcPr>
            <w:tcW w:type="dxa" w:w="9973"/>
          </w:tcPr>
          <w:p>
            <w:pPr>
              <w:spacing w:after="100"/>
            </w:pPr>
            <w:r>
              <w:rPr>
                <w:rFonts w:ascii="Times New Roman" w:hAnsi="Times New Roman"/>
                <w:b/>
                <w:sz w:val="24"/>
              </w:rPr>
              <w:t>Research Scope:</w:t>
            </w:r>
          </w:p>
          <w:p>
            <w:pPr>
              <w:spacing w:after="100"/>
              <w:ind w:firstLine="340"/>
              <w:jc w:val="both"/>
            </w:pPr>
            <w:r>
              <w:rPr>
                <w:rFonts w:ascii="Times New Roman" w:hAnsi="Times New Roman"/>
                <w:sz w:val="24"/>
              </w:rPr>
              <w:t xml:space="preserve">This research focuses on </w:t>
            </w:r>
            <w:r>
              <w:rPr>
                <w:rFonts w:ascii="Times New Roman" w:hAnsi="Times New Roman"/>
                <w:b/>
                <w:sz w:val="24"/>
              </w:rPr>
              <w:t>daily-horizon decision support for six major currency pairs involving the U.S. dollar</w:t>
            </w:r>
            <w:r>
              <w:rPr>
                <w:rFonts w:ascii="Times New Roman" w:hAnsi="Times New Roman"/>
                <w:sz w:val="24"/>
              </w:rPr>
              <w:t>: EUR/USD, GBP/USD, USD/JPY, AUD/USD, USD/CAD, and USD/CHF (the dollar is the quote currency in the first three pairs and the base currency in the last three). The development sample covers 2010–2025 and is partitioned temporally into a training segment, a validation segment used only for model and hyper-parameter selection, and a held-out development-test segment that is scored once and is distinct from the sealed evaluation set described below.</w:t>
            </w:r>
          </w:p>
          <w:p>
            <w:pPr>
              <w:spacing w:after="100"/>
              <w:ind w:firstLine="340"/>
              <w:jc w:val="both"/>
            </w:pPr>
            <w:r>
              <w:rPr>
                <w:rFonts w:ascii="Times New Roman" w:hAnsi="Times New Roman"/>
                <w:sz w:val="24"/>
              </w:rPr>
              <w:t xml:space="preserve">A </w:t>
            </w:r>
            <w:r>
              <w:rPr>
                <w:rFonts w:ascii="Times New Roman" w:hAnsi="Times New Roman"/>
                <w:b/>
                <w:sz w:val="24"/>
              </w:rPr>
              <w:t>sealed evaluation set</w:t>
            </w:r>
            <w:r>
              <w:rPr>
                <w:rFonts w:ascii="Times New Roman" w:hAnsi="Times New Roman"/>
                <w:sz w:val="24"/>
              </w:rPr>
              <w:t xml:space="preserve"> — six cross pairs not used anywhere in development, namely EUR/GBP, EUR/JPY, GBP/JPY, AUD/JPY, EUR/CHF, and NZD/USD, together with 2026 data as available at the pre-specified cutoff date for all twelve pairs — is reserved and is opened exactly once, after the final configuration has been frozen in writing; because the sealed set includes calendar year 2026 while the study concludes before that year ends, "2026" refers to whatever portion of the year has been collected through the continuously operating daily pipeline by the cutoff date, not the completed calendar year. No retuning is permitted after the sealed set is opened.</w:t>
            </w:r>
          </w:p>
          <w:p>
            <w:pPr>
              <w:spacing w:after="100"/>
              <w:ind w:firstLine="340"/>
              <w:jc w:val="both"/>
            </w:pPr>
            <w:r>
              <w:rPr>
                <w:rFonts w:ascii="Times New Roman" w:hAnsi="Times New Roman"/>
                <w:sz w:val="24"/>
              </w:rPr>
              <w:t>The primary data source is aggregated one-minute historical bar data, from which daily bars and five-minute realized measures (realized variance, realized quarticity, bipower variation, and signed semivariances) are computed. Supplementary sources include an official central-bank meeting and macroeconomic release calendar, daily exogenous series obtained from a public economic data service, published monetary-policy surprise measures, interest-rate differentials, and transaction-cost measurements derived from tick data with bid–ask quotations.</w:t>
            </w:r>
          </w:p>
          <w:p>
            <w:pPr>
              <w:spacing w:after="100"/>
              <w:ind w:firstLine="340"/>
              <w:jc w:val="both"/>
            </w:pPr>
            <w:r>
              <w:rPr>
                <w:rFonts w:ascii="Times New Roman" w:hAnsi="Times New Roman"/>
                <w:sz w:val="24"/>
              </w:rPr>
              <w:t>Forecast horizons considered are one, five, and twenty trading sessions. The one-session horizon is the operational default; longer horizons are reported with their measured skill level rather than presented as equivalent.</w:t>
            </w:r>
          </w:p>
          <w:p>
            <w:pPr>
              <w:spacing w:after="100"/>
              <w:ind w:firstLine="340"/>
              <w:jc w:val="both"/>
            </w:pPr>
            <w:r>
              <w:rPr>
                <w:rFonts w:ascii="Times New Roman" w:hAnsi="Times New Roman"/>
                <w:sz w:val="24"/>
              </w:rPr>
              <w:t xml:space="preserve">The study is explicitly </w:t>
            </w:r>
            <w:r>
              <w:rPr>
                <w:rFonts w:ascii="Times New Roman" w:hAnsi="Times New Roman"/>
                <w:b/>
                <w:sz w:val="24"/>
              </w:rPr>
              <w:t>not</w:t>
            </w:r>
            <w:r>
              <w:rPr>
                <w:rFonts w:ascii="Times New Roman" w:hAnsi="Times New Roman"/>
                <w:sz w:val="24"/>
              </w:rPr>
              <w:t xml:space="preserve"> an attempt to construct a profitable automated trading strategy. Order execution, order-book microstructure modelling, market impact of large orders, intraday trade timing below the daily decision, and portfolio optimisation across asset classes other than FX are outside the scope. Statements about causality are limited to temporal predictive relationships in the Granger sense and are not presented as structural causal claims.</w:t>
            </w:r>
          </w:p>
        </w:tc>
      </w:tr>
      <w:tr>
        <w:tc>
          <w:tcPr>
            <w:tcW w:type="dxa" w:w="9973"/>
          </w:tcPr>
          <w:p>
            <w:pPr>
              <w:spacing w:after="100"/>
            </w:pPr>
            <w:r>
              <w:rPr>
                <w:rFonts w:ascii="Times New Roman" w:hAnsi="Times New Roman"/>
                <w:b/>
                <w:sz w:val="24"/>
              </w:rPr>
              <w:t>Research Subjects:</w:t>
            </w:r>
          </w:p>
          <w:p>
            <w:pPr>
              <w:spacing w:after="100"/>
              <w:ind w:firstLine="340"/>
              <w:jc w:val="both"/>
            </w:pPr>
            <w:r>
              <w:rPr>
                <w:rFonts w:ascii="Times New Roman" w:hAnsi="Times New Roman"/>
                <w:sz w:val="24"/>
              </w:rPr>
              <w:t xml:space="preserve">The primary research subject is </w:t>
            </w:r>
            <w:r>
              <w:rPr>
                <w:rFonts w:ascii="Times New Roman" w:hAnsi="Times New Roman"/>
                <w:b/>
                <w:sz w:val="24"/>
              </w:rPr>
              <w:t>the statistical validation of decision support outputs for foreign exchange trading under a low signal-to-noise ratio</w:t>
            </w:r>
            <w:r>
              <w:rPr>
                <w:rFonts w:ascii="Times New Roman" w:hAnsi="Times New Roman"/>
                <w:sz w:val="24"/>
              </w:rPr>
              <w:t>.</w:t>
            </w:r>
          </w:p>
          <w:p>
            <w:pPr>
              <w:spacing w:after="100"/>
              <w:ind w:firstLine="340"/>
              <w:jc w:val="both"/>
            </w:pPr>
            <w:r>
              <w:rPr>
                <w:rFonts w:ascii="Times New Roman" w:hAnsi="Times New Roman"/>
                <w:sz w:val="24"/>
              </w:rPr>
              <w:t>The study examines how forecast skill can be attributed to a specific target axis and to a specific information layer; how multiple-testing control, power analysis, leakage protection, and sealed-set validation interact to produce claims that survive replication; how calibrated probabilistic forecasts and conformal prediction sets can be converted into risk limits with a measured probability of ruin; and how such evidence should be presented in a decision support interface so that the user can distinguish what the system measures from what it merely assumes.</w:t>
            </w:r>
          </w:p>
        </w:tc>
      </w:tr>
      <w:tr>
        <w:tc>
          <w:tcPr>
            <w:tcW w:type="dxa" w:w="9973"/>
          </w:tcPr>
          <w:p>
            <w:pPr>
              <w:spacing w:after="100"/>
            </w:pPr>
            <w:r>
              <w:rPr>
                <w:rFonts w:ascii="Times New Roman" w:hAnsi="Times New Roman"/>
                <w:b/>
                <w:sz w:val="24"/>
              </w:rPr>
              <w:t>Proposed Method and System Architecture:</w:t>
            </w:r>
          </w:p>
          <w:p>
            <w:pPr>
              <w:spacing w:after="100"/>
              <w:ind w:firstLine="340"/>
              <w:jc w:val="both"/>
            </w:pPr>
            <w:r>
              <w:rPr>
                <w:rFonts w:ascii="Times New Roman" w:hAnsi="Times New Roman"/>
                <w:sz w:val="24"/>
              </w:rPr>
              <w:t xml:space="preserve">This section states explicitly what is proposed, distinguishing components already implemented and frozen during the pre-registered phases described in the Introduction from components that remain to be completed under this thesis. Every item below is labelled </w:t>
            </w:r>
            <w:r>
              <w:rPr>
                <w:rFonts w:ascii="Times New Roman" w:hAnsi="Times New Roman"/>
                <w:b/>
                <w:sz w:val="24"/>
              </w:rPr>
              <w:t>(implemented)</w:t>
            </w:r>
            <w:r>
              <w:rPr>
                <w:rFonts w:ascii="Times New Roman" w:hAnsi="Times New Roman"/>
                <w:sz w:val="24"/>
              </w:rPr>
              <w:t xml:space="preserve"> or </w:t>
            </w:r>
            <w:r>
              <w:rPr>
                <w:rFonts w:ascii="Times New Roman" w:hAnsi="Times New Roman"/>
                <w:b/>
                <w:sz w:val="24"/>
              </w:rPr>
              <w:t>(proposed)</w:t>
            </w:r>
            <w:r>
              <w:rPr>
                <w:rFonts w:ascii="Times New Roman" w:hAnsi="Times New Roman"/>
                <w:sz w:val="24"/>
              </w:rPr>
              <w:t xml:space="preserve"> accordingly; nothing in this section is presented as a finished result until it appears with its measured numbers in the Expected Results section or, later, the defended thesis.</w:t>
            </w:r>
          </w:p>
          <w:p>
            <w:pPr>
              <w:spacing w:before="140" w:after="60"/>
            </w:pPr>
            <w:r>
              <w:rPr>
                <w:rFonts w:ascii="Times New Roman" w:hAnsi="Times New Roman"/>
                <w:b/>
                <w:i/>
                <w:sz w:val="24"/>
              </w:rPr>
              <w:t>Proposed Predictive and Risk Layers</w:t>
            </w:r>
          </w:p>
          <w:p>
            <w:pPr>
              <w:pStyle w:val="ListBullet"/>
              <w:spacing w:after="60"/>
              <w:ind w:left="454"/>
              <w:jc w:val="both"/>
            </w:pPr>
            <w:r>
              <w:rPr>
                <w:rFonts w:ascii="Times New Roman" w:hAnsi="Times New Roman"/>
                <w:b/>
                <w:sz w:val="24"/>
              </w:rPr>
              <w:t>Magnitude model — extended HAR.</w:t>
            </w:r>
            <w:r>
              <w:rPr>
                <w:rFonts w:ascii="Times New Roman" w:hAnsi="Times New Roman"/>
                <w:sz w:val="24"/>
              </w:rPr>
              <w:t xml:space="preserve"> </w:t>
            </w:r>
            <w:r>
              <w:rPr>
                <w:rFonts w:ascii="Times New Roman" w:hAnsi="Times New Roman"/>
                <w:i/>
                <w:sz w:val="24"/>
              </w:rPr>
              <w:t>(implemented, frozen as production baseline)</w:t>
            </w:r>
            <w:r>
              <w:rPr>
                <w:rFonts w:ascii="Times New Roman" w:hAnsi="Times New Roman"/>
                <w:sz w:val="24"/>
              </w:rPr>
              <w:t xml:space="preserve"> A heterogeneous-autoregressive specification on realized variance [7], extended with measurement-error correction [8] and jump/semivariance decomposition [9], selected over fourteen ML/DL challengers and 509 forecast combinations under the Model Confidence Set [12].</w:t>
            </w:r>
          </w:p>
          <w:p>
            <w:pPr>
              <w:pStyle w:val="ListBullet"/>
              <w:spacing w:after="60"/>
              <w:ind w:left="454"/>
              <w:jc w:val="both"/>
            </w:pPr>
            <w:r>
              <w:rPr>
                <w:rFonts w:ascii="Times New Roman" w:hAnsi="Times New Roman"/>
                <w:b/>
                <w:sz w:val="24"/>
              </w:rPr>
              <w:t>Direction/probability model — online expert combination.</w:t>
            </w:r>
            <w:r>
              <w:rPr>
                <w:rFonts w:ascii="Times New Roman" w:hAnsi="Times New Roman"/>
                <w:sz w:val="24"/>
              </w:rPr>
              <w:t xml:space="preserve"> </w:t>
            </w:r>
            <w:r>
              <w:rPr>
                <w:rFonts w:ascii="Times New Roman" w:hAnsi="Times New Roman"/>
                <w:i/>
                <w:sz w:val="24"/>
              </w:rPr>
              <w:t>(implemented, frozen as production baseline)</w:t>
            </w:r>
            <w:r>
              <w:rPr>
                <w:rFonts w:ascii="Times New Roman" w:hAnsi="Times New Roman"/>
                <w:sz w:val="24"/>
              </w:rPr>
              <w:t xml:space="preserve"> A Hedge-style online combination [13] of four sub-models (climatology, persistence, σ̂-only, σ̂+regime), re-weighted after every session; challenged by regularised linear, tree, recurrent, attention, and foundation-model alternatives under an identical information set.</w:t>
            </w:r>
          </w:p>
          <w:p>
            <w:pPr>
              <w:pStyle w:val="ListBullet"/>
              <w:spacing w:after="60"/>
              <w:ind w:left="454"/>
              <w:jc w:val="both"/>
            </w:pPr>
            <w:r>
              <w:rPr>
                <w:rFonts w:ascii="Times New Roman" w:hAnsi="Times New Roman"/>
                <w:b/>
                <w:sz w:val="24"/>
              </w:rPr>
              <w:t>Causal discovery module.</w:t>
            </w:r>
            <w:r>
              <w:rPr>
                <w:rFonts w:ascii="Times New Roman" w:hAnsi="Times New Roman"/>
                <w:sz w:val="24"/>
              </w:rPr>
              <w:t xml:space="preserve"> </w:t>
            </w:r>
            <w:r>
              <w:rPr>
                <w:rFonts w:ascii="Times New Roman" w:hAnsi="Times New Roman"/>
                <w:i/>
                <w:sz w:val="24"/>
              </w:rPr>
              <w:t>(implemented — validation role; forecast-integration role tested and deferred)</w:t>
            </w:r>
            <w:r>
              <w:rPr>
                <w:rFonts w:ascii="Times New Roman" w:hAnsi="Times New Roman"/>
                <w:sz w:val="24"/>
              </w:rPr>
              <w:t xml:space="preserve"> Five independently implemented methods triangulate which exogenous variable is trusted; using the estimated causal effect to directly adjust the production forecast was tested and found not yet effective. Full status in Causal Discovery Method below and Deferred / Future Work.</w:t>
            </w:r>
          </w:p>
          <w:p>
            <w:pPr>
              <w:pStyle w:val="ListBullet"/>
              <w:spacing w:after="60"/>
              <w:ind w:left="454"/>
              <w:jc w:val="both"/>
            </w:pPr>
            <w:r>
              <w:rPr>
                <w:rFonts w:ascii="Times New Roman" w:hAnsi="Times New Roman"/>
                <w:b/>
                <w:sz w:val="24"/>
              </w:rPr>
              <w:t>Calibration module — Mondrian-stratified adaptive conformal inference.</w:t>
            </w:r>
            <w:r>
              <w:rPr>
                <w:rFonts w:ascii="Times New Roman" w:hAnsi="Times New Roman"/>
                <w:sz w:val="24"/>
              </w:rPr>
              <w:t xml:space="preserve"> </w:t>
            </w:r>
            <w:r>
              <w:rPr>
                <w:rFonts w:ascii="Times New Roman" w:hAnsi="Times New Roman"/>
                <w:i/>
                <w:sz w:val="24"/>
              </w:rPr>
              <w:t>(implemented for the production three-class output)</w:t>
            </w:r>
            <w:r>
              <w:rPr>
                <w:rFonts w:ascii="Times New Roman" w:hAnsi="Times New Roman"/>
                <w:sz w:val="24"/>
              </w:rPr>
              <w:t xml:space="preserve"> ACI [19] stratified by volatility regime [20], measured at a 1.2-percentage-point maximum calibration deviation against 2.4–3.2 points for four alternative methods. </w:t>
            </w:r>
            <w:r>
              <w:rPr>
                <w:rFonts w:ascii="Times New Roman" w:hAnsi="Times New Roman"/>
                <w:i/>
                <w:sz w:val="24"/>
              </w:rPr>
              <w:t>(proposed extension)</w:t>
            </w:r>
            <w:r>
              <w:rPr>
                <w:rFonts w:ascii="Times New Roman" w:hAnsi="Times New Roman"/>
                <w:sz w:val="24"/>
              </w:rPr>
              <w:t xml:space="preserve"> A PID-controller-based online conformal update [30] is evaluated on the development-test segment as a candidate refinement for the below-target coverage observed while an account is drawing down (Research Methodology, Calibration, Risk, and Decision Layer).</w:t>
            </w:r>
          </w:p>
          <w:p>
            <w:pPr>
              <w:pStyle w:val="ListBullet"/>
              <w:spacing w:after="60"/>
              <w:ind w:left="454"/>
              <w:jc w:val="both"/>
            </w:pPr>
            <w:r>
              <w:rPr>
                <w:rFonts w:ascii="Times New Roman" w:hAnsi="Times New Roman"/>
                <w:b/>
                <w:sz w:val="24"/>
              </w:rPr>
              <w:t>Risk/decision module.</w:t>
            </w:r>
            <w:r>
              <w:rPr>
                <w:rFonts w:ascii="Times New Roman" w:hAnsi="Times New Roman"/>
                <w:sz w:val="24"/>
              </w:rPr>
              <w:t xml:space="preserve"> </w:t>
            </w:r>
            <w:r>
              <w:rPr>
                <w:rFonts w:ascii="Times New Roman" w:hAnsi="Times New Roman"/>
                <w:i/>
                <w:sz w:val="24"/>
              </w:rPr>
              <w:t>(implemented)</w:t>
            </w:r>
            <w:r>
              <w:rPr>
                <w:rFonts w:ascii="Times New Roman" w:hAnsi="Times New Roman"/>
                <w:sz w:val="24"/>
              </w:rPr>
              <w:t xml:space="preserve"> Empirical-quantile VaR/ES with Kupiec [21], Christoffersen [22], and dynamic-quantile [23] backtests and a strictly consistent joint scoring function [24]; position size as a Kelly-derived growth-optimal fraction [25] capped by an estimated probability of ruin. </w:t>
            </w:r>
            <w:r>
              <w:rPr>
                <w:rFonts w:ascii="Times New Roman" w:hAnsi="Times New Roman"/>
                <w:i/>
                <w:sz w:val="24"/>
              </w:rPr>
              <w:t>(proposed remaining work)</w:t>
            </w:r>
            <w:r>
              <w:rPr>
                <w:rFonts w:ascii="Times New Roman" w:hAnsi="Times New Roman"/>
                <w:sz w:val="24"/>
              </w:rPr>
              <w:t xml:space="preserve"> Portfolio-correlation adjustment and the slippage coefficient measured from observed stop-loss executions.</w:t>
            </w:r>
          </w:p>
          <w:p>
            <w:pPr>
              <w:spacing w:before="140" w:after="60"/>
            </w:pPr>
            <w:r>
              <w:rPr>
                <w:rFonts w:ascii="Times New Roman" w:hAnsi="Times New Roman"/>
                <w:b/>
                <w:i/>
                <w:sz w:val="24"/>
              </w:rPr>
              <w:t>Causal Discovery Method — Triangulated Validation, Deferred Forecast Integration</w:t>
            </w:r>
          </w:p>
          <w:p>
            <w:pPr>
              <w:spacing w:after="100"/>
              <w:ind w:firstLine="340"/>
              <w:jc w:val="both"/>
            </w:pPr>
            <w:r>
              <w:rPr>
                <w:rFonts w:ascii="Times New Roman" w:hAnsi="Times New Roman"/>
                <w:i/>
                <w:sz w:val="24"/>
              </w:rPr>
              <w:t>(Status note: this subsection reports work that has already been carried out, not a plan — an earlier draft of this document proposed it as future work; five methods have since been run and the findings below are what they showed.)</w:t>
            </w:r>
          </w:p>
          <w:p>
            <w:pPr>
              <w:spacing w:after="100"/>
              <w:ind w:firstLine="340"/>
              <w:jc w:val="both"/>
            </w:pPr>
            <w:r>
              <w:rPr>
                <w:rFonts w:ascii="Times New Roman" w:hAnsi="Times New Roman"/>
                <w:sz w:val="24"/>
              </w:rPr>
              <w:t xml:space="preserve">The exogenous-variable layer requires a method that (a) searches many candidate lagged predictors simultaneously rather than one pair at a time, (b) distinguishes a direct temporal link from a link that only appears because two series share a common driver or an indirect path through a third variable, and (c) plugs into the same false-discovery-control machinery already used for the price-pattern families. The </w:t>
            </w:r>
            <w:r>
              <w:rPr>
                <w:rFonts w:ascii="Times New Roman" w:hAnsi="Times New Roman"/>
                <w:b/>
                <w:sz w:val="24"/>
              </w:rPr>
              <w:t>official decision gate</w:t>
            </w:r>
            <w:r>
              <w:rPr>
                <w:rFonts w:ascii="Times New Roman" w:hAnsi="Times New Roman"/>
                <w:sz w:val="24"/>
              </w:rPr>
              <w:t xml:space="preserve"> for the frozen exogenous feature-selection ablation (Introduction; Expected Results) is Granger-type nested-regression F-testing under step-down Westfall–Young control [4] — the same family-wise-error machinery as every other discovery family in this thesis.</w:t>
            </w:r>
          </w:p>
          <w:p>
            <w:pPr>
              <w:spacing w:after="100"/>
              <w:ind w:firstLine="340"/>
              <w:jc w:val="both"/>
            </w:pPr>
            <w:r>
              <w:rPr>
                <w:rFonts w:ascii="Times New Roman" w:hAnsi="Times New Roman"/>
                <w:b/>
                <w:sz w:val="24"/>
              </w:rPr>
              <w:t>Answering "which algorithm, and how do you know it is real causality rather than random correlation" — five independently implemented methods, not one.</w:t>
            </w:r>
            <w:r>
              <w:rPr>
                <w:rFonts w:ascii="Times New Roman" w:hAnsi="Times New Roman"/>
                <w:sz w:val="24"/>
              </w:rPr>
              <w:t xml:space="preserve"> Beyond the official Granger gate, four additional methods from their original authors' own libraries (not self-written) were run on the same frozen data to triangulate the result:</w:t>
            </w:r>
          </w:p>
          <w:p>
            <w:pPr>
              <w:spacing w:after="100"/>
              <w:ind w:firstLine="340"/>
              <w:jc w:val="both"/>
            </w:pPr>
            <w:r>
              <w:rPr>
                <w:rFonts w:ascii="Times New Roman" w:hAnsi="Times New Roman"/>
                <w:sz w:val="24"/>
              </w:rPr>
              <w:t xml:space="preserve">1. </w:t>
            </w:r>
            <w:r>
              <w:rPr>
                <w:rFonts w:ascii="Times New Roman" w:hAnsi="Times New Roman"/>
                <w:b/>
                <w:sz w:val="24"/>
              </w:rPr>
              <w:t>PCMCI</w:t>
            </w:r>
            <w:r>
              <w:rPr>
                <w:rFonts w:ascii="Times New Roman" w:hAnsi="Times New Roman"/>
                <w:sz w:val="24"/>
              </w:rPr>
              <w:t xml:space="preserve"> [18], run with the </w:t>
            </w:r>
            <w:r>
              <w:rPr>
                <w:rFonts w:ascii="Consolas" w:hAnsi="Consolas"/>
                <w:sz w:val="24"/>
              </w:rPr>
              <w:t>tigramite</w:t>
            </w:r>
            <w:r>
              <w:rPr>
                <w:rFonts w:ascii="Times New Roman" w:hAnsi="Times New Roman"/>
                <w:sz w:val="24"/>
              </w:rPr>
              <w:t xml:space="preserve"> package (Jakob Runge's own implementation), conditioning each candidate simultaneously on the others rather than one at a time. This is the concrete mechanism that separates a genuine driver from a confound: tested alone, gold-price implied volatility (GVZCLS) is a significant predictor of FX volatility; conditioned jointly on the VIX, that significance disappears — both are proxies for the same global risk-aversion factor, and only PCMCI's simultaneous conditioning exposes this, which pairwise Granger testing structurally cannot. VIX itself survives simultaneous conditioning across every pair tested.</w:t>
            </w:r>
          </w:p>
          <w:p>
            <w:pPr>
              <w:spacing w:after="100"/>
              <w:ind w:firstLine="340"/>
              <w:jc w:val="both"/>
            </w:pPr>
            <w:r>
              <w:rPr>
                <w:rFonts w:ascii="Times New Roman" w:hAnsi="Times New Roman"/>
                <w:sz w:val="24"/>
              </w:rPr>
              <w:t xml:space="preserve">2. </w:t>
            </w:r>
            <w:r>
              <w:rPr>
                <w:rFonts w:ascii="Times New Roman" w:hAnsi="Times New Roman"/>
                <w:b/>
                <w:sz w:val="24"/>
              </w:rPr>
              <w:t>Double Machine Learning</w:t>
            </w:r>
            <w:r>
              <w:rPr>
                <w:rFonts w:ascii="Times New Roman" w:hAnsi="Times New Roman"/>
                <w:sz w:val="24"/>
              </w:rPr>
              <w:t xml:space="preserve"> [33] (</w:t>
            </w:r>
            <w:r>
              <w:rPr>
                <w:rFonts w:ascii="Consolas" w:hAnsi="Consolas"/>
                <w:sz w:val="24"/>
              </w:rPr>
              <w:t>doubleml</w:t>
            </w:r>
            <w:r>
              <w:rPr>
                <w:rFonts w:ascii="Times New Roman" w:hAnsi="Times New Roman"/>
                <w:sz w:val="24"/>
              </w:rPr>
              <w:t xml:space="preserve">, gradient-boosted nuisance functions, five-fold cross-fitting), used to estimate the </w:t>
            </w:r>
            <w:r>
              <w:rPr>
                <w:rFonts w:ascii="Times New Roman" w:hAnsi="Times New Roman"/>
                <w:i/>
                <w:sz w:val="24"/>
              </w:rPr>
              <w:t>size</w:t>
            </w:r>
            <w:r>
              <w:rPr>
                <w:rFonts w:ascii="Times New Roman" w:hAnsi="Times New Roman"/>
                <w:sz w:val="24"/>
              </w:rPr>
              <w:t xml:space="preserve"> of VIX's effect on next-session log realized variance rather than merely its existence. The effect is positive and Holm-significant in </w:t>
            </w:r>
            <w:r>
              <w:rPr>
                <w:rFonts w:ascii="Times New Roman" w:hAnsi="Times New Roman"/>
                <w:b/>
                <w:sz w:val="24"/>
              </w:rPr>
              <w:t>6 of 6</w:t>
            </w:r>
            <w:r>
              <w:rPr>
                <w:rFonts w:ascii="Times New Roman" w:hAnsi="Times New Roman"/>
                <w:sz w:val="24"/>
              </w:rPr>
              <w:t xml:space="preserve"> development pairs (θ from 0.070 to 0.186, every 95% confidence interval excluding zero) — the strongest and most consistent result in the triangulation, clearing the ≥5/6-pair stability bar applied everywhere else in this thesis.</w:t>
            </w:r>
          </w:p>
          <w:p>
            <w:pPr>
              <w:spacing w:after="100"/>
              <w:ind w:firstLine="340"/>
              <w:jc w:val="both"/>
            </w:pPr>
            <w:r>
              <w:rPr>
                <w:rFonts w:ascii="Times New Roman" w:hAnsi="Times New Roman"/>
                <w:sz w:val="24"/>
              </w:rPr>
              <w:t xml:space="preserve">3. </w:t>
            </w:r>
            <w:r>
              <w:rPr>
                <w:rFonts w:ascii="Times New Roman" w:hAnsi="Times New Roman"/>
                <w:b/>
                <w:sz w:val="24"/>
              </w:rPr>
              <w:t>Causal Forest</w:t>
            </w:r>
            <w:r>
              <w:rPr>
                <w:rFonts w:ascii="Times New Roman" w:hAnsi="Times New Roman"/>
                <w:sz w:val="24"/>
              </w:rPr>
              <w:t xml:space="preserve"> [34] (</w:t>
            </w:r>
            <w:r>
              <w:rPr>
                <w:rFonts w:ascii="Consolas" w:hAnsi="Consolas"/>
                <w:sz w:val="24"/>
              </w:rPr>
              <w:t>econml</w:t>
            </w:r>
            <w:r>
              <w:rPr>
                <w:rFonts w:ascii="Times New Roman" w:hAnsi="Times New Roman"/>
                <w:sz w:val="24"/>
              </w:rPr>
              <w:t>), used to test whether VIX's effect is regime-dependent. The effect is heterogeneous (confidence intervals differ materially by volatility regime), but the pattern is not consistent across pairs — 4 of 6 pairs show the effect increasing with stress, 2 do not — so no single "turn on the overlay under stress" rule generalises across all six pairs.</w:t>
            </w:r>
          </w:p>
          <w:p>
            <w:pPr>
              <w:spacing w:after="100"/>
              <w:ind w:firstLine="340"/>
              <w:jc w:val="both"/>
            </w:pPr>
            <w:r>
              <w:rPr>
                <w:rFonts w:ascii="Times New Roman" w:hAnsi="Times New Roman"/>
                <w:sz w:val="24"/>
              </w:rPr>
              <w:t xml:space="preserve">4. </w:t>
            </w:r>
            <w:r>
              <w:rPr>
                <w:rFonts w:ascii="Times New Roman" w:hAnsi="Times New Roman"/>
                <w:b/>
                <w:sz w:val="24"/>
              </w:rPr>
              <w:t>CausalImpact</w:t>
            </w:r>
            <w:r>
              <w:rPr>
                <w:rFonts w:ascii="Times New Roman" w:hAnsi="Times New Roman"/>
                <w:sz w:val="24"/>
              </w:rPr>
              <w:t xml:space="preserve"> [28] (</w:t>
            </w:r>
            <w:r>
              <w:rPr>
                <w:rFonts w:ascii="Consolas" w:hAnsi="Consolas"/>
                <w:sz w:val="24"/>
              </w:rPr>
              <w:t>pycausalimpact</w:t>
            </w:r>
            <w:r>
              <w:rPr>
                <w:rFonts w:ascii="Times New Roman" w:hAnsi="Times New Roman"/>
                <w:sz w:val="24"/>
              </w:rPr>
              <w:t xml:space="preserve">, the original Bayesian structural time-series implementation), applied at the level of individual ECB meetings rather than pooled across the series — a different question ("did </w:t>
            </w:r>
            <w:r>
              <w:rPr>
                <w:rFonts w:ascii="Times New Roman" w:hAnsi="Times New Roman"/>
                <w:i/>
                <w:sz w:val="24"/>
              </w:rPr>
              <w:t>this</w:t>
            </w:r>
            <w:r>
              <w:rPr>
                <w:rFonts w:ascii="Times New Roman" w:hAnsi="Times New Roman"/>
                <w:sz w:val="24"/>
              </w:rPr>
              <w:t xml:space="preserve"> meeting push volatility past its counterfactual") from the other three methods' pooled feature-level question. Piloted on the twenty most recent ECB meetings inside the training/validation segment: 6 of 20 (30%) show a significant post-meeting volatility increase after FDR correction, against a ~5% false-positive rate expected under pure noise, and all six are positive — evidence, not noise, though the covariate series used does not fully remove shared global-risk-aversion confounding, a limitation the method's own diagnostics flag.</w:t>
            </w:r>
          </w:p>
          <w:p>
            <w:pPr>
              <w:spacing w:after="100"/>
              <w:ind w:firstLine="340"/>
              <w:jc w:val="both"/>
            </w:pPr>
            <w:r>
              <w:rPr>
                <w:rFonts w:ascii="Times New Roman" w:hAnsi="Times New Roman"/>
                <w:sz w:val="24"/>
              </w:rPr>
              <w:t>Four independent methods, built by different authors on different statistical assumptions (linear/nonlinear, pairwise/simultaneous, existence/magnitude/heterogeneity/single-event), converging on the same variable is stronger evidence than any one method's p-value — this triangulation, not a single algorithm, is how this thesis answers the causality-versus-correlation question. Consistent with the Research Scope, none of the five methods is presented as establishing structural causality; every statement remains a temporal-precedence (Granger-type) or potential-outcomes claim conditioned on the assumptions each method states.</w:t>
            </w:r>
          </w:p>
          <w:p>
            <w:pPr>
              <w:spacing w:after="100"/>
              <w:ind w:firstLine="340"/>
              <w:jc w:val="both"/>
            </w:pPr>
            <w:r>
              <w:rPr>
                <w:rFonts w:ascii="Times New Roman" w:hAnsi="Times New Roman"/>
                <w:b/>
                <w:sz w:val="24"/>
              </w:rPr>
              <w:t>The result splits into two roles, and only one is ready to ship.</w:t>
            </w:r>
          </w:p>
          <w:p>
            <w:pPr>
              <w:pStyle w:val="ListBullet"/>
              <w:spacing w:after="60"/>
              <w:ind w:left="454"/>
              <w:jc w:val="both"/>
            </w:pPr>
            <w:r>
              <w:rPr>
                <w:rFonts w:ascii="Times New Roman" w:hAnsi="Times New Roman"/>
                <w:b/>
                <w:sz w:val="24"/>
              </w:rPr>
              <w:t>Validation role — implemented, already load-bearing.</w:t>
            </w:r>
            <w:r>
              <w:rPr>
                <w:rFonts w:ascii="Times New Roman" w:hAnsi="Times New Roman"/>
                <w:sz w:val="24"/>
              </w:rPr>
              <w:t xml:space="preserve"> The triangulation above is the actual mechanism that decided which exogenous variable survives into the frozen feature set: VIX is kept and ten other candidates are not, specifically because VIX — and only VIX — survives simultaneous conditioning in PCMCI and clears the 6/6-pair bar in Double ML. This is not a supplementary illustration; it is the filter, and it is done.</w:t>
            </w:r>
          </w:p>
          <w:p>
            <w:pPr>
              <w:pStyle w:val="ListBullet"/>
              <w:spacing w:after="60"/>
              <w:ind w:left="454"/>
              <w:jc w:val="both"/>
            </w:pPr>
            <w:r>
              <w:rPr>
                <w:rFonts w:ascii="Times New Roman" w:hAnsi="Times New Roman"/>
                <w:b/>
                <w:sz w:val="24"/>
              </w:rPr>
              <w:t>Forecast-performance role — tested, found not yet effective, deferred rather than shipped.</w:t>
            </w:r>
            <w:r>
              <w:rPr>
                <w:rFonts w:ascii="Times New Roman" w:hAnsi="Times New Roman"/>
                <w:sz w:val="24"/>
              </w:rPr>
              <w:t xml:space="preserve"> Using the estimated causal effect to directly adjust the production volatility forecast — a VIX-conditioned multiplicative overlay on the HAR baseline, tested both as a constant adjustment and as a Causal-Forest regime-conditional adjustment — produced </w:t>
            </w:r>
            <w:r>
              <w:rPr>
                <w:rFonts w:ascii="Times New Roman" w:hAnsi="Times New Roman"/>
                <w:b/>
                <w:sz w:val="24"/>
              </w:rPr>
              <w:t>no statistically significant QLIKE improvement in any of the six pairs after Holm correction</w:t>
            </w:r>
            <w:r>
              <w:rPr>
                <w:rFonts w:ascii="Times New Roman" w:hAnsi="Times New Roman"/>
                <w:sz w:val="24"/>
              </w:rPr>
              <w:t xml:space="preserve">, despite the underlying effect being real and robust. The most defensible reading is that the HAR baseline already absorbs most of this information indirectly (realized volatility over the past day/week/month is already elevated when the VIX is elevated), leaving little additional forecast value for VIX to add on top. Consistent with this thesis's commitment to reporting negative findings rather than forcing a claimed improvement that is not there, </w:t>
            </w:r>
            <w:r>
              <w:rPr>
                <w:rFonts w:ascii="Times New Roman" w:hAnsi="Times New Roman"/>
                <w:b/>
                <w:sz w:val="24"/>
              </w:rPr>
              <w:t>this application is not deployed and is moved to Deferred / Future Work below rather than scheduled for the remaining timeline.</w:t>
            </w:r>
          </w:p>
          <w:p>
            <w:pPr>
              <w:spacing w:before="140" w:after="60"/>
            </w:pPr>
            <w:r>
              <w:rPr>
                <w:rFonts w:ascii="Times New Roman" w:hAnsi="Times New Roman"/>
                <w:b/>
                <w:i/>
                <w:sz w:val="24"/>
              </w:rPr>
              <w:t>Proposed System Architecture</w:t>
            </w:r>
          </w:p>
          <w:p>
            <w:pPr>
              <w:spacing w:after="100"/>
              <w:ind w:firstLine="340"/>
              <w:jc w:val="both"/>
            </w:pPr>
            <w:r>
              <w:rPr>
                <w:rFonts w:ascii="Times New Roman" w:hAnsi="Times New Roman"/>
                <w:i/>
                <w:sz w:val="24"/>
              </w:rPr>
              <w:t>(Data pipeline and API: implemented and operating on a daily schedule; extensions listed in the Research Plan are proposed.)</w:t>
            </w:r>
          </w:p>
          <w:p>
            <w:pPr>
              <w:spacing w:after="100"/>
              <w:ind w:firstLine="340"/>
              <w:jc w:val="both"/>
            </w:pPr>
            <w:r>
              <w:rPr>
                <w:rFonts w:ascii="Times New Roman" w:hAnsi="Times New Roman"/>
                <w:sz w:val="24"/>
              </w:rPr>
              <w:t>The system is organised as five layers sharing one computation layer across two deployment targets, so the numbers a user sees on the live site and the numbers computed for the thesis are produced by the same code path:</w:t>
            </w:r>
          </w:p>
          <w:p>
            <w:pPr>
              <w:spacing w:after="100"/>
              <w:ind w:firstLine="340"/>
              <w:jc w:val="both"/>
            </w:pPr>
            <w:r>
              <w:rPr>
                <w:rFonts w:ascii="Times New Roman" w:hAnsi="Times New Roman"/>
                <w:sz w:val="24"/>
              </w:rPr>
              <w:t xml:space="preserve">1. </w:t>
            </w:r>
            <w:r>
              <w:rPr>
                <w:rFonts w:ascii="Times New Roman" w:hAnsi="Times New Roman"/>
                <w:b/>
                <w:sz w:val="24"/>
              </w:rPr>
              <w:t>Data sources → data pipeline (`collect/`).</w:t>
            </w:r>
            <w:r>
              <w:rPr>
                <w:rFonts w:ascii="Times New Roman" w:hAnsi="Times New Roman"/>
                <w:sz w:val="24"/>
              </w:rPr>
              <w:t xml:space="preserve"> A one-time historical bootstrap (</w:t>
            </w:r>
            <w:r>
              <w:rPr>
                <w:rFonts w:ascii="Consolas" w:hAnsi="Consolas"/>
                <w:sz w:val="24"/>
              </w:rPr>
              <w:t>histdata_dl</w:t>
            </w:r>
            <w:r>
              <w:rPr>
                <w:rFonts w:ascii="Times New Roman" w:hAnsi="Times New Roman"/>
                <w:sz w:val="24"/>
              </w:rPr>
              <w:t xml:space="preserve">, </w:t>
            </w:r>
            <w:r>
              <w:rPr>
                <w:rFonts w:ascii="Consolas" w:hAnsi="Consolas"/>
                <w:sz w:val="24"/>
              </w:rPr>
              <w:t>prep_fx</w:t>
            </w:r>
            <w:r>
              <w:rPr>
                <w:rFonts w:ascii="Times New Roman" w:hAnsi="Times New Roman"/>
                <w:sz w:val="24"/>
              </w:rPr>
              <w:t xml:space="preserve">, </w:t>
            </w:r>
            <w:r>
              <w:rPr>
                <w:rFonts w:ascii="Consolas" w:hAnsi="Consolas"/>
                <w:sz w:val="24"/>
              </w:rPr>
              <w:t>rv5</w:t>
            </w:r>
            <w:r>
              <w:rPr>
                <w:rFonts w:ascii="Times New Roman" w:hAnsi="Times New Roman"/>
                <w:sz w:val="24"/>
              </w:rPr>
              <w:t xml:space="preserve">, </w:t>
            </w:r>
            <w:r>
              <w:rPr>
                <w:rFonts w:ascii="Consolas" w:hAnsi="Consolas"/>
                <w:sz w:val="24"/>
              </w:rPr>
              <w:t>rv_advanced</w:t>
            </w:r>
            <w:r>
              <w:rPr>
                <w:rFonts w:ascii="Times New Roman" w:hAnsi="Times New Roman"/>
                <w:sz w:val="24"/>
              </w:rPr>
              <w:t>) plus a scheduled daily job (</w:t>
            </w:r>
            <w:r>
              <w:rPr>
                <w:rFonts w:ascii="Consolas" w:hAnsi="Consolas"/>
                <w:sz w:val="24"/>
              </w:rPr>
              <w:t>live_fx.py</w:t>
            </w:r>
            <w:r>
              <w:rPr>
                <w:rFonts w:ascii="Times New Roman" w:hAnsi="Times New Roman"/>
                <w:sz w:val="24"/>
              </w:rPr>
              <w:t xml:space="preserve">, </w:t>
            </w:r>
            <w:r>
              <w:rPr>
                <w:rFonts w:ascii="Consolas" w:hAnsi="Consolas"/>
                <w:sz w:val="24"/>
              </w:rPr>
              <w:t>lich_su_kien.py</w:t>
            </w:r>
            <w:r>
              <w:rPr>
                <w:rFonts w:ascii="Times New Roman" w:hAnsi="Times New Roman"/>
                <w:sz w:val="24"/>
              </w:rPr>
              <w:t>, run four times a day under continuous-integration scheduling) construct daily bars and five-minute realized measures for the six development pairs, plus the macro/central-bank calendar.</w:t>
            </w:r>
          </w:p>
          <w:p>
            <w:pPr>
              <w:spacing w:after="100"/>
              <w:ind w:firstLine="340"/>
              <w:jc w:val="both"/>
            </w:pPr>
            <w:r>
              <w:rPr>
                <w:rFonts w:ascii="Times New Roman" w:hAnsi="Times New Roman"/>
                <w:sz w:val="24"/>
              </w:rPr>
              <w:t xml:space="preserve">2. </w:t>
            </w:r>
            <w:r>
              <w:rPr>
                <w:rFonts w:ascii="Times New Roman" w:hAnsi="Times New Roman"/>
                <w:b/>
                <w:sz w:val="24"/>
              </w:rPr>
              <w:t>Data store (`data/`).</w:t>
            </w:r>
            <w:r>
              <w:rPr>
                <w:rFonts w:ascii="Times New Roman" w:hAnsi="Times New Roman"/>
                <w:sz w:val="24"/>
              </w:rPr>
              <w:t xml:space="preserve"> Static historical CSVs for the frozen development sample are kept separate from a daily-overwritten "live" store, so the sealed-evaluation and development segments cannot be silently mixed by a pipeline bug.</w:t>
            </w:r>
          </w:p>
          <w:p>
            <w:pPr>
              <w:spacing w:after="100"/>
              <w:ind w:firstLine="340"/>
              <w:jc w:val="both"/>
            </w:pPr>
            <w:r>
              <w:rPr>
                <w:rFonts w:ascii="Times New Roman" w:hAnsi="Times New Roman"/>
                <w:sz w:val="24"/>
              </w:rPr>
              <w:t xml:space="preserve">3. </w:t>
            </w:r>
            <w:r>
              <w:rPr>
                <w:rFonts w:ascii="Times New Roman" w:hAnsi="Times New Roman"/>
                <w:b/>
                <w:sz w:val="24"/>
              </w:rPr>
              <w:t>Computation layer (`src/` and `api/cache.py`).</w:t>
            </w:r>
            <w:r>
              <w:rPr>
                <w:rFonts w:ascii="Times New Roman" w:hAnsi="Times New Roman"/>
                <w:sz w:val="24"/>
              </w:rPr>
              <w:t xml:space="preserve"> Chains the series-join, the extended-HAR forecast, the three-class combination, conformal calibration, and the risk/position-sizing functions in one Python process, with no serialisation boundary between the statistical code and the layer that serves it — removing an entire class of train/serve skew.</w:t>
            </w:r>
          </w:p>
          <w:p>
            <w:pPr>
              <w:spacing w:after="100"/>
              <w:ind w:firstLine="340"/>
              <w:jc w:val="both"/>
            </w:pPr>
            <w:r>
              <w:rPr>
                <w:rFonts w:ascii="Times New Roman" w:hAnsi="Times New Roman"/>
                <w:sz w:val="24"/>
              </w:rPr>
              <w:t xml:space="preserve">4. </w:t>
            </w:r>
            <w:r>
              <w:rPr>
                <w:rFonts w:ascii="Times New Roman" w:hAnsi="Times New Roman"/>
                <w:b/>
                <w:sz w:val="24"/>
              </w:rPr>
              <w:t>API layer (`api/`, FastAPI).</w:t>
            </w:r>
            <w:r>
              <w:rPr>
                <w:rFonts w:ascii="Times New Roman" w:hAnsi="Times New Roman"/>
                <w:sz w:val="24"/>
              </w:rPr>
              <w:t xml:space="preserve"> One router per concern (</w:t>
            </w:r>
            <w:r>
              <w:rPr>
                <w:rFonts w:ascii="Consolas" w:hAnsi="Consolas"/>
                <w:sz w:val="24"/>
              </w:rPr>
              <w:t>meta</w:t>
            </w:r>
            <w:r>
              <w:rPr>
                <w:rFonts w:ascii="Times New Roman" w:hAnsi="Times New Roman"/>
                <w:sz w:val="24"/>
              </w:rPr>
              <w:t xml:space="preserve">, </w:t>
            </w:r>
            <w:r>
              <w:rPr>
                <w:rFonts w:ascii="Consolas" w:hAnsi="Consolas"/>
                <w:sz w:val="24"/>
              </w:rPr>
              <w:t>market</w:t>
            </w:r>
            <w:r>
              <w:rPr>
                <w:rFonts w:ascii="Times New Roman" w:hAnsi="Times New Roman"/>
                <w:sz w:val="24"/>
              </w:rPr>
              <w:t xml:space="preserve">, </w:t>
            </w:r>
            <w:r>
              <w:rPr>
                <w:rFonts w:ascii="Consolas" w:hAnsi="Consolas"/>
                <w:sz w:val="24"/>
              </w:rPr>
              <w:t>forecast</w:t>
            </w:r>
            <w:r>
              <w:rPr>
                <w:rFonts w:ascii="Times New Roman" w:hAnsi="Times New Roman"/>
                <w:sz w:val="24"/>
              </w:rPr>
              <w:t xml:space="preserve">, </w:t>
            </w:r>
            <w:r>
              <w:rPr>
                <w:rFonts w:ascii="Consolas" w:hAnsi="Consolas"/>
                <w:sz w:val="24"/>
              </w:rPr>
              <w:t>risk</w:t>
            </w:r>
            <w:r>
              <w:rPr>
                <w:rFonts w:ascii="Times New Roman" w:hAnsi="Times New Roman"/>
                <w:sz w:val="24"/>
              </w:rPr>
              <w:t xml:space="preserve">, </w:t>
            </w:r>
            <w:r>
              <w:rPr>
                <w:rFonts w:ascii="Consolas" w:hAnsi="Consolas"/>
                <w:sz w:val="24"/>
              </w:rPr>
              <w:t>admin</w:t>
            </w:r>
            <w:r>
              <w:rPr>
                <w:rFonts w:ascii="Times New Roman" w:hAnsi="Times New Roman"/>
                <w:sz w:val="24"/>
              </w:rPr>
              <w:t>) with Pydantic response models, already exposing the endpoints extended throughout the Research Plan below (</w:t>
            </w:r>
            <w:r>
              <w:rPr>
                <w:rFonts w:ascii="Consolas" w:hAnsi="Consolas"/>
                <w:sz w:val="24"/>
              </w:rPr>
              <w:t>/health</w:t>
            </w:r>
            <w:r>
              <w:rPr>
                <w:rFonts w:ascii="Times New Roman" w:hAnsi="Times New Roman"/>
                <w:sz w:val="24"/>
              </w:rPr>
              <w:t xml:space="preserve">, </w:t>
            </w:r>
            <w:r>
              <w:rPr>
                <w:rFonts w:ascii="Consolas" w:hAnsi="Consolas"/>
                <w:sz w:val="24"/>
              </w:rPr>
              <w:t>/meta</w:t>
            </w:r>
            <w:r>
              <w:rPr>
                <w:rFonts w:ascii="Times New Roman" w:hAnsi="Times New Roman"/>
                <w:sz w:val="24"/>
              </w:rPr>
              <w:t xml:space="preserve">, </w:t>
            </w:r>
            <w:r>
              <w:rPr>
                <w:rFonts w:ascii="Consolas" w:hAnsi="Consolas"/>
                <w:sz w:val="24"/>
              </w:rPr>
              <w:t>/series</w:t>
            </w:r>
            <w:r>
              <w:rPr>
                <w:rFonts w:ascii="Times New Roman" w:hAnsi="Times New Roman"/>
                <w:sz w:val="24"/>
              </w:rPr>
              <w:t xml:space="preserve">, </w:t>
            </w:r>
            <w:r>
              <w:rPr>
                <w:rFonts w:ascii="Consolas" w:hAnsi="Consolas"/>
                <w:sz w:val="24"/>
              </w:rPr>
              <w:t>/indicators</w:t>
            </w:r>
            <w:r>
              <w:rPr>
                <w:rFonts w:ascii="Times New Roman" w:hAnsi="Times New Roman"/>
                <w:sz w:val="24"/>
              </w:rPr>
              <w:t xml:space="preserve">, </w:t>
            </w:r>
            <w:r>
              <w:rPr>
                <w:rFonts w:ascii="Consolas" w:hAnsi="Consolas"/>
                <w:sz w:val="24"/>
              </w:rPr>
              <w:t>/forecast</w:t>
            </w:r>
            <w:r>
              <w:rPr>
                <w:rFonts w:ascii="Times New Roman" w:hAnsi="Times New Roman"/>
                <w:sz w:val="24"/>
              </w:rPr>
              <w:t xml:space="preserve">, </w:t>
            </w:r>
            <w:r>
              <w:rPr>
                <w:rFonts w:ascii="Consolas" w:hAnsi="Consolas"/>
                <w:sz w:val="24"/>
              </w:rPr>
              <w:t>/forecast_series</w:t>
            </w:r>
            <w:r>
              <w:rPr>
                <w:rFonts w:ascii="Times New Roman" w:hAnsi="Times New Roman"/>
                <w:sz w:val="24"/>
              </w:rPr>
              <w:t xml:space="preserve">, </w:t>
            </w:r>
            <w:r>
              <w:rPr>
                <w:rFonts w:ascii="Consolas" w:hAnsi="Consolas"/>
                <w:sz w:val="24"/>
              </w:rPr>
              <w:t>/forecast_next</w:t>
            </w:r>
            <w:r>
              <w:rPr>
                <w:rFonts w:ascii="Times New Roman" w:hAnsi="Times New Roman"/>
                <w:sz w:val="24"/>
              </w:rPr>
              <w:t xml:space="preserve">, </w:t>
            </w:r>
            <w:r>
              <w:rPr>
                <w:rFonts w:ascii="Consolas" w:hAnsi="Consolas"/>
                <w:sz w:val="24"/>
              </w:rPr>
              <w:t>/journal</w:t>
            </w:r>
            <w:r>
              <w:rPr>
                <w:rFonts w:ascii="Times New Roman" w:hAnsi="Times New Roman"/>
                <w:sz w:val="24"/>
              </w:rPr>
              <w:t xml:space="preserve">, </w:t>
            </w:r>
            <w:r>
              <w:rPr>
                <w:rFonts w:ascii="Consolas" w:hAnsi="Consolas"/>
                <w:sz w:val="24"/>
              </w:rPr>
              <w:t>/calibration</w:t>
            </w:r>
            <w:r>
              <w:rPr>
                <w:rFonts w:ascii="Times New Roman" w:hAnsi="Times New Roman"/>
                <w:sz w:val="24"/>
              </w:rPr>
              <w:t xml:space="preserve">, </w:t>
            </w:r>
            <w:r>
              <w:rPr>
                <w:rFonts w:ascii="Consolas" w:hAnsi="Consolas"/>
                <w:sz w:val="24"/>
              </w:rPr>
              <w:t>/models</w:t>
            </w:r>
            <w:r>
              <w:rPr>
                <w:rFonts w:ascii="Times New Roman" w:hAnsi="Times New Roman"/>
                <w:sz w:val="24"/>
              </w:rPr>
              <w:t xml:space="preserve">, </w:t>
            </w:r>
            <w:r>
              <w:rPr>
                <w:rFonts w:ascii="Consolas" w:hAnsi="Consolas"/>
                <w:sz w:val="24"/>
              </w:rPr>
              <w:t>/risk</w:t>
            </w:r>
            <w:r>
              <w:rPr>
                <w:rFonts w:ascii="Times New Roman" w:hAnsi="Times New Roman"/>
                <w:sz w:val="24"/>
              </w:rPr>
              <w:t xml:space="preserve">, </w:t>
            </w:r>
            <w:r>
              <w:rPr>
                <w:rFonts w:ascii="Consolas" w:hAnsi="Consolas"/>
                <w:sz w:val="24"/>
              </w:rPr>
              <w:t>/events</w:t>
            </w:r>
            <w:r>
              <w:rPr>
                <w:rFonts w:ascii="Times New Roman" w:hAnsi="Times New Roman"/>
                <w:sz w:val="24"/>
              </w:rPr>
              <w:t xml:space="preserve">, </w:t>
            </w:r>
            <w:r>
              <w:rPr>
                <w:rFonts w:ascii="Consolas" w:hAnsi="Consolas"/>
                <w:sz w:val="24"/>
              </w:rPr>
              <w:t>/refresh</w:t>
            </w:r>
            <w:r>
              <w:rPr>
                <w:rFonts w:ascii="Times New Roman" w:hAnsi="Times New Roman"/>
                <w:sz w:val="24"/>
              </w:rPr>
              <w:t>).</w:t>
            </w:r>
          </w:p>
          <w:p>
            <w:pPr>
              <w:spacing w:after="100"/>
              <w:ind w:firstLine="340"/>
              <w:jc w:val="both"/>
            </w:pPr>
            <w:r>
              <w:rPr>
                <w:rFonts w:ascii="Times New Roman" w:hAnsi="Times New Roman"/>
                <w:sz w:val="24"/>
              </w:rPr>
              <w:t xml:space="preserve">5. </w:t>
            </w:r>
            <w:r>
              <w:rPr>
                <w:rFonts w:ascii="Times New Roman" w:hAnsi="Times New Roman"/>
                <w:b/>
                <w:sz w:val="24"/>
              </w:rPr>
              <w:t>Web application.</w:t>
            </w:r>
            <w:r>
              <w:rPr>
                <w:rFonts w:ascii="Times New Roman" w:hAnsi="Times New Roman"/>
                <w:sz w:val="24"/>
              </w:rPr>
              <w:t xml:space="preserve"> A single HTML/JS template (</w:t>
            </w:r>
            <w:r>
              <w:rPr>
                <w:rFonts w:ascii="Consolas" w:hAnsi="Consolas"/>
                <w:sz w:val="24"/>
              </w:rPr>
              <w:t>web/ui_template.html</w:t>
            </w:r>
            <w:r>
              <w:rPr>
                <w:rFonts w:ascii="Times New Roman" w:hAnsi="Times New Roman"/>
                <w:sz w:val="24"/>
              </w:rPr>
              <w:t>) is the one source of truth for the interface and is compiled to three deployed variants rather than maintained as three separate hand-written pages.</w:t>
            </w:r>
          </w:p>
          <w:p>
            <w:pPr>
              <w:spacing w:after="100"/>
              <w:ind w:firstLine="340"/>
              <w:jc w:val="both"/>
            </w:pPr>
            <w:r>
              <w:rPr>
                <w:rFonts w:ascii="Times New Roman" w:hAnsi="Times New Roman"/>
                <w:b/>
                <w:sz w:val="24"/>
              </w:rPr>
              <w:t>The two deployment targets are a stated engineering trade-off, not an inconsistency — this is the answer to how the modules are linked at the deployment level.</w:t>
            </w:r>
            <w:r>
              <w:rPr>
                <w:rFonts w:ascii="Times New Roman" w:hAnsi="Times New Roman"/>
                <w:sz w:val="24"/>
              </w:rPr>
              <w:t xml:space="preserve"> The local/continuous-integration deployment runs the full FastAPI process (with </w:t>
            </w:r>
            <w:r>
              <w:rPr>
                <w:rFonts w:ascii="Consolas" w:hAnsi="Consolas"/>
                <w:sz w:val="24"/>
              </w:rPr>
              <w:t>scipy</w:t>
            </w:r>
            <w:r>
              <w:rPr>
                <w:rFonts w:ascii="Times New Roman" w:hAnsi="Times New Roman"/>
                <w:sz w:val="24"/>
              </w:rPr>
              <w:t>/</w:t>
            </w:r>
            <w:r>
              <w:rPr>
                <w:rFonts w:ascii="Consolas" w:hAnsi="Consolas"/>
                <w:sz w:val="24"/>
              </w:rPr>
              <w:t>pandas</w:t>
            </w:r>
            <w:r>
              <w:rPr>
                <w:rFonts w:ascii="Times New Roman" w:hAnsi="Times New Roman"/>
                <w:sz w:val="24"/>
              </w:rPr>
              <w:t xml:space="preserve">) and is the only place risk numbers are </w:t>
            </w:r>
            <w:r>
              <w:rPr>
                <w:rFonts w:ascii="Times New Roman" w:hAnsi="Times New Roman"/>
                <w:i/>
                <w:sz w:val="24"/>
              </w:rPr>
              <w:t>computed</w:t>
            </w:r>
            <w:r>
              <w:rPr>
                <w:rFonts w:ascii="Times New Roman" w:hAnsi="Times New Roman"/>
                <w:sz w:val="24"/>
              </w:rPr>
              <w:t>. The Vercel serverless deployment cannot host that dependency stack under its packaged-function size limit, so the daily job pre-computes the numbers that change once a day (forecast, three-class probabilities, VaR/ES) and ships them as static JSON, while a separate lightweight serverless function computes only the intraday candlestick data needed to draw the chart. Concentrating computation in one synchronous service that a lighter deployment target consumes as a versioned, materialised artefact follows established practice for scaling ML-serving systems under heterogeneous deployment constraints [31], [32].</w:t>
            </w:r>
          </w:p>
          <w:p>
            <w:pPr>
              <w:spacing w:after="100"/>
              <w:ind w:firstLine="340"/>
              <w:jc w:val="both"/>
            </w:pPr>
            <w:r>
              <w:rPr>
                <w:rFonts w:ascii="Times New Roman" w:hAnsi="Times New Roman"/>
                <w:b/>
                <w:sz w:val="24"/>
              </w:rPr>
              <w:t>Module contract — the mechanism, not just the diagram, behind "how are the modules linked."</w:t>
            </w:r>
            <w:r>
              <w:rPr>
                <w:rFonts w:ascii="Times New Roman" w:hAnsi="Times New Roman"/>
                <w:sz w:val="24"/>
              </w:rPr>
              <w:t xml:space="preserve"> Each row below is a fixed data contract enforced in code, not an informal call:</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40" w:type="dxa"/>
                <w:bottom w:w="40" w:type="dxa"/>
                <w:left w:w="80" w:type="dxa"/>
                <w:right w:w="80" w:type="dxa"/>
              </w:tblCellMar>
            </w:tblPr>
            <w:tblGrid>
              <w:gridCol w:w="2493"/>
              <w:gridCol w:w="2493"/>
              <w:gridCol w:w="2493"/>
              <w:gridCol w:w="2493"/>
            </w:tblGrid>
            <w:tr>
              <w:trPr>
                <w:cantSplit/>
                <w:tblHeader/>
              </w:trPr>
              <w:tc>
                <w:tcPr>
                  <w:tcW w:type="dxa" w:w="2493"/>
                </w:tcPr>
                <w:p>
                  <w:pPr>
                    <w:spacing w:after="20"/>
                    <w:jc w:val="left"/>
                  </w:pPr>
                  <w:r/>
                  <w:r>
                    <w:rPr>
                      <w:rFonts w:ascii="Times New Roman" w:hAnsi="Times New Roman"/>
                      <w:b/>
                      <w:sz w:val="21"/>
                    </w:rPr>
                    <w:t>From</w:t>
                  </w:r>
                </w:p>
              </w:tc>
              <w:tc>
                <w:tcPr>
                  <w:tcW w:type="dxa" w:w="2493"/>
                </w:tcPr>
                <w:p>
                  <w:pPr>
                    <w:spacing w:after="20"/>
                    <w:jc w:val="left"/>
                  </w:pPr>
                  <w:r/>
                  <w:r>
                    <w:rPr>
                      <w:rFonts w:ascii="Times New Roman" w:hAnsi="Times New Roman"/>
                      <w:b/>
                      <w:sz w:val="21"/>
                    </w:rPr>
                    <w:t>To</w:t>
                  </w:r>
                </w:p>
              </w:tc>
              <w:tc>
                <w:tcPr>
                  <w:tcW w:type="dxa" w:w="2493"/>
                </w:tcPr>
                <w:p>
                  <w:pPr>
                    <w:spacing w:after="20"/>
                    <w:jc w:val="left"/>
                  </w:pPr>
                  <w:r/>
                  <w:r>
                    <w:rPr>
                      <w:rFonts w:ascii="Times New Roman" w:hAnsi="Times New Roman"/>
                      <w:b/>
                      <w:sz w:val="21"/>
                    </w:rPr>
                    <w:t>Via</w:t>
                  </w:r>
                </w:p>
              </w:tc>
              <w:tc>
                <w:tcPr>
                  <w:tcW w:type="dxa" w:w="2493"/>
                </w:tcPr>
                <w:p>
                  <w:pPr>
                    <w:spacing w:after="20"/>
                    <w:jc w:val="left"/>
                  </w:pPr>
                  <w:r/>
                  <w:r>
                    <w:rPr>
                      <w:rFonts w:ascii="Times New Roman" w:hAnsi="Times New Roman"/>
                      <w:b/>
                      <w:sz w:val="21"/>
                    </w:rPr>
                    <w:t>Format</w:t>
                  </w:r>
                </w:p>
              </w:tc>
            </w:tr>
            <w:tr>
              <w:trPr>
                <w:cantSplit/>
              </w:trPr>
              <w:tc>
                <w:tcPr>
                  <w:tcW w:type="dxa" w:w="2493"/>
                </w:tcPr>
                <w:p>
                  <w:pPr>
                    <w:spacing w:after="20"/>
                    <w:jc w:val="left"/>
                  </w:pPr>
                  <w:r/>
                  <w:r>
                    <w:rPr>
                      <w:rFonts w:ascii="Consolas" w:hAnsi="Consolas"/>
                      <w:sz w:val="21"/>
                    </w:rPr>
                    <w:t>collect/*.py</w:t>
                  </w:r>
                </w:p>
              </w:tc>
              <w:tc>
                <w:tcPr>
                  <w:tcW w:type="dxa" w:w="2493"/>
                </w:tcPr>
                <w:p>
                  <w:pPr>
                    <w:spacing w:after="20"/>
                    <w:jc w:val="left"/>
                  </w:pPr>
                  <w:r/>
                  <w:r>
                    <w:rPr>
                      <w:rFonts w:ascii="Consolas" w:hAnsi="Consolas"/>
                      <w:sz w:val="21"/>
                    </w:rPr>
                    <w:t>data/</w:t>
                  </w:r>
                </w:p>
              </w:tc>
              <w:tc>
                <w:tcPr>
                  <w:tcW w:type="dxa" w:w="2493"/>
                </w:tcPr>
                <w:p>
                  <w:pPr>
                    <w:spacing w:after="20"/>
                    <w:jc w:val="left"/>
                  </w:pPr>
                  <w:r/>
                  <w:r>
                    <w:rPr>
                      <w:rFonts w:ascii="Times New Roman" w:hAnsi="Times New Roman"/>
                      <w:sz w:val="21"/>
                    </w:rPr>
                    <w:t>direct CSV/JSON write</w:t>
                  </w:r>
                </w:p>
              </w:tc>
              <w:tc>
                <w:tcPr>
                  <w:tcW w:type="dxa" w:w="2493"/>
                </w:tcPr>
                <w:p>
                  <w:pPr>
                    <w:spacing w:after="20"/>
                    <w:jc w:val="left"/>
                  </w:pPr>
                  <w:r/>
                  <w:r>
                    <w:rPr>
                      <w:rFonts w:ascii="Times New Roman" w:hAnsi="Times New Roman"/>
                      <w:sz w:val="21"/>
                    </w:rPr>
                    <w:t>fixed columns, no silent schema change</w:t>
                  </w:r>
                </w:p>
              </w:tc>
            </w:tr>
            <w:tr>
              <w:trPr>
                <w:cantSplit/>
              </w:trPr>
              <w:tc>
                <w:tcPr>
                  <w:tcW w:type="dxa" w:w="2493"/>
                </w:tcPr>
                <w:p>
                  <w:pPr>
                    <w:spacing w:after="20"/>
                    <w:jc w:val="left"/>
                  </w:pPr>
                  <w:r/>
                  <w:r>
                    <w:rPr>
                      <w:rFonts w:ascii="Consolas" w:hAnsi="Consolas"/>
                      <w:sz w:val="21"/>
                    </w:rPr>
                    <w:t>data/</w:t>
                  </w:r>
                </w:p>
              </w:tc>
              <w:tc>
                <w:tcPr>
                  <w:tcW w:type="dxa" w:w="2493"/>
                </w:tcPr>
                <w:p>
                  <w:pPr>
                    <w:spacing w:after="20"/>
                    <w:jc w:val="left"/>
                  </w:pPr>
                  <w:r/>
                  <w:r>
                    <w:rPr>
                      <w:rFonts w:ascii="Consolas" w:hAnsi="Consolas"/>
                      <w:sz w:val="21"/>
                    </w:rPr>
                    <w:t>api/cache.py</w:t>
                  </w:r>
                </w:p>
              </w:tc>
              <w:tc>
                <w:tcPr>
                  <w:tcW w:type="dxa" w:w="2493"/>
                </w:tcPr>
                <w:p>
                  <w:pPr>
                    <w:spacing w:after="20"/>
                    <w:jc w:val="left"/>
                  </w:pPr>
                  <w:r/>
                  <w:r>
                    <w:rPr>
                      <w:rFonts w:ascii="Times New Roman" w:hAnsi="Times New Roman"/>
                      <w:sz w:val="21"/>
                    </w:rPr>
                    <w:t>fixed-path CSV read</w:t>
                  </w:r>
                </w:p>
              </w:tc>
              <w:tc>
                <w:tcPr>
                  <w:tcW w:type="dxa" w:w="2493"/>
                </w:tcPr>
                <w:p>
                  <w:pPr>
                    <w:spacing w:after="20"/>
                    <w:jc w:val="left"/>
                  </w:pPr>
                  <w:r/>
                  <w:r>
                    <w:rPr>
                      <w:rFonts w:ascii="Consolas" w:hAnsi="Consolas"/>
                      <w:sz w:val="21"/>
                    </w:rPr>
                    <w:t>Date, open, high, low, close, rv5, …</w:t>
                  </w:r>
                </w:p>
              </w:tc>
            </w:tr>
            <w:tr>
              <w:trPr>
                <w:cantSplit/>
              </w:trPr>
              <w:tc>
                <w:tcPr>
                  <w:tcW w:type="dxa" w:w="2493"/>
                </w:tcPr>
                <w:p>
                  <w:pPr>
                    <w:spacing w:after="20"/>
                    <w:jc w:val="left"/>
                  </w:pPr>
                  <w:r/>
                  <w:r>
                    <w:rPr>
                      <w:rFonts w:ascii="Consolas" w:hAnsi="Consolas"/>
                      <w:sz w:val="21"/>
                    </w:rPr>
                    <w:t>src/*.py</w:t>
                  </w:r>
                  <w:r>
                    <w:rPr>
                      <w:rFonts w:ascii="Times New Roman" w:hAnsi="Times New Roman"/>
                      <w:sz w:val="21"/>
                    </w:rPr>
                    <w:t xml:space="preserve"> (forecast, calibration, risk)</w:t>
                  </w:r>
                </w:p>
              </w:tc>
              <w:tc>
                <w:tcPr>
                  <w:tcW w:type="dxa" w:w="2493"/>
                </w:tcPr>
                <w:p>
                  <w:pPr>
                    <w:spacing w:after="20"/>
                    <w:jc w:val="left"/>
                  </w:pPr>
                  <w:r/>
                  <w:r>
                    <w:rPr>
                      <w:rFonts w:ascii="Consolas" w:hAnsi="Consolas"/>
                      <w:sz w:val="21"/>
                    </w:rPr>
                    <w:t>api/cache.py</w:t>
                  </w:r>
                </w:p>
              </w:tc>
              <w:tc>
                <w:tcPr>
                  <w:tcW w:type="dxa" w:w="2493"/>
                </w:tcPr>
                <w:p>
                  <w:pPr>
                    <w:spacing w:after="20"/>
                    <w:jc w:val="left"/>
                  </w:pPr>
                  <w:r/>
                  <w:r>
                    <w:rPr>
                      <w:rFonts w:ascii="Times New Roman" w:hAnsi="Times New Roman"/>
                      <w:sz w:val="21"/>
                    </w:rPr>
                    <w:t>in-process function call</w:t>
                  </w:r>
                </w:p>
              </w:tc>
              <w:tc>
                <w:tcPr>
                  <w:tcW w:type="dxa" w:w="2493"/>
                </w:tcPr>
                <w:p>
                  <w:pPr>
                    <w:spacing w:after="20"/>
                    <w:jc w:val="left"/>
                  </w:pPr>
                  <w:r/>
                  <w:r>
                    <w:rPr>
                      <w:rFonts w:ascii="Times New Roman" w:hAnsi="Times New Roman"/>
                      <w:sz w:val="21"/>
                    </w:rPr>
                    <w:t>numpy/DataFrame, no serialisation</w:t>
                  </w:r>
                </w:p>
              </w:tc>
            </w:tr>
            <w:tr>
              <w:trPr>
                <w:cantSplit/>
              </w:trPr>
              <w:tc>
                <w:tcPr>
                  <w:tcW w:type="dxa" w:w="2493"/>
                </w:tcPr>
                <w:p>
                  <w:pPr>
                    <w:spacing w:after="20"/>
                    <w:jc w:val="left"/>
                  </w:pPr>
                  <w:r/>
                  <w:r>
                    <w:rPr>
                      <w:rFonts w:ascii="Consolas" w:hAnsi="Consolas"/>
                      <w:sz w:val="21"/>
                    </w:rPr>
                    <w:t>api/cache.py</w:t>
                  </w:r>
                </w:p>
              </w:tc>
              <w:tc>
                <w:tcPr>
                  <w:tcW w:type="dxa" w:w="2493"/>
                </w:tcPr>
                <w:p>
                  <w:pPr>
                    <w:spacing w:after="20"/>
                    <w:jc w:val="left"/>
                  </w:pPr>
                  <w:r/>
                  <w:r>
                    <w:rPr>
                      <w:rFonts w:ascii="Consolas" w:hAnsi="Consolas"/>
                      <w:sz w:val="21"/>
                    </w:rPr>
                    <w:t>api/routers/*.py</w:t>
                  </w:r>
                </w:p>
              </w:tc>
              <w:tc>
                <w:tcPr>
                  <w:tcW w:type="dxa" w:w="2493"/>
                </w:tcPr>
                <w:p>
                  <w:pPr>
                    <w:spacing w:after="20"/>
                    <w:jc w:val="left"/>
                  </w:pPr>
                  <w:r/>
                  <w:r>
                    <w:rPr>
                      <w:rFonts w:ascii="Times New Roman" w:hAnsi="Times New Roman"/>
                      <w:sz w:val="21"/>
                    </w:rPr>
                    <w:t>in-memory dictionary</w:t>
                  </w:r>
                </w:p>
              </w:tc>
              <w:tc>
                <w:tcPr>
                  <w:tcW w:type="dxa" w:w="2493"/>
                </w:tcPr>
                <w:p>
                  <w:pPr>
                    <w:spacing w:after="20"/>
                    <w:jc w:val="left"/>
                  </w:pPr>
                  <w:r/>
                  <w:r>
                    <w:rPr>
                      <w:rFonts w:ascii="Times New Roman" w:hAnsi="Times New Roman"/>
                      <w:sz w:val="21"/>
                    </w:rPr>
                    <w:t>Python dict (</w:t>
                  </w:r>
                  <w:r>
                    <w:rPr>
                      <w:rFonts w:ascii="Consolas" w:hAnsi="Consolas"/>
                      <w:sz w:val="21"/>
                    </w:rPr>
                    <w:t>pan</w:t>
                  </w:r>
                  <w:r>
                    <w:rPr>
                      <w:rFonts w:ascii="Times New Roman" w:hAnsi="Times New Roman"/>
                      <w:sz w:val="21"/>
                    </w:rPr>
                    <w:t xml:space="preserve">, </w:t>
                  </w:r>
                  <w:r>
                    <w:rPr>
                      <w:rFonts w:ascii="Consolas" w:hAnsi="Consolas"/>
                      <w:sz w:val="21"/>
                    </w:rPr>
                    <w:t>xs</w:t>
                  </w:r>
                  <w:r>
                    <w:rPr>
                      <w:rFonts w:ascii="Times New Roman" w:hAnsi="Times New Roman"/>
                      <w:sz w:val="21"/>
                    </w:rPr>
                    <w:t xml:space="preserve">, </w:t>
                  </w:r>
                  <w:r>
                    <w:rPr>
                      <w:rFonts w:ascii="Consolas" w:hAnsi="Consolas"/>
                      <w:sz w:val="21"/>
                    </w:rPr>
                    <w:t>sig</w:t>
                  </w:r>
                  <w:r>
                    <w:rPr>
                      <w:rFonts w:ascii="Times New Roman" w:hAnsi="Times New Roman"/>
                      <w:sz w:val="21"/>
                    </w:rPr>
                    <w:t xml:space="preserve">, </w:t>
                  </w:r>
                  <w:r>
                    <w:rPr>
                      <w:rFonts w:ascii="Consolas" w:hAnsi="Consolas"/>
                      <w:sz w:val="21"/>
                    </w:rPr>
                    <w:t>che_do</w:t>
                  </w:r>
                  <w:r>
                    <w:rPr>
                      <w:rFonts w:ascii="Times New Roman" w:hAnsi="Times New Roman"/>
                      <w:sz w:val="21"/>
                    </w:rPr>
                    <w:t>, …)</w:t>
                  </w:r>
                </w:p>
              </w:tc>
            </w:tr>
            <w:tr>
              <w:trPr>
                <w:cantSplit/>
              </w:trPr>
              <w:tc>
                <w:tcPr>
                  <w:tcW w:type="dxa" w:w="2493"/>
                </w:tcPr>
                <w:p>
                  <w:pPr>
                    <w:spacing w:after="20"/>
                    <w:jc w:val="left"/>
                  </w:pPr>
                  <w:r/>
                  <w:r>
                    <w:rPr>
                      <w:rFonts w:ascii="Consolas" w:hAnsi="Consolas"/>
                      <w:sz w:val="21"/>
                    </w:rPr>
                    <w:t>api/routers/*.py</w:t>
                  </w:r>
                </w:p>
              </w:tc>
              <w:tc>
                <w:tcPr>
                  <w:tcW w:type="dxa" w:w="2493"/>
                </w:tcPr>
                <w:p>
                  <w:pPr>
                    <w:spacing w:after="20"/>
                    <w:jc w:val="left"/>
                  </w:pPr>
                  <w:r/>
                  <w:r>
                    <w:rPr>
                      <w:rFonts w:ascii="Times New Roman" w:hAnsi="Times New Roman"/>
                      <w:sz w:val="21"/>
                    </w:rPr>
                    <w:t>web client</w:t>
                  </w:r>
                </w:p>
              </w:tc>
              <w:tc>
                <w:tcPr>
                  <w:tcW w:type="dxa" w:w="2493"/>
                </w:tcPr>
                <w:p>
                  <w:pPr>
                    <w:spacing w:after="20"/>
                    <w:jc w:val="left"/>
                  </w:pPr>
                  <w:r/>
                  <w:r>
                    <w:rPr>
                      <w:rFonts w:ascii="Times New Roman" w:hAnsi="Times New Roman"/>
                      <w:sz w:val="21"/>
                    </w:rPr>
                    <w:t>HTTP JSON</w:t>
                  </w:r>
                </w:p>
              </w:tc>
              <w:tc>
                <w:tcPr>
                  <w:tcW w:type="dxa" w:w="2493"/>
                </w:tcPr>
                <w:p>
                  <w:pPr>
                    <w:spacing w:after="20"/>
                    <w:jc w:val="left"/>
                  </w:pPr>
                  <w:r/>
                  <w:r>
                    <w:rPr>
                      <w:rFonts w:ascii="Times New Roman" w:hAnsi="Times New Roman"/>
                      <w:sz w:val="21"/>
                    </w:rPr>
                    <w:t xml:space="preserve">Pydantic </w:t>
                  </w:r>
                  <w:r>
                    <w:rPr>
                      <w:rFonts w:ascii="Consolas" w:hAnsi="Consolas"/>
                      <w:sz w:val="21"/>
                    </w:rPr>
                    <w:t>response_model</w:t>
                  </w:r>
                  <w:r>
                    <w:rPr>
                      <w:rFonts w:ascii="Times New Roman" w:hAnsi="Times New Roman"/>
                      <w:sz w:val="21"/>
                    </w:rPr>
                    <w:t xml:space="preserve"> where declared</w:t>
                  </w:r>
                </w:p>
              </w:tc>
            </w:tr>
            <w:tr>
              <w:trPr>
                <w:cantSplit/>
              </w:trPr>
              <w:tc>
                <w:tcPr>
                  <w:tcW w:type="dxa" w:w="2493"/>
                </w:tcPr>
                <w:p>
                  <w:pPr>
                    <w:spacing w:after="20"/>
                    <w:jc w:val="left"/>
                  </w:pPr>
                  <w:r/>
                  <w:r>
                    <w:rPr>
                      <w:rFonts w:ascii="Times New Roman" w:hAnsi="Times New Roman"/>
                      <w:sz w:val="21"/>
                    </w:rPr>
                    <w:t>daily job</w:t>
                  </w:r>
                </w:p>
              </w:tc>
              <w:tc>
                <w:tcPr>
                  <w:tcW w:type="dxa" w:w="2493"/>
                </w:tcPr>
                <w:p>
                  <w:pPr>
                    <w:spacing w:after="20"/>
                    <w:jc w:val="left"/>
                  </w:pPr>
                  <w:r/>
                  <w:r>
                    <w:rPr>
                      <w:rFonts w:ascii="Times New Roman" w:hAnsi="Times New Roman"/>
                      <w:sz w:val="21"/>
                    </w:rPr>
                    <w:t>static site data</w:t>
                  </w:r>
                </w:p>
              </w:tc>
              <w:tc>
                <w:tcPr>
                  <w:tcW w:type="dxa" w:w="2493"/>
                </w:tcPr>
                <w:p>
                  <w:pPr>
                    <w:spacing w:after="20"/>
                    <w:jc w:val="left"/>
                  </w:pPr>
                  <w:r/>
                  <w:r>
                    <w:rPr>
                      <w:rFonts w:ascii="Times New Roman" w:hAnsi="Times New Roman"/>
                      <w:sz w:val="21"/>
                    </w:rPr>
                    <w:t>HTTP call to the API</w:t>
                  </w:r>
                </w:p>
              </w:tc>
              <w:tc>
                <w:tcPr>
                  <w:tcW w:type="dxa" w:w="2493"/>
                </w:tcPr>
                <w:p>
                  <w:pPr>
                    <w:spacing w:after="20"/>
                    <w:jc w:val="left"/>
                  </w:pPr>
                  <w:r/>
                  <w:r>
                    <w:rPr>
                      <w:rFonts w:ascii="Times New Roman" w:hAnsi="Times New Roman"/>
                      <w:sz w:val="21"/>
                    </w:rPr>
                    <w:t>identical JSON to the live API — never recomputed by a second formula</w:t>
                  </w:r>
                </w:p>
              </w:tc>
            </w:tr>
          </w:tbl>
          <w:p/>
          <w:p>
            <w:pPr>
              <w:spacing w:after="0" w:before="0"/>
            </w:pPr>
            <w:r>
              <w:rPr>
                <w:sz w:val="2"/>
              </w:rPr>
            </w:r>
          </w:p>
          <w:p>
            <w:pPr>
              <w:spacing w:after="100"/>
              <w:ind w:firstLine="340"/>
              <w:jc w:val="both"/>
            </w:pPr>
            <w:r>
              <w:rPr>
                <w:rFonts w:ascii="Times New Roman" w:hAnsi="Times New Roman"/>
                <w:sz w:val="24"/>
              </w:rPr>
              <w:t>The daily job never recomputes a number through a second code path: it calls the API and snapshots the response. This single-source-of-truth discipline — recommended practice for operationalising ML systems reliably [31] — is the concrete mechanism that keeps the static and live deployments from ever diverging, and is applied uniformly to every module added under the Research Plan below, not only to the modules that exist today.</w:t>
            </w:r>
          </w:p>
        </w:tc>
      </w:tr>
      <w:tr>
        <w:tc>
          <w:tcPr>
            <w:tcW w:type="dxa" w:w="9973"/>
          </w:tcPr>
          <w:p>
            <w:pPr>
              <w:spacing w:after="100"/>
            </w:pPr>
            <w:r>
              <w:rPr>
                <w:rFonts w:ascii="Times New Roman" w:hAnsi="Times New Roman"/>
                <w:b/>
                <w:sz w:val="24"/>
              </w:rPr>
              <w:t>Research Methodology:</w:t>
            </w:r>
          </w:p>
          <w:p>
            <w:pPr>
              <w:spacing w:after="100"/>
              <w:ind w:firstLine="340"/>
              <w:jc w:val="both"/>
            </w:pPr>
            <w:r>
              <w:rPr>
                <w:rFonts w:ascii="Times New Roman" w:hAnsi="Times New Roman"/>
                <w:sz w:val="24"/>
              </w:rPr>
              <w:t>The research is conducted through the following main activities.</w:t>
            </w:r>
          </w:p>
          <w:p>
            <w:pPr>
              <w:spacing w:before="140" w:after="60"/>
            </w:pPr>
            <w:r>
              <w:rPr>
                <w:rFonts w:ascii="Times New Roman" w:hAnsi="Times New Roman"/>
                <w:b/>
                <w:i/>
                <w:sz w:val="24"/>
              </w:rPr>
              <w:t>Literature Review</w:t>
            </w:r>
          </w:p>
          <w:p>
            <w:pPr>
              <w:pStyle w:val="ListBullet"/>
              <w:spacing w:after="60"/>
              <w:ind w:left="454"/>
              <w:jc w:val="both"/>
            </w:pPr>
            <w:r>
              <w:rPr>
                <w:rFonts w:ascii="Times New Roman" w:hAnsi="Times New Roman"/>
                <w:sz w:val="24"/>
              </w:rPr>
              <w:t>Review realized-volatility modelling, covering the HAR family and its measurement-error, jump, and semivariance extensions, and recent comparative evidence on machine learning and foundation models for volatility forecasting.</w:t>
            </w:r>
          </w:p>
          <w:p>
            <w:pPr>
              <w:pStyle w:val="ListBullet"/>
              <w:spacing w:after="60"/>
              <w:ind w:left="454"/>
              <w:jc w:val="both"/>
            </w:pPr>
            <w:r>
              <w:rPr>
                <w:rFonts w:ascii="Times New Roman" w:hAnsi="Times New Roman"/>
                <w:sz w:val="24"/>
              </w:rPr>
              <w:t>Review the evidence on FX directional predictability, including large-scale technical-rule studies with data-snooping control, and the momentum-factor explanation of residual rule profitability.</w:t>
            </w:r>
          </w:p>
          <w:p>
            <w:pPr>
              <w:pStyle w:val="ListBullet"/>
              <w:spacing w:after="60"/>
              <w:ind w:left="454"/>
              <w:jc w:val="both"/>
            </w:pPr>
            <w:r>
              <w:rPr>
                <w:rFonts w:ascii="Times New Roman" w:hAnsi="Times New Roman"/>
                <w:sz w:val="24"/>
              </w:rPr>
              <w:t>Review statistically sound pattern discovery, family-wise error control, superior predictive ability testing, and model confidence sets.</w:t>
            </w:r>
          </w:p>
          <w:p>
            <w:pPr>
              <w:pStyle w:val="ListBullet"/>
              <w:spacing w:after="60"/>
              <w:ind w:left="454"/>
              <w:jc w:val="both"/>
            </w:pPr>
            <w:r>
              <w:rPr>
                <w:rFonts w:ascii="Times New Roman" w:hAnsi="Times New Roman"/>
                <w:sz w:val="24"/>
              </w:rPr>
              <w:t>Review conformal prediction under distribution shift, proper scoring rules, and calibration diagnostics.</w:t>
            </w:r>
          </w:p>
          <w:p>
            <w:pPr>
              <w:pStyle w:val="ListBullet"/>
              <w:spacing w:after="60"/>
              <w:ind w:left="454"/>
              <w:jc w:val="both"/>
            </w:pPr>
            <w:r>
              <w:rPr>
                <w:rFonts w:ascii="Times New Roman" w:hAnsi="Times New Roman"/>
                <w:sz w:val="24"/>
              </w:rPr>
              <w:t>Review Value-at-Risk and Expected Shortfall backtesting, and growth-optimal position sizing under a ruin constraint.</w:t>
            </w:r>
          </w:p>
          <w:p>
            <w:pPr>
              <w:spacing w:before="140" w:after="60"/>
            </w:pPr>
            <w:r>
              <w:rPr>
                <w:rFonts w:ascii="Times New Roman" w:hAnsi="Times New Roman"/>
                <w:b/>
                <w:i/>
                <w:sz w:val="24"/>
              </w:rPr>
              <w:t>Data Preparation and Protocol Fixing</w:t>
            </w:r>
          </w:p>
          <w:p>
            <w:pPr>
              <w:pStyle w:val="ListBullet"/>
              <w:spacing w:after="60"/>
              <w:ind w:left="454"/>
              <w:jc w:val="both"/>
            </w:pPr>
            <w:r>
              <w:rPr>
                <w:rFonts w:ascii="Times New Roman" w:hAnsi="Times New Roman"/>
                <w:sz w:val="24"/>
              </w:rPr>
              <w:t>Construct daily bars and five-minute realized measures from one-minute source data; verify contiguity, session conventions, and time-zone handling.</w:t>
            </w:r>
          </w:p>
          <w:p>
            <w:pPr>
              <w:pStyle w:val="ListBullet"/>
              <w:spacing w:after="60"/>
              <w:ind w:left="454"/>
              <w:jc w:val="both"/>
            </w:pPr>
            <w:r>
              <w:rPr>
                <w:rFonts w:ascii="Times New Roman" w:hAnsi="Times New Roman"/>
                <w:sz w:val="24"/>
              </w:rPr>
              <w:t xml:space="preserve">Fix the temporal partition, the evaluation metrics per axis, the multiple-testing procedure, and the sealed-set policy in a written record </w:t>
            </w:r>
            <w:r>
              <w:rPr>
                <w:rFonts w:ascii="Times New Roman" w:hAnsi="Times New Roman"/>
                <w:b/>
                <w:sz w:val="24"/>
              </w:rPr>
              <w:t>before</w:t>
            </w:r>
            <w:r>
              <w:rPr>
                <w:rFonts w:ascii="Times New Roman" w:hAnsi="Times New Roman"/>
                <w:sz w:val="24"/>
              </w:rPr>
              <w:t xml:space="preserve"> any scoring, and record every configuration evaluated on the development sample.</w:t>
            </w:r>
          </w:p>
          <w:p>
            <w:pPr>
              <w:pStyle w:val="ListBullet"/>
              <w:spacing w:after="60"/>
              <w:ind w:left="454"/>
              <w:jc w:val="both"/>
            </w:pPr>
            <w:r>
              <w:rPr>
                <w:rFonts w:ascii="Times New Roman" w:hAnsi="Times New Roman"/>
                <w:sz w:val="24"/>
              </w:rPr>
              <w:t xml:space="preserve">Implement a permanent anti-leakage protocol: every derived feature must satisfy the self-test that truncating all information revealed after time </w:t>
            </w:r>
            <w:r>
              <w:rPr>
                <w:rFonts w:ascii="Times New Roman" w:hAnsi="Times New Roman"/>
                <w:i/>
                <w:sz w:val="24"/>
              </w:rPr>
              <w:t>t</w:t>
            </w:r>
            <w:r>
              <w:rPr>
                <w:rFonts w:ascii="Times New Roman" w:hAnsi="Times New Roman"/>
                <w:sz w:val="24"/>
              </w:rPr>
              <w:t xml:space="preserve"> leaves its value at </w:t>
            </w:r>
            <w:r>
              <w:rPr>
                <w:rFonts w:ascii="Times New Roman" w:hAnsi="Times New Roman"/>
                <w:i/>
                <w:sz w:val="24"/>
              </w:rPr>
              <w:t>t</w:t>
            </w:r>
            <w:r>
              <w:rPr>
                <w:rFonts w:ascii="Times New Roman" w:hAnsi="Times New Roman"/>
                <w:sz w:val="24"/>
              </w:rPr>
              <w:t xml:space="preserve"> unchanged.</w:t>
            </w:r>
          </w:p>
          <w:p>
            <w:pPr>
              <w:spacing w:before="140" w:after="60"/>
            </w:pPr>
            <w:r>
              <w:rPr>
                <w:rFonts w:ascii="Times New Roman" w:hAnsi="Times New Roman"/>
                <w:b/>
                <w:i/>
                <w:sz w:val="24"/>
              </w:rPr>
              <w:t>Baseline Establishment and Model Comparison</w:t>
            </w:r>
          </w:p>
          <w:p>
            <w:pPr>
              <w:pStyle w:val="ListBullet"/>
              <w:spacing w:after="60"/>
              <w:ind w:left="454"/>
              <w:jc w:val="both"/>
            </w:pPr>
            <w:r>
              <w:rPr>
                <w:rFonts w:ascii="Times New Roman" w:hAnsi="Times New Roman"/>
                <w:sz w:val="24"/>
              </w:rPr>
              <w:t>Establish the extended HAR specification as the production magnitude baseline and an online expert-combination layer [13] as the three-class probability baseline.</w:t>
            </w:r>
          </w:p>
          <w:p>
            <w:pPr>
              <w:pStyle w:val="ListBullet"/>
              <w:spacing w:after="60"/>
              <w:ind w:left="454"/>
              <w:jc w:val="both"/>
            </w:pPr>
            <w:r>
              <w:rPr>
                <w:rFonts w:ascii="Times New Roman" w:hAnsi="Times New Roman"/>
                <w:sz w:val="24"/>
              </w:rPr>
              <w:t>Compare against linear regularised models, gradient-boosted trees, recurrent and attention-based networks, a tabular foundation model [14], zero-shot time-series foundation models [11], and systematic forecast combinations, all under an identical information set, refit frequency, and variance-conversion procedure.</w:t>
            </w:r>
          </w:p>
          <w:p>
            <w:pPr>
              <w:pStyle w:val="ListBullet"/>
              <w:spacing w:after="60"/>
              <w:ind w:left="454"/>
              <w:jc w:val="both"/>
            </w:pPr>
            <w:r>
              <w:rPr>
                <w:rFonts w:ascii="Times New Roman" w:hAnsi="Times New Roman"/>
                <w:sz w:val="24"/>
              </w:rPr>
              <w:t>Evaluate with scale-invariant QLIKE [15], the continuous ranked probability score, and the logarithmic and Brier scores [16], and assess significance with Diebold–Mariano tests [17] and Model Confidence Sets [12].</w:t>
            </w:r>
          </w:p>
          <w:p>
            <w:pPr>
              <w:spacing w:before="140" w:after="60"/>
            </w:pPr>
            <w:r>
              <w:rPr>
                <w:rFonts w:ascii="Times New Roman" w:hAnsi="Times New Roman"/>
                <w:b/>
                <w:i/>
                <w:sz w:val="24"/>
              </w:rPr>
              <w:t>Pattern, Exogenous, and Causal Analysis</w:t>
            </w:r>
          </w:p>
          <w:p>
            <w:pPr>
              <w:pStyle w:val="ListBullet"/>
              <w:spacing w:after="60"/>
              <w:ind w:left="454"/>
              <w:jc w:val="both"/>
            </w:pPr>
            <w:r>
              <w:rPr>
                <w:rFonts w:ascii="Times New Roman" w:hAnsi="Times New Roman"/>
                <w:sz w:val="24"/>
              </w:rPr>
              <w:t>Enumerate the hypothesis space in advance for every discovery family — symbolic sequence patterns, motif and matrix-profile analysis, interpretable rule learning, regime models, textual central-bank features, exogenous macro and cross-asset variables, and daily candlestick geometry — and apply step-down max-</w:t>
            </w:r>
            <w:r>
              <w:rPr>
                <w:rFonts w:ascii="Times New Roman" w:hAnsi="Times New Roman"/>
                <w:i/>
                <w:sz w:val="24"/>
              </w:rPr>
              <w:t>T</w:t>
            </w:r>
            <w:r>
              <w:rPr>
                <w:rFonts w:ascii="Times New Roman" w:hAnsi="Times New Roman"/>
                <w:sz w:val="24"/>
              </w:rPr>
              <w:t xml:space="preserve"> resampling with block-preserving null models [4]. Remaining work in this family is limited to completing pre-registered evaluations at horizons and axes not yet scored (Section on the Research Plan); no new discovery family will be introduced after the evaluation protocol has been frozen.</w:t>
            </w:r>
          </w:p>
          <w:p>
            <w:pPr>
              <w:pStyle w:val="ListBullet"/>
              <w:spacing w:after="60"/>
              <w:ind w:left="454"/>
              <w:jc w:val="both"/>
            </w:pPr>
            <w:r>
              <w:rPr>
                <w:rFonts w:ascii="Times New Roman" w:hAnsi="Times New Roman"/>
                <w:sz w:val="24"/>
              </w:rPr>
              <w:t>Condition every candidate on the strongest available null: the production volatility forecast for the magnitude axis, and time-series momentum for the direction axis [3].</w:t>
            </w:r>
          </w:p>
          <w:p>
            <w:pPr>
              <w:pStyle w:val="ListBullet"/>
              <w:spacing w:after="60"/>
              <w:ind w:left="454"/>
              <w:jc w:val="both"/>
            </w:pPr>
            <w:r>
              <w:rPr>
                <w:rFonts w:ascii="Times New Roman" w:hAnsi="Times New Roman"/>
                <w:sz w:val="24"/>
              </w:rPr>
              <w:t>For the exogenous layer, contrast three feature-selection regimes under an identical model class and parameter budget: all declared variables, validation-selected variables, and variables filtered by Granger-type causal testing under step-down Westfall–Young control [4], triangulated against four independently implemented methods — PCMCI [18], Double Machine Learning [33], Causal Forest [34], and CausalImpact [28] — with a cross-pair and cross-year stability screen (full triangulation and its two-role finding detailed in Proposed Method and System Architecture: Causal Discovery Method), in order to isolate the contribution of causal filtering itself. This layer, including the triangulation, is complete; remaining work is limited to writing up the findings (Research Plan, Week 9–10) — no new causal discovery work is scheduled, and using the causal effect to adjust the forecast directly is deferred (Deferred / Future Work) rather than pursued in the remaining timeline.</w:t>
            </w:r>
          </w:p>
          <w:p>
            <w:pPr>
              <w:pStyle w:val="ListBullet"/>
              <w:spacing w:after="60"/>
              <w:ind w:left="454"/>
              <w:jc w:val="both"/>
            </w:pPr>
            <w:r>
              <w:rPr>
                <w:rFonts w:ascii="Times New Roman" w:hAnsi="Times New Roman"/>
                <w:sz w:val="24"/>
              </w:rPr>
              <w:t>Screen surviving candidates for sign consistency across pairs and across years, and require leave-one-pair-out transfer before any candidate is admitted.</w:t>
            </w:r>
          </w:p>
          <w:p>
            <w:pPr>
              <w:spacing w:before="140" w:after="60"/>
            </w:pPr>
            <w:r>
              <w:rPr>
                <w:rFonts w:ascii="Times New Roman" w:hAnsi="Times New Roman"/>
                <w:b/>
                <w:i/>
                <w:sz w:val="24"/>
              </w:rPr>
              <w:t>Calibration, Risk, and Decision Layer</w:t>
            </w:r>
          </w:p>
          <w:p>
            <w:pPr>
              <w:pStyle w:val="ListBullet"/>
              <w:spacing w:after="60"/>
              <w:ind w:left="454"/>
              <w:jc w:val="both"/>
            </w:pPr>
            <w:r>
              <w:rPr>
                <w:rFonts w:ascii="Times New Roman" w:hAnsi="Times New Roman"/>
                <w:sz w:val="24"/>
              </w:rPr>
              <w:t>Implement adaptive conformal inference with Mondrian stratification by volatility regime [19], [20], and verify empirical coverage overall and conditional on regime.</w:t>
            </w:r>
          </w:p>
          <w:p>
            <w:pPr>
              <w:pStyle w:val="ListBullet"/>
              <w:spacing w:after="60"/>
              <w:ind w:left="454"/>
              <w:jc w:val="both"/>
            </w:pPr>
            <w:r>
              <w:rPr>
                <w:rFonts w:ascii="Times New Roman" w:hAnsi="Times New Roman"/>
                <w:sz w:val="24"/>
              </w:rPr>
              <w:t>Estimate Value-at-Risk and Expected Shortfall from empirical quantiles of standardised returns scaled by the volatility forecast, and backtest per pair using unconditional coverage [21], independence and conditional coverage [22], and dynamic quantile tests [23]; assess the joint (VaR, ES) pair with a strictly consistent scoring function [24].</w:t>
            </w:r>
          </w:p>
          <w:p>
            <w:pPr>
              <w:pStyle w:val="ListBullet"/>
              <w:spacing w:after="60"/>
              <w:ind w:left="454"/>
              <w:jc w:val="both"/>
            </w:pPr>
            <w:r>
              <w:rPr>
                <w:rFonts w:ascii="Times New Roman" w:hAnsi="Times New Roman"/>
                <w:sz w:val="24"/>
              </w:rPr>
              <w:t>Compute position size as the minimum of a growth-optimal fraction [25] and a cap constrained by an estimated probability of ruin, adjusted by volatility regime, drawdown state, a portfolio correlation factor, and a slippage coefficient measured from observed stop-loss executions; the ruin estimate is reported together with the return, dependence, and sizing assumptions on which it is conditioned.</w:t>
            </w:r>
          </w:p>
          <w:p>
            <w:pPr>
              <w:spacing w:before="140" w:after="60"/>
            </w:pPr>
            <w:r>
              <w:rPr>
                <w:rFonts w:ascii="Times New Roman" w:hAnsi="Times New Roman"/>
                <w:b/>
                <w:i/>
                <w:sz w:val="24"/>
              </w:rPr>
              <w:t>Power Analysis and Sealed Validation</w:t>
            </w:r>
          </w:p>
          <w:p>
            <w:pPr>
              <w:pStyle w:val="ListBullet"/>
              <w:spacing w:after="60"/>
              <w:ind w:left="454"/>
              <w:jc w:val="both"/>
            </w:pPr>
            <w:r>
              <w:rPr>
                <w:rFonts w:ascii="Times New Roman" w:hAnsi="Times New Roman"/>
                <w:sz w:val="24"/>
              </w:rPr>
              <w:t>For every negative finding, inject synthetic effects of known magnitude through the actual testing funnel and report the effect size detected with 80% power, together with a negative control establishing the false-positive rate under pure noise.</w:t>
            </w:r>
          </w:p>
          <w:p>
            <w:pPr>
              <w:pStyle w:val="ListBullet"/>
              <w:spacing w:after="60"/>
              <w:ind w:left="454"/>
              <w:jc w:val="both"/>
            </w:pPr>
            <w:r>
              <w:rPr>
                <w:rFonts w:ascii="Times New Roman" w:hAnsi="Times New Roman"/>
                <w:sz w:val="24"/>
              </w:rPr>
              <w:t>Freeze the final configuration in writing, then open the sealed evaluation set exactly once and report the resulting numbers without modification.</w:t>
            </w:r>
          </w:p>
          <w:p>
            <w:pPr>
              <w:spacing w:before="140" w:after="60"/>
            </w:pPr>
            <w:r>
              <w:rPr>
                <w:rFonts w:ascii="Times New Roman" w:hAnsi="Times New Roman"/>
                <w:b/>
                <w:i/>
                <w:sz w:val="24"/>
              </w:rPr>
              <w:t>System Implementation and Analysis</w:t>
            </w:r>
          </w:p>
          <w:p>
            <w:pPr>
              <w:pStyle w:val="ListBullet"/>
              <w:spacing w:after="60"/>
              <w:ind w:left="454"/>
              <w:jc w:val="both"/>
            </w:pPr>
            <w:r>
              <w:rPr>
                <w:rFonts w:ascii="Times New Roman" w:hAnsi="Times New Roman"/>
                <w:sz w:val="24"/>
              </w:rPr>
              <w:t>Maintain, throughout the study rather than only at its conclusion, the operating end-to-end product path specified in Proposed Method and System Architecture — data ingestion, production forecast artefact, application programming interface, and web application — so that each research layer is integrated as a versioned artefact update the same week it is completed (see the per-week engineering deliverables in the Research Plan) instead of being connected for the first time late in the project; dedicate the final weeks to hardening this system with a computation layer, a versioned forecast-artefact interface, and a user interface that presents per-axis skill, conformal prediction sets, the event calendar with measured historical responses, and the risk decision record with full provenance.</w:t>
            </w:r>
          </w:p>
          <w:p>
            <w:pPr>
              <w:pStyle w:val="ListBullet"/>
              <w:spacing w:after="60"/>
              <w:ind w:left="454"/>
              <w:jc w:val="both"/>
            </w:pPr>
            <w:r>
              <w:rPr>
                <w:rFonts w:ascii="Times New Roman" w:hAnsi="Times New Roman"/>
                <w:sz w:val="24"/>
              </w:rPr>
              <w:t>Analyse failure cases and limitations, including pairs that fail tail backtests and horizons at which calibration degrades, and report them within the interface rather than omitting them.</w:t>
            </w:r>
          </w:p>
        </w:tc>
      </w:tr>
      <w:tr>
        <w:tc>
          <w:tcPr>
            <w:tcW w:type="dxa" w:w="9973"/>
          </w:tcPr>
          <w:p>
            <w:pPr>
              <w:spacing w:after="100"/>
            </w:pPr>
            <w:r>
              <w:rPr>
                <w:rFonts w:ascii="Times New Roman" w:hAnsi="Times New Roman"/>
                <w:b/>
                <w:sz w:val="24"/>
              </w:rPr>
              <w:t>Expected Results and Contributions:</w:t>
            </w:r>
          </w:p>
          <w:p>
            <w:pPr>
              <w:spacing w:after="100"/>
              <w:ind w:firstLine="340"/>
              <w:jc w:val="both"/>
            </w:pPr>
            <w:r>
              <w:rPr>
                <w:rFonts w:ascii="Times New Roman" w:hAnsi="Times New Roman"/>
                <w:sz w:val="24"/>
              </w:rPr>
              <w:t>The expected outcomes of this research include:</w:t>
            </w:r>
          </w:p>
          <w:p>
            <w:pPr>
              <w:pStyle w:val="ListBullet"/>
              <w:spacing w:after="60"/>
              <w:ind w:left="454"/>
              <w:jc w:val="both"/>
            </w:pPr>
            <w:r>
              <w:rPr>
                <w:rFonts w:ascii="Times New Roman" w:hAnsi="Times New Roman"/>
                <w:b/>
                <w:sz w:val="24"/>
              </w:rPr>
              <w:t>A validated decision support system for FX</w:t>
            </w:r>
            <w:r>
              <w:rPr>
                <w:rFonts w:ascii="Times New Roman" w:hAnsi="Times New Roman"/>
                <w:sz w:val="24"/>
              </w:rPr>
              <w:t xml:space="preserve"> that issues, for each session and each pair, a volatility forecast, a calibrated three-class probability distribution with a conformal prediction set, an event-risk assessment, and a ruin-constrained position-sizing recommendation, with every displayed quantity traceable to a specific measurement.</w:t>
            </w:r>
          </w:p>
          <w:p>
            <w:pPr>
              <w:pStyle w:val="ListBullet"/>
              <w:spacing w:after="60"/>
              <w:ind w:left="454"/>
              <w:jc w:val="both"/>
            </w:pPr>
            <w:r>
              <w:rPr>
                <w:rFonts w:ascii="Times New Roman" w:hAnsi="Times New Roman"/>
                <w:b/>
                <w:sz w:val="24"/>
              </w:rPr>
              <w:t>An axis-resolved characterisation of daily FX predictability</w:t>
            </w:r>
            <w:r>
              <w:rPr>
                <w:rFonts w:ascii="Times New Roman" w:hAnsi="Times New Roman"/>
                <w:sz w:val="24"/>
              </w:rPr>
              <w:t>, establishing where skill exists and where it does not, under a single protocol applied uniformly across all information layers. Results obtained and frozen to date indicate positive and statistically significant skill on the magnitude axis and no detectable skill on the direction axis across twelve independent discovery branches, including four independent representations of price history and of official central-bank communication; the thesis will complete this analysis at the remaining horizons and confirm it on the sealed evaluation set, which has not yet been opened.</w:t>
            </w:r>
          </w:p>
          <w:p>
            <w:pPr>
              <w:pStyle w:val="ListBullet"/>
              <w:spacing w:after="60"/>
              <w:ind w:left="454"/>
              <w:jc w:val="both"/>
            </w:pPr>
            <w:r>
              <w:rPr>
                <w:rFonts w:ascii="Times New Roman" w:hAnsi="Times New Roman"/>
                <w:b/>
                <w:sz w:val="24"/>
              </w:rPr>
              <w:t>A systematic benchmark of model complexity for FX volatility forecasting</w:t>
            </w:r>
            <w:r>
              <w:rPr>
                <w:rFonts w:ascii="Times New Roman" w:hAnsi="Times New Roman"/>
                <w:sz w:val="24"/>
              </w:rPr>
              <w:t>, covering linear, tree-based, recurrent, attention-based, tabular-foundation and time-series-foundation models, together with exhaustive forecast combinations, evaluated with proper scoring rules and model confidence sets.</w:t>
            </w:r>
          </w:p>
          <w:p>
            <w:pPr>
              <w:pStyle w:val="ListBullet"/>
              <w:spacing w:after="60"/>
              <w:ind w:left="454"/>
              <w:jc w:val="both"/>
            </w:pPr>
            <w:r>
              <w:rPr>
                <w:rFonts w:ascii="Times New Roman" w:hAnsi="Times New Roman"/>
                <w:b/>
                <w:sz w:val="24"/>
              </w:rPr>
              <w:t>An empirical comparison of causal filtering against ordinary feature selection.</w:t>
            </w:r>
            <w:r>
              <w:rPr>
                <w:rFonts w:ascii="Times New Roman" w:hAnsi="Times New Roman"/>
                <w:sz w:val="24"/>
              </w:rPr>
              <w:t xml:space="preserve"> A completed, frozen ablation — its sealed-set evaluation deliberately not opened, per the pre-registered rule that a non-positive development-test verdict does not warrant it (Introduction) — shows that variables filtered by temporal-causal testing with a stability screen degrade substantially less out of sample than variables selected by validation performance, with the mechanism identified and measured as distribution drift in the selected macroeconomic variables. This comparison appears to be underexplored in the FX forecasting literature.</w:t>
            </w:r>
          </w:p>
          <w:p>
            <w:pPr>
              <w:pStyle w:val="ListBullet"/>
              <w:spacing w:after="60"/>
              <w:ind w:left="454"/>
              <w:jc w:val="both"/>
            </w:pPr>
            <w:r>
              <w:rPr>
                <w:rFonts w:ascii="Times New Roman" w:hAnsi="Times New Roman"/>
                <w:b/>
                <w:sz w:val="24"/>
              </w:rPr>
              <w:t>A five-method causal triangulation, and an honest split between its two roles.</w:t>
            </w:r>
            <w:r>
              <w:rPr>
                <w:rFonts w:ascii="Times New Roman" w:hAnsi="Times New Roman"/>
                <w:sz w:val="24"/>
              </w:rPr>
              <w:t xml:space="preserve"> Granger+Westfall–Young, PCMCI, Double Machine Learning, Causal Forest, and CausalImpact independently converge on the same variable (VIX) and concretely demonstrate the mechanism — simultaneous conditioning in PCMCI — that separates it from a confound (gold-implied volatility) that looks causal only until conditioned on VIX. The validation role of this triangulation (deciding which exogenous variable is trusted) is complete and already load-bearing in the frozen feature set; its forecast-performance role (directly adjusting the production forecast) was tested and found not yet statistically effective in any of the six development pairs, and is reported as a negative finding rather than folded into a claimed improvement (Proposed Method and System Architecture; Deferred / Future Work).</w:t>
            </w:r>
          </w:p>
          <w:p>
            <w:pPr>
              <w:pStyle w:val="ListBullet"/>
              <w:spacing w:after="60"/>
              <w:ind w:left="454"/>
              <w:jc w:val="both"/>
            </w:pPr>
            <w:r>
              <w:rPr>
                <w:rFonts w:ascii="Times New Roman" w:hAnsi="Times New Roman"/>
                <w:b/>
                <w:sz w:val="24"/>
              </w:rPr>
              <w:t>Power-bounded negative evidence.</w:t>
            </w:r>
            <w:r>
              <w:rPr>
                <w:rFonts w:ascii="Times New Roman" w:hAnsi="Times New Roman"/>
                <w:sz w:val="24"/>
              </w:rPr>
              <w:t xml:space="preserve"> Each negative finding will be reported together with the minimum effect size detectable by the corresponding procedure, converting statements of the form "no relationship was found" into bounded claims of the form "no relationship stronger than </w:t>
            </w:r>
            <w:r>
              <w:rPr>
                <w:rFonts w:ascii="Times New Roman" w:hAnsi="Times New Roman"/>
                <w:i/>
                <w:sz w:val="24"/>
              </w:rPr>
              <w:t>X</w:t>
            </w:r>
            <w:r>
              <w:rPr>
                <w:rFonts w:ascii="Times New Roman" w:hAnsi="Times New Roman"/>
                <w:sz w:val="24"/>
              </w:rPr>
              <w:t xml:space="preserve"> exists in these data".</w:t>
            </w:r>
          </w:p>
          <w:p>
            <w:pPr>
              <w:pStyle w:val="ListBullet"/>
              <w:spacing w:after="60"/>
              <w:ind w:left="454"/>
              <w:jc w:val="both"/>
            </w:pPr>
            <w:r>
              <w:rPr>
                <w:rFonts w:ascii="Times New Roman" w:hAnsi="Times New Roman"/>
                <w:b/>
                <w:sz w:val="24"/>
              </w:rPr>
              <w:t>Three applied contributions to risk-aware decision support</w:t>
            </w:r>
            <w:r>
              <w:rPr>
                <w:rFonts w:ascii="Times New Roman" w:hAnsi="Times New Roman"/>
                <w:sz w:val="24"/>
              </w:rPr>
              <w:t>: a portfolio correlation factor for ruin-constrained sizing, quantifying the gap between the nominal and the realised probability of ruin when multiple correlated positions are opened simultaneously; a holding-horizon table on the decision record, addressing the systematic misreading of single-session stop-out probabilities; and a slippage coefficient estimated from observed stop-loss executions rather than assumed.</w:t>
            </w:r>
          </w:p>
          <w:p>
            <w:pPr>
              <w:pStyle w:val="ListBullet"/>
              <w:spacing w:after="60"/>
              <w:ind w:left="454"/>
              <w:jc w:val="both"/>
            </w:pPr>
            <w:r>
              <w:rPr>
                <w:rFonts w:ascii="Times New Roman" w:hAnsi="Times New Roman"/>
                <w:b/>
                <w:sz w:val="24"/>
              </w:rPr>
              <w:t>A reproducible research record</w:t>
            </w:r>
            <w:r>
              <w:rPr>
                <w:rFonts w:ascii="Times New Roman" w:hAnsi="Times New Roman"/>
                <w:sz w:val="24"/>
              </w:rPr>
              <w:t xml:space="preserve"> containing the full data dictionary, the sealed-set protocol, the registry of every model configuration and hypothesis evaluated, and reproduction commands for every reported number, including all negative results.</w:t>
            </w:r>
          </w:p>
          <w:p>
            <w:pPr>
              <w:pStyle w:val="ListBullet"/>
              <w:spacing w:after="60"/>
              <w:ind w:left="454"/>
              <w:jc w:val="both"/>
            </w:pPr>
            <w:r>
              <w:rPr>
                <w:rFonts w:ascii="Times New Roman" w:hAnsi="Times New Roman"/>
                <w:b/>
                <w:sz w:val="24"/>
              </w:rPr>
              <w:t>A documented, versioned software architecture</w:t>
            </w:r>
            <w:r>
              <w:rPr>
                <w:rFonts w:ascii="Times New Roman" w:hAnsi="Times New Roman"/>
                <w:sz w:val="24"/>
              </w:rPr>
              <w:t xml:space="preserve"> — the five-layer data pipeline, computation layer, API, and web application specified in Proposed Method and System Architecture — with an explicit module contract between every layer, so that the engineering contribution (how the numbers are produced, versioned, and served without the static and live deployments diverging) is itself reported and defensible, not only the numbers it serves.</w:t>
            </w:r>
          </w:p>
        </w:tc>
      </w:tr>
      <w:tr>
        <w:tc>
          <w:tcPr>
            <w:tcW w:type="dxa" w:w="9973"/>
          </w:tcPr>
          <w:p>
            <w:pPr>
              <w:spacing w:after="100"/>
            </w:pPr>
            <w:r>
              <w:rPr>
                <w:rFonts w:ascii="Times New Roman" w:hAnsi="Times New Roman"/>
                <w:b/>
                <w:sz w:val="24"/>
              </w:rPr>
              <w:t>References:</w:t>
            </w:r>
          </w:p>
          <w:p>
            <w:pPr>
              <w:spacing w:after="100"/>
              <w:ind w:firstLine="340"/>
              <w:jc w:val="both"/>
            </w:pPr>
            <w:r>
              <w:rPr>
                <w:rFonts w:ascii="Times New Roman" w:hAnsi="Times New Roman"/>
                <w:sz w:val="24"/>
              </w:rPr>
              <w:t xml:space="preserve">[1] R. A. Meese and K. Rogoff, "Empirical exchange rate models of the seventies: Do they fit out of sample?," </w:t>
            </w:r>
            <w:r>
              <w:rPr>
                <w:rFonts w:ascii="Times New Roman" w:hAnsi="Times New Roman"/>
                <w:i/>
                <w:sz w:val="24"/>
              </w:rPr>
              <w:t>Journal of International Economics</w:t>
            </w:r>
            <w:r>
              <w:rPr>
                <w:rFonts w:ascii="Times New Roman" w:hAnsi="Times New Roman"/>
                <w:sz w:val="24"/>
              </w:rPr>
              <w:t>, vol. 14, no. 1–2, pp. 3–24, 1983, doi: 10.1016/0022-1996(83)90017-X.</w:t>
            </w:r>
          </w:p>
          <w:p>
            <w:pPr>
              <w:spacing w:after="100"/>
              <w:ind w:firstLine="340"/>
              <w:jc w:val="both"/>
            </w:pPr>
            <w:r>
              <w:rPr>
                <w:rFonts w:ascii="Times New Roman" w:hAnsi="Times New Roman"/>
                <w:sz w:val="24"/>
              </w:rPr>
              <w:t xml:space="preserve">[2] P.-H. Hsu, M. P. Taylor, and Z. Wang, "Technical trading: Is it still beating the foreign exchange market?," </w:t>
            </w:r>
            <w:r>
              <w:rPr>
                <w:rFonts w:ascii="Times New Roman" w:hAnsi="Times New Roman"/>
                <w:i/>
                <w:sz w:val="24"/>
              </w:rPr>
              <w:t>Journal of International Economics</w:t>
            </w:r>
            <w:r>
              <w:rPr>
                <w:rFonts w:ascii="Times New Roman" w:hAnsi="Times New Roman"/>
                <w:sz w:val="24"/>
              </w:rPr>
              <w:t>, vol. 102, pp. 188–208, 2016, doi: 10.1016/j.jinteco.2016.03.012.</w:t>
            </w:r>
          </w:p>
          <w:p>
            <w:pPr>
              <w:spacing w:after="100"/>
              <w:ind w:firstLine="340"/>
              <w:jc w:val="both"/>
            </w:pPr>
            <w:r>
              <w:rPr>
                <w:rFonts w:ascii="Times New Roman" w:hAnsi="Times New Roman"/>
                <w:sz w:val="24"/>
              </w:rPr>
              <w:t xml:space="preserve">[3] M. C. Hutchinson, P. E. Kyziropoulos, J. O'Brien, P. O'Reilly, and T. Sharma, "Technical trading rule profitability in currencies: It's all about momentum," </w:t>
            </w:r>
            <w:r>
              <w:rPr>
                <w:rFonts w:ascii="Times New Roman" w:hAnsi="Times New Roman"/>
                <w:i/>
                <w:sz w:val="24"/>
              </w:rPr>
              <w:t>Research in International Business and Finance</w:t>
            </w:r>
            <w:r>
              <w:rPr>
                <w:rFonts w:ascii="Times New Roman" w:hAnsi="Times New Roman"/>
                <w:sz w:val="24"/>
              </w:rPr>
              <w:t>, vol. 63, Art. no. 101779, 2022, doi: 10.1016/j.ribaf.2022.101779.</w:t>
            </w:r>
          </w:p>
          <w:p>
            <w:pPr>
              <w:spacing w:after="100"/>
              <w:ind w:firstLine="340"/>
              <w:jc w:val="both"/>
            </w:pPr>
            <w:r>
              <w:rPr>
                <w:rFonts w:ascii="Times New Roman" w:hAnsi="Times New Roman"/>
                <w:sz w:val="24"/>
              </w:rPr>
              <w:t xml:space="preserve">[4] P. H. Westfall and S. S. Young, </w:t>
            </w:r>
            <w:r>
              <w:rPr>
                <w:rFonts w:ascii="Times New Roman" w:hAnsi="Times New Roman"/>
                <w:i/>
                <w:sz w:val="24"/>
              </w:rPr>
              <w:t>Resampling-Based Multiple Testing: Examples and Methods for p-Value Adjustment</w:t>
            </w:r>
            <w:r>
              <w:rPr>
                <w:rFonts w:ascii="Times New Roman" w:hAnsi="Times New Roman"/>
                <w:sz w:val="24"/>
              </w:rPr>
              <w:t>. New York, NY, USA: John Wiley &amp; Sons, 1993.</w:t>
            </w:r>
          </w:p>
          <w:p>
            <w:pPr>
              <w:spacing w:after="100"/>
              <w:ind w:firstLine="340"/>
              <w:jc w:val="both"/>
            </w:pPr>
            <w:r>
              <w:rPr>
                <w:rFonts w:ascii="Times New Roman" w:hAnsi="Times New Roman"/>
                <w:sz w:val="24"/>
              </w:rPr>
              <w:t xml:space="preserve">[5] P. R. Hansen, "A test for superior predictive ability," </w:t>
            </w:r>
            <w:r>
              <w:rPr>
                <w:rFonts w:ascii="Times New Roman" w:hAnsi="Times New Roman"/>
                <w:i/>
                <w:sz w:val="24"/>
              </w:rPr>
              <w:t>Journal of Business &amp; Economic Statistics</w:t>
            </w:r>
            <w:r>
              <w:rPr>
                <w:rFonts w:ascii="Times New Roman" w:hAnsi="Times New Roman"/>
                <w:sz w:val="24"/>
              </w:rPr>
              <w:t>, vol. 23, no. 4, pp. 365–380, 2005, doi: 10.1198/073500105000000063.</w:t>
            </w:r>
          </w:p>
          <w:p>
            <w:pPr>
              <w:spacing w:after="100"/>
              <w:ind w:firstLine="340"/>
              <w:jc w:val="both"/>
            </w:pPr>
            <w:r>
              <w:rPr>
                <w:rFonts w:ascii="Times New Roman" w:hAnsi="Times New Roman"/>
                <w:sz w:val="24"/>
              </w:rPr>
              <w:t xml:space="preserve">[6] W. Hämäläinen and G. I. Webb, "A tutorial on statistically sound pattern discovery," </w:t>
            </w:r>
            <w:r>
              <w:rPr>
                <w:rFonts w:ascii="Times New Roman" w:hAnsi="Times New Roman"/>
                <w:i/>
                <w:sz w:val="24"/>
              </w:rPr>
              <w:t>Data Mining and Knowledge Discovery</w:t>
            </w:r>
            <w:r>
              <w:rPr>
                <w:rFonts w:ascii="Times New Roman" w:hAnsi="Times New Roman"/>
                <w:sz w:val="24"/>
              </w:rPr>
              <w:t>, vol. 33, no. 2, pp. 325–377, 2019, doi: 10.1007/s10618-018-0590-x.</w:t>
            </w:r>
          </w:p>
          <w:p>
            <w:pPr>
              <w:spacing w:after="100"/>
              <w:ind w:firstLine="340"/>
              <w:jc w:val="both"/>
            </w:pPr>
            <w:r>
              <w:rPr>
                <w:rFonts w:ascii="Times New Roman" w:hAnsi="Times New Roman"/>
                <w:sz w:val="24"/>
              </w:rPr>
              <w:t xml:space="preserve">[7] F. Corsi, "A simple approximate long-memory model of realized volatility," </w:t>
            </w:r>
            <w:r>
              <w:rPr>
                <w:rFonts w:ascii="Times New Roman" w:hAnsi="Times New Roman"/>
                <w:i/>
                <w:sz w:val="24"/>
              </w:rPr>
              <w:t>Journal of Financial Econometrics</w:t>
            </w:r>
            <w:r>
              <w:rPr>
                <w:rFonts w:ascii="Times New Roman" w:hAnsi="Times New Roman"/>
                <w:sz w:val="24"/>
              </w:rPr>
              <w:t>, vol. 7, no. 2, pp. 174–196, 2009, doi: 10.1093/jjfinec/nbp001.</w:t>
            </w:r>
          </w:p>
          <w:p>
            <w:pPr>
              <w:spacing w:after="100"/>
              <w:ind w:firstLine="340"/>
              <w:jc w:val="both"/>
            </w:pPr>
            <w:r>
              <w:rPr>
                <w:rFonts w:ascii="Times New Roman" w:hAnsi="Times New Roman"/>
                <w:sz w:val="24"/>
              </w:rPr>
              <w:t xml:space="preserve">[8] T. Bollerslev, A. J. Patton, and R. Quaedvlieg, "Exploiting the errors: A simple approach for improved volatility forecasting," </w:t>
            </w:r>
            <w:r>
              <w:rPr>
                <w:rFonts w:ascii="Times New Roman" w:hAnsi="Times New Roman"/>
                <w:i/>
                <w:sz w:val="24"/>
              </w:rPr>
              <w:t>Journal of Econometrics</w:t>
            </w:r>
            <w:r>
              <w:rPr>
                <w:rFonts w:ascii="Times New Roman" w:hAnsi="Times New Roman"/>
                <w:sz w:val="24"/>
              </w:rPr>
              <w:t>, vol. 192, no. 1, pp. 1–18, 2016, doi: 10.1016/j.jeconom.2015.10.007.</w:t>
            </w:r>
          </w:p>
          <w:p>
            <w:pPr>
              <w:spacing w:after="100"/>
              <w:ind w:firstLine="340"/>
              <w:jc w:val="both"/>
            </w:pPr>
            <w:r>
              <w:rPr>
                <w:rFonts w:ascii="Times New Roman" w:hAnsi="Times New Roman"/>
                <w:sz w:val="24"/>
              </w:rPr>
              <w:t xml:space="preserve">[9] O. E. Barndorff-Nielsen and N. Shephard, "Power and bipower variation with stochastic volatility and jumps," </w:t>
            </w:r>
            <w:r>
              <w:rPr>
                <w:rFonts w:ascii="Times New Roman" w:hAnsi="Times New Roman"/>
                <w:i/>
                <w:sz w:val="24"/>
              </w:rPr>
              <w:t>Journal of Financial Econometrics</w:t>
            </w:r>
            <w:r>
              <w:rPr>
                <w:rFonts w:ascii="Times New Roman" w:hAnsi="Times New Roman"/>
                <w:sz w:val="24"/>
              </w:rPr>
              <w:t>, vol. 2, no. 1, pp. 1–37, 2004, doi: 10.1093/jjfinec/nbh001.</w:t>
            </w:r>
          </w:p>
          <w:p>
            <w:pPr>
              <w:spacing w:after="100"/>
              <w:ind w:firstLine="340"/>
              <w:jc w:val="both"/>
            </w:pPr>
            <w:r>
              <w:rPr>
                <w:rFonts w:ascii="Times New Roman" w:hAnsi="Times New Roman"/>
                <w:sz w:val="24"/>
              </w:rPr>
              <w:t xml:space="preserve">[10] R. R. Branco, A. Rubesam, and M. Zevallos, "Forecasting realized volatility: Does anything beat linear models?," </w:t>
            </w:r>
            <w:r>
              <w:rPr>
                <w:rFonts w:ascii="Times New Roman" w:hAnsi="Times New Roman"/>
                <w:i/>
                <w:sz w:val="24"/>
              </w:rPr>
              <w:t>Journal of Empirical Finance</w:t>
            </w:r>
            <w:r>
              <w:rPr>
                <w:rFonts w:ascii="Times New Roman" w:hAnsi="Times New Roman"/>
                <w:sz w:val="24"/>
              </w:rPr>
              <w:t>, vol. 78, Art. no. 101524, 2024, doi: 10.1016/j.jempfin.2024.101524.</w:t>
            </w:r>
          </w:p>
          <w:p>
            <w:pPr>
              <w:spacing w:after="100"/>
              <w:ind w:firstLine="340"/>
              <w:jc w:val="both"/>
            </w:pPr>
            <w:r>
              <w:rPr>
                <w:rFonts w:ascii="Times New Roman" w:hAnsi="Times New Roman"/>
                <w:sz w:val="24"/>
              </w:rPr>
              <w:t>[11] A. Brini, "Forecasting realized volatility with time series foundation models: A comparison with econometric benchmarks," arXiv:2607.05291, 2026. [Online]. Available: https://arxiv.org/abs/2607.05291</w:t>
            </w:r>
          </w:p>
          <w:p>
            <w:pPr>
              <w:spacing w:after="100"/>
              <w:ind w:firstLine="340"/>
              <w:jc w:val="both"/>
            </w:pPr>
            <w:r>
              <w:rPr>
                <w:rFonts w:ascii="Times New Roman" w:hAnsi="Times New Roman"/>
                <w:sz w:val="24"/>
              </w:rPr>
              <w:t xml:space="preserve">[12] P. R. Hansen, A. Lunde, and J. M. Nason, "The model confidence set," </w:t>
            </w:r>
            <w:r>
              <w:rPr>
                <w:rFonts w:ascii="Times New Roman" w:hAnsi="Times New Roman"/>
                <w:i/>
                <w:sz w:val="24"/>
              </w:rPr>
              <w:t>Econometrica</w:t>
            </w:r>
            <w:r>
              <w:rPr>
                <w:rFonts w:ascii="Times New Roman" w:hAnsi="Times New Roman"/>
                <w:sz w:val="24"/>
              </w:rPr>
              <w:t>, vol. 79, no. 2, pp. 453–497, 2011, doi: 10.3982/ECTA5771.</w:t>
            </w:r>
          </w:p>
          <w:p>
            <w:pPr>
              <w:spacing w:after="100"/>
              <w:ind w:firstLine="340"/>
              <w:jc w:val="both"/>
            </w:pPr>
            <w:r>
              <w:rPr>
                <w:rFonts w:ascii="Times New Roman" w:hAnsi="Times New Roman"/>
                <w:sz w:val="24"/>
              </w:rPr>
              <w:t xml:space="preserve">[13] Y. Freund and R. E. Schapire, "A decision-theoretic generalization of on-line learning and an application to boosting," </w:t>
            </w:r>
            <w:r>
              <w:rPr>
                <w:rFonts w:ascii="Times New Roman" w:hAnsi="Times New Roman"/>
                <w:i/>
                <w:sz w:val="24"/>
              </w:rPr>
              <w:t>Journal of Computer and System Sciences</w:t>
            </w:r>
            <w:r>
              <w:rPr>
                <w:rFonts w:ascii="Times New Roman" w:hAnsi="Times New Roman"/>
                <w:sz w:val="24"/>
              </w:rPr>
              <w:t>, vol. 55, no. 1, pp. 119–139, 1997, doi: 10.1006/jcss.1997.1504.</w:t>
            </w:r>
          </w:p>
          <w:p>
            <w:pPr>
              <w:spacing w:after="100"/>
              <w:ind w:firstLine="340"/>
              <w:jc w:val="both"/>
            </w:pPr>
            <w:r>
              <w:rPr>
                <w:rFonts w:ascii="Times New Roman" w:hAnsi="Times New Roman"/>
                <w:sz w:val="24"/>
              </w:rPr>
              <w:t xml:space="preserve">[14] N. Hollmann, S. Müller, L. Purucker, A. Krishnakumar, M. Körfer, S. B. Hoo, R. T. Schirrmeister, and F. Hutter, "Accurate predictions on small data with a tabular foundation model," </w:t>
            </w:r>
            <w:r>
              <w:rPr>
                <w:rFonts w:ascii="Times New Roman" w:hAnsi="Times New Roman"/>
                <w:i/>
                <w:sz w:val="24"/>
              </w:rPr>
              <w:t>Nature</w:t>
            </w:r>
            <w:r>
              <w:rPr>
                <w:rFonts w:ascii="Times New Roman" w:hAnsi="Times New Roman"/>
                <w:sz w:val="24"/>
              </w:rPr>
              <w:t>, vol. 637, pp. 319–326, 2025, doi: 10.1038/s41586-024-08328-6.</w:t>
            </w:r>
          </w:p>
          <w:p>
            <w:pPr>
              <w:spacing w:after="100"/>
              <w:ind w:firstLine="340"/>
              <w:jc w:val="both"/>
            </w:pPr>
            <w:r>
              <w:rPr>
                <w:rFonts w:ascii="Times New Roman" w:hAnsi="Times New Roman"/>
                <w:sz w:val="24"/>
              </w:rPr>
              <w:t xml:space="preserve">[15] A. J. Patton, "Volatility forecast comparison using imperfect volatility proxies," </w:t>
            </w:r>
            <w:r>
              <w:rPr>
                <w:rFonts w:ascii="Times New Roman" w:hAnsi="Times New Roman"/>
                <w:i/>
                <w:sz w:val="24"/>
              </w:rPr>
              <w:t>Journal of Econometrics</w:t>
            </w:r>
            <w:r>
              <w:rPr>
                <w:rFonts w:ascii="Times New Roman" w:hAnsi="Times New Roman"/>
                <w:sz w:val="24"/>
              </w:rPr>
              <w:t>, vol. 160, no. 1, pp. 246–256, 2011, doi: 10.1016/j.jeconom.2010.03.034.</w:t>
            </w:r>
          </w:p>
          <w:p>
            <w:pPr>
              <w:spacing w:after="100"/>
              <w:ind w:firstLine="340"/>
              <w:jc w:val="both"/>
            </w:pPr>
            <w:r>
              <w:rPr>
                <w:rFonts w:ascii="Times New Roman" w:hAnsi="Times New Roman"/>
                <w:sz w:val="24"/>
              </w:rPr>
              <w:t xml:space="preserve">[16] T. Gneiting and A. E. Raftery, "Strictly proper scoring rules, prediction, and estimation," </w:t>
            </w:r>
            <w:r>
              <w:rPr>
                <w:rFonts w:ascii="Times New Roman" w:hAnsi="Times New Roman"/>
                <w:i/>
                <w:sz w:val="24"/>
              </w:rPr>
              <w:t>Journal of the American Statistical Association</w:t>
            </w:r>
            <w:r>
              <w:rPr>
                <w:rFonts w:ascii="Times New Roman" w:hAnsi="Times New Roman"/>
                <w:sz w:val="24"/>
              </w:rPr>
              <w:t>, vol. 102, no. 477, pp. 359–378, 2007, doi: 10.1198/016214506000001437.</w:t>
            </w:r>
          </w:p>
          <w:p>
            <w:pPr>
              <w:spacing w:after="100"/>
              <w:ind w:firstLine="340"/>
              <w:jc w:val="both"/>
            </w:pPr>
            <w:r>
              <w:rPr>
                <w:rFonts w:ascii="Times New Roman" w:hAnsi="Times New Roman"/>
                <w:sz w:val="24"/>
              </w:rPr>
              <w:t xml:space="preserve">[17] F. X. Diebold and R. S. Mariano, "Comparing predictive accuracy," </w:t>
            </w:r>
            <w:r>
              <w:rPr>
                <w:rFonts w:ascii="Times New Roman" w:hAnsi="Times New Roman"/>
                <w:i/>
                <w:sz w:val="24"/>
              </w:rPr>
              <w:t>Journal of Business &amp; Economic Statistics</w:t>
            </w:r>
            <w:r>
              <w:rPr>
                <w:rFonts w:ascii="Times New Roman" w:hAnsi="Times New Roman"/>
                <w:sz w:val="24"/>
              </w:rPr>
              <w:t>, vol. 13, no. 3, pp. 253–263, 1995, doi: 10.1080/07350015.1995.10524599.</w:t>
            </w:r>
          </w:p>
          <w:p>
            <w:pPr>
              <w:spacing w:after="100"/>
              <w:ind w:firstLine="340"/>
              <w:jc w:val="both"/>
            </w:pPr>
            <w:r>
              <w:rPr>
                <w:rFonts w:ascii="Times New Roman" w:hAnsi="Times New Roman"/>
                <w:sz w:val="24"/>
              </w:rPr>
              <w:t xml:space="preserve">[18] J. Runge, P. Nowack, M. Kretschmer, S. Flaxman, and D. Sejdinovic, "Detecting and quantifying causal associations in large nonlinear time series datasets," </w:t>
            </w:r>
            <w:r>
              <w:rPr>
                <w:rFonts w:ascii="Times New Roman" w:hAnsi="Times New Roman"/>
                <w:i/>
                <w:sz w:val="24"/>
              </w:rPr>
              <w:t>Science Advances</w:t>
            </w:r>
            <w:r>
              <w:rPr>
                <w:rFonts w:ascii="Times New Roman" w:hAnsi="Times New Roman"/>
                <w:sz w:val="24"/>
              </w:rPr>
              <w:t>, vol. 5, no. 11, Art. no. eaau4996, 2019, doi: 10.1126/sciadv.aau4996.</w:t>
            </w:r>
          </w:p>
          <w:p>
            <w:pPr>
              <w:spacing w:after="100"/>
              <w:ind w:firstLine="340"/>
              <w:jc w:val="both"/>
            </w:pPr>
            <w:r>
              <w:rPr>
                <w:rFonts w:ascii="Times New Roman" w:hAnsi="Times New Roman"/>
                <w:sz w:val="24"/>
              </w:rPr>
              <w:t xml:space="preserve">[19] I. Gibbs and E. Candès, "Adaptive conformal inference under distribution shift," in </w:t>
            </w:r>
            <w:r>
              <w:rPr>
                <w:rFonts w:ascii="Times New Roman" w:hAnsi="Times New Roman"/>
                <w:i/>
                <w:sz w:val="24"/>
              </w:rPr>
              <w:t>Proc. 35th Conf. Neural Information Processing Systems (NeurIPS)</w:t>
            </w:r>
            <w:r>
              <w:rPr>
                <w:rFonts w:ascii="Times New Roman" w:hAnsi="Times New Roman"/>
                <w:sz w:val="24"/>
              </w:rPr>
              <w:t>, 2021, pp. 1660–1672.</w:t>
            </w:r>
          </w:p>
          <w:p>
            <w:pPr>
              <w:spacing w:after="100"/>
              <w:ind w:firstLine="340"/>
              <w:jc w:val="both"/>
            </w:pPr>
            <w:r>
              <w:rPr>
                <w:rFonts w:ascii="Times New Roman" w:hAnsi="Times New Roman"/>
                <w:sz w:val="24"/>
              </w:rPr>
              <w:t xml:space="preserve">[20] A. N. Angelopoulos and S. Bates, "Conformal prediction: A gentle introduction," </w:t>
            </w:r>
            <w:r>
              <w:rPr>
                <w:rFonts w:ascii="Times New Roman" w:hAnsi="Times New Roman"/>
                <w:i/>
                <w:sz w:val="24"/>
              </w:rPr>
              <w:t>Foundations and Trends in Machine Learning</w:t>
            </w:r>
            <w:r>
              <w:rPr>
                <w:rFonts w:ascii="Times New Roman" w:hAnsi="Times New Roman"/>
                <w:sz w:val="24"/>
              </w:rPr>
              <w:t>, vol. 16, no. 4, pp. 494–591, 2023, doi: 10.1561/2200000101.</w:t>
            </w:r>
          </w:p>
          <w:p>
            <w:pPr>
              <w:spacing w:after="100"/>
              <w:ind w:firstLine="340"/>
              <w:jc w:val="both"/>
            </w:pPr>
            <w:r>
              <w:rPr>
                <w:rFonts w:ascii="Times New Roman" w:hAnsi="Times New Roman"/>
                <w:sz w:val="24"/>
              </w:rPr>
              <w:t xml:space="preserve">[21] P. H. Kupiec, "Techniques for verifying the accuracy of risk measurement models," </w:t>
            </w:r>
            <w:r>
              <w:rPr>
                <w:rFonts w:ascii="Times New Roman" w:hAnsi="Times New Roman"/>
                <w:i/>
                <w:sz w:val="24"/>
              </w:rPr>
              <w:t>The Journal of Derivatives</w:t>
            </w:r>
            <w:r>
              <w:rPr>
                <w:rFonts w:ascii="Times New Roman" w:hAnsi="Times New Roman"/>
                <w:sz w:val="24"/>
              </w:rPr>
              <w:t>, vol. 3, no. 2, pp. 73–84, 1995, doi: 10.3905/jod.1995.407942.</w:t>
            </w:r>
          </w:p>
          <w:p>
            <w:pPr>
              <w:spacing w:after="100"/>
              <w:ind w:firstLine="340"/>
              <w:jc w:val="both"/>
            </w:pPr>
            <w:r>
              <w:rPr>
                <w:rFonts w:ascii="Times New Roman" w:hAnsi="Times New Roman"/>
                <w:sz w:val="24"/>
              </w:rPr>
              <w:t xml:space="preserve">[22] P. F. Christoffersen, "Evaluating interval forecasts," </w:t>
            </w:r>
            <w:r>
              <w:rPr>
                <w:rFonts w:ascii="Times New Roman" w:hAnsi="Times New Roman"/>
                <w:i/>
                <w:sz w:val="24"/>
              </w:rPr>
              <w:t>International Economic Review</w:t>
            </w:r>
            <w:r>
              <w:rPr>
                <w:rFonts w:ascii="Times New Roman" w:hAnsi="Times New Roman"/>
                <w:sz w:val="24"/>
              </w:rPr>
              <w:t>, vol. 39, no. 4, pp. 841–862, 1998, doi: 10.2307/2527341.</w:t>
            </w:r>
          </w:p>
          <w:p>
            <w:pPr>
              <w:spacing w:after="100"/>
              <w:ind w:firstLine="340"/>
              <w:jc w:val="both"/>
            </w:pPr>
            <w:r>
              <w:rPr>
                <w:rFonts w:ascii="Times New Roman" w:hAnsi="Times New Roman"/>
                <w:sz w:val="24"/>
              </w:rPr>
              <w:t xml:space="preserve">[23] R. F. Engle and S. Manganelli, "CAViaR: Conditional autoregressive value at risk by regression quantiles," </w:t>
            </w:r>
            <w:r>
              <w:rPr>
                <w:rFonts w:ascii="Times New Roman" w:hAnsi="Times New Roman"/>
                <w:i/>
                <w:sz w:val="24"/>
              </w:rPr>
              <w:t>Journal of Business &amp; Economic Statistics</w:t>
            </w:r>
            <w:r>
              <w:rPr>
                <w:rFonts w:ascii="Times New Roman" w:hAnsi="Times New Roman"/>
                <w:sz w:val="24"/>
              </w:rPr>
              <w:t>, vol. 22, no. 4, pp. 367–381, 2004, doi: 10.1198/073500104000000370.</w:t>
            </w:r>
          </w:p>
          <w:p>
            <w:pPr>
              <w:spacing w:after="100"/>
              <w:ind w:firstLine="340"/>
              <w:jc w:val="both"/>
            </w:pPr>
            <w:r>
              <w:rPr>
                <w:rFonts w:ascii="Times New Roman" w:hAnsi="Times New Roman"/>
                <w:sz w:val="24"/>
              </w:rPr>
              <w:t xml:space="preserve">[24] A. J. Patton, J. F. Ziegel, and R. Chen, "Dynamic semiparametric models for expected shortfall (and value-at-risk)," </w:t>
            </w:r>
            <w:r>
              <w:rPr>
                <w:rFonts w:ascii="Times New Roman" w:hAnsi="Times New Roman"/>
                <w:i/>
                <w:sz w:val="24"/>
              </w:rPr>
              <w:t>Journal of Econometrics</w:t>
            </w:r>
            <w:r>
              <w:rPr>
                <w:rFonts w:ascii="Times New Roman" w:hAnsi="Times New Roman"/>
                <w:sz w:val="24"/>
              </w:rPr>
              <w:t>, vol. 211, no. 2, pp. 388–413, 2019, doi: 10.1016/j.jeconom.2018.10.008.</w:t>
            </w:r>
          </w:p>
          <w:p>
            <w:pPr>
              <w:spacing w:after="100"/>
              <w:ind w:firstLine="340"/>
              <w:jc w:val="both"/>
            </w:pPr>
            <w:r>
              <w:rPr>
                <w:rFonts w:ascii="Times New Roman" w:hAnsi="Times New Roman"/>
                <w:sz w:val="24"/>
              </w:rPr>
              <w:t xml:space="preserve">[25] J. L. Kelly, "A new interpretation of information rate," </w:t>
            </w:r>
            <w:r>
              <w:rPr>
                <w:rFonts w:ascii="Times New Roman" w:hAnsi="Times New Roman"/>
                <w:i/>
                <w:sz w:val="24"/>
              </w:rPr>
              <w:t>The Bell System Technical Journal</w:t>
            </w:r>
            <w:r>
              <w:rPr>
                <w:rFonts w:ascii="Times New Roman" w:hAnsi="Times New Roman"/>
                <w:sz w:val="24"/>
              </w:rPr>
              <w:t>, vol. 35, no. 4, pp. 917–926, 1956, doi: 10.1002/j.1538-7305.1956.tb03809.x.</w:t>
            </w:r>
          </w:p>
          <w:p>
            <w:pPr>
              <w:spacing w:after="100"/>
              <w:ind w:firstLine="340"/>
              <w:jc w:val="both"/>
            </w:pPr>
            <w:r>
              <w:rPr>
                <w:rFonts w:ascii="Times New Roman" w:hAnsi="Times New Roman"/>
                <w:sz w:val="24"/>
              </w:rPr>
              <w:t xml:space="preserve">[26] I. Orquín-Serrano, "Predictive power of adaptive candlestick patterns in Forex market. EURUSD case," </w:t>
            </w:r>
            <w:r>
              <w:rPr>
                <w:rFonts w:ascii="Times New Roman" w:hAnsi="Times New Roman"/>
                <w:i/>
                <w:sz w:val="24"/>
              </w:rPr>
              <w:t>Mathematics</w:t>
            </w:r>
            <w:r>
              <w:rPr>
                <w:rFonts w:ascii="Times New Roman" w:hAnsi="Times New Roman"/>
                <w:sz w:val="24"/>
              </w:rPr>
              <w:t>, vol. 8, no. 5, Art. no. 802, 2020, doi: 10.3390/math8050802.</w:t>
            </w:r>
          </w:p>
          <w:p>
            <w:pPr>
              <w:spacing w:after="100"/>
              <w:ind w:firstLine="340"/>
              <w:jc w:val="both"/>
            </w:pPr>
            <w:r>
              <w:rPr>
                <w:rFonts w:ascii="Times New Roman" w:hAnsi="Times New Roman"/>
                <w:sz w:val="24"/>
              </w:rPr>
              <w:t xml:space="preserve">[27] D. Arnott and G. Pervan, "A critical analysis of decision support systems research," </w:t>
            </w:r>
            <w:r>
              <w:rPr>
                <w:rFonts w:ascii="Times New Roman" w:hAnsi="Times New Roman"/>
                <w:i/>
                <w:sz w:val="24"/>
              </w:rPr>
              <w:t>Journal of Information Technology</w:t>
            </w:r>
            <w:r>
              <w:rPr>
                <w:rFonts w:ascii="Times New Roman" w:hAnsi="Times New Roman"/>
                <w:sz w:val="24"/>
              </w:rPr>
              <w:t>, vol. 20, no. 2, pp. 67–87, 2005, doi: 10.1057/palgrave.jit.2000035.</w:t>
            </w:r>
          </w:p>
          <w:p>
            <w:pPr>
              <w:spacing w:after="100"/>
              <w:ind w:firstLine="340"/>
              <w:jc w:val="both"/>
            </w:pPr>
            <w:r>
              <w:rPr>
                <w:rFonts w:ascii="Times New Roman" w:hAnsi="Times New Roman"/>
                <w:sz w:val="24"/>
              </w:rPr>
              <w:t xml:space="preserve">[28] K. H. Brodersen, F. Gallusser, J. Koehler, N. Remy, and S. L. Scott, "Inferring causal impact using Bayesian structural time-series models," </w:t>
            </w:r>
            <w:r>
              <w:rPr>
                <w:rFonts w:ascii="Times New Roman" w:hAnsi="Times New Roman"/>
                <w:i/>
                <w:sz w:val="24"/>
              </w:rPr>
              <w:t>Annals of Applied Statistics</w:t>
            </w:r>
            <w:r>
              <w:rPr>
                <w:rFonts w:ascii="Times New Roman" w:hAnsi="Times New Roman"/>
                <w:sz w:val="24"/>
              </w:rPr>
              <w:t>, vol. 9, no. 1, pp. 247–274, 2015, doi: 10.1214/14-AOAS788.</w:t>
            </w:r>
          </w:p>
          <w:p>
            <w:pPr>
              <w:spacing w:after="100"/>
              <w:ind w:firstLine="340"/>
              <w:jc w:val="both"/>
            </w:pPr>
            <w:r>
              <w:rPr>
                <w:rFonts w:ascii="Times New Roman" w:hAnsi="Times New Roman"/>
                <w:sz w:val="24"/>
              </w:rPr>
              <w:t xml:space="preserve">[29] J. Runge, A. Gerhardus, G. Varando, V. Eyring, and G. Camps-Valls, "Causal inference for time series," </w:t>
            </w:r>
            <w:r>
              <w:rPr>
                <w:rFonts w:ascii="Times New Roman" w:hAnsi="Times New Roman"/>
                <w:i/>
                <w:sz w:val="24"/>
              </w:rPr>
              <w:t>Nature Reviews Earth &amp; Environment</w:t>
            </w:r>
            <w:r>
              <w:rPr>
                <w:rFonts w:ascii="Times New Roman" w:hAnsi="Times New Roman"/>
                <w:sz w:val="24"/>
              </w:rPr>
              <w:t>, vol. 4, pp. 487–505, 2023, doi: 10.1038/s43017-023-00431-y.</w:t>
            </w:r>
          </w:p>
          <w:p>
            <w:pPr>
              <w:spacing w:after="100"/>
              <w:ind w:firstLine="340"/>
              <w:jc w:val="both"/>
            </w:pPr>
            <w:r>
              <w:rPr>
                <w:rFonts w:ascii="Times New Roman" w:hAnsi="Times New Roman"/>
                <w:sz w:val="24"/>
              </w:rPr>
              <w:t xml:space="preserve">[30] A. N. Angelopoulos, E. J. Candès, and R. J. Tibshirani, "Conformal PID control for time series prediction," in </w:t>
            </w:r>
            <w:r>
              <w:rPr>
                <w:rFonts w:ascii="Times New Roman" w:hAnsi="Times New Roman"/>
                <w:i/>
                <w:sz w:val="24"/>
              </w:rPr>
              <w:t>Advances in Neural Information Processing Systems (NeurIPS)</w:t>
            </w:r>
            <w:r>
              <w:rPr>
                <w:rFonts w:ascii="Times New Roman" w:hAnsi="Times New Roman"/>
                <w:sz w:val="24"/>
              </w:rPr>
              <w:t>, vol. 36, 2023. arXiv:2307.16895.</w:t>
            </w:r>
          </w:p>
          <w:p>
            <w:pPr>
              <w:spacing w:after="100"/>
              <w:ind w:firstLine="340"/>
              <w:jc w:val="both"/>
            </w:pPr>
            <w:r>
              <w:rPr>
                <w:rFonts w:ascii="Times New Roman" w:hAnsi="Times New Roman"/>
                <w:sz w:val="24"/>
              </w:rPr>
              <w:t>[31] S. Shankar, R. Garcia, J. M. Hellerstein, and A. G. Parameswaran, "Operationalizing machine learning: An interview study," arXiv:2209.09125, 2022.</w:t>
            </w:r>
          </w:p>
          <w:p>
            <w:pPr>
              <w:spacing w:after="100"/>
              <w:ind w:firstLine="340"/>
              <w:jc w:val="both"/>
            </w:pPr>
            <w:r>
              <w:rPr>
                <w:rFonts w:ascii="Times New Roman" w:hAnsi="Times New Roman"/>
                <w:sz w:val="24"/>
              </w:rPr>
              <w:t>[32] S. Karanam and J. Bhargav, "Microservice architecture patterns for scalable machine learning systems," arXiv:2603.13672, 2026.</w:t>
            </w:r>
          </w:p>
          <w:p>
            <w:pPr>
              <w:spacing w:after="100"/>
              <w:ind w:firstLine="340"/>
              <w:jc w:val="both"/>
            </w:pPr>
            <w:r>
              <w:rPr>
                <w:rFonts w:ascii="Times New Roman" w:hAnsi="Times New Roman"/>
                <w:sz w:val="24"/>
              </w:rPr>
              <w:t xml:space="preserve">[33] V. Chernozhukov, D. Chetverikov, M. Demirer, E. Duflo, C. Hansen, W. Newey, and J. Robins, "Double/debiased machine learning for treatment and structural parameters," </w:t>
            </w:r>
            <w:r>
              <w:rPr>
                <w:rFonts w:ascii="Times New Roman" w:hAnsi="Times New Roman"/>
                <w:i/>
                <w:sz w:val="24"/>
              </w:rPr>
              <w:t>The Econometrics Journal</w:t>
            </w:r>
            <w:r>
              <w:rPr>
                <w:rFonts w:ascii="Times New Roman" w:hAnsi="Times New Roman"/>
                <w:sz w:val="24"/>
              </w:rPr>
              <w:t>, vol. 21, no. 1, pp. C1–C68, 2018, doi: 10.1111/ectj.12097.</w:t>
            </w:r>
          </w:p>
          <w:p>
            <w:pPr>
              <w:spacing w:after="100"/>
              <w:ind w:firstLine="340"/>
              <w:jc w:val="both"/>
            </w:pPr>
            <w:r>
              <w:rPr>
                <w:rFonts w:ascii="Times New Roman" w:hAnsi="Times New Roman"/>
                <w:sz w:val="24"/>
              </w:rPr>
              <w:t xml:space="preserve">[34] S. Wager and S. Athey, "Estimation and inference of heterogeneous treatment effects using random forests," </w:t>
            </w:r>
            <w:r>
              <w:rPr>
                <w:rFonts w:ascii="Times New Roman" w:hAnsi="Times New Roman"/>
                <w:i/>
                <w:sz w:val="24"/>
              </w:rPr>
              <w:t>Journal of the American Statistical Association</w:t>
            </w:r>
            <w:r>
              <w:rPr>
                <w:rFonts w:ascii="Times New Roman" w:hAnsi="Times New Roman"/>
                <w:sz w:val="24"/>
              </w:rPr>
              <w:t>, vol. 113, no. 523, pp. 1228–1242, 2018, doi: 10.1080/01621459.2017.1319839.</w:t>
            </w:r>
          </w:p>
        </w:tc>
      </w:tr>
      <w:tr>
        <w:tc>
          <w:tcPr>
            <w:tcW w:type="dxa" w:w="9973"/>
          </w:tcPr>
          <w:p>
            <w:pPr>
              <w:spacing w:after="100"/>
            </w:pPr>
            <w:r>
              <w:rPr>
                <w:rFonts w:ascii="Times New Roman" w:hAnsi="Times New Roman"/>
                <w:b/>
                <w:sz w:val="24"/>
              </w:rPr>
              <w:t>Research Plan and Timeline:</w:t>
            </w:r>
          </w:p>
          <w:p>
            <w:pPr>
              <w:spacing w:after="100"/>
              <w:ind w:firstLine="340"/>
              <w:jc w:val="both"/>
            </w:pPr>
            <w:r>
              <w:rPr>
                <w:rFonts w:ascii="Times New Roman" w:hAnsi="Times New Roman"/>
                <w:sz w:val="24"/>
              </w:rPr>
              <w:t>Research timeline: 16 weeks.</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CellMar>
                <w:top w:w="40" w:type="dxa"/>
                <w:bottom w:w="40" w:type="dxa"/>
                <w:left w:w="80" w:type="dxa"/>
                <w:right w:w="80" w:type="dxa"/>
              </w:tblCellMar>
              <w:tblLayout w:type="fixed"/>
            </w:tblPr>
            <w:tblGrid>
              <w:gridCol w:w="794"/>
              <w:gridCol w:w="6350"/>
              <w:gridCol w:w="2041"/>
            </w:tblGrid>
            <w:tr>
              <w:trPr>
                <w:cantSplit/>
                <w:tblHeader/>
              </w:trPr>
              <w:tc>
                <w:tcPr>
                  <w:tcW w:type="dxa" w:w="794"/>
                </w:tcPr>
                <w:p>
                  <w:pPr>
                    <w:spacing w:after="20"/>
                    <w:jc w:val="left"/>
                  </w:pPr>
                  <w:r/>
                  <w:r>
                    <w:rPr>
                      <w:rFonts w:ascii="Times New Roman" w:hAnsi="Times New Roman"/>
                      <w:b/>
                      <w:sz w:val="21"/>
                    </w:rPr>
                    <w:t>No.</w:t>
                  </w:r>
                </w:p>
              </w:tc>
              <w:tc>
                <w:tcPr>
                  <w:tcW w:type="dxa" w:w="6350"/>
                </w:tcPr>
                <w:p>
                  <w:pPr>
                    <w:spacing w:after="20"/>
                    <w:jc w:val="left"/>
                  </w:pPr>
                  <w:r/>
                  <w:r>
                    <w:rPr>
                      <w:rFonts w:ascii="Times New Roman" w:hAnsi="Times New Roman"/>
                      <w:b/>
                      <w:sz w:val="21"/>
                    </w:rPr>
                    <w:t>Assignments</w:t>
                  </w:r>
                </w:p>
              </w:tc>
              <w:tc>
                <w:tcPr>
                  <w:tcW w:type="dxa" w:w="2041"/>
                </w:tcPr>
                <w:p>
                  <w:pPr>
                    <w:spacing w:after="20"/>
                    <w:jc w:val="left"/>
                  </w:pPr>
                  <w:r/>
                  <w:r>
                    <w:rPr>
                      <w:rFonts w:ascii="Times New Roman" w:hAnsi="Times New Roman"/>
                      <w:b/>
                      <w:sz w:val="21"/>
                    </w:rPr>
                    <w:t>Timeline</w:t>
                  </w:r>
                </w:p>
              </w:tc>
            </w:tr>
            <w:tr>
              <w:trPr>
                <w:cantSplit/>
              </w:trPr>
              <w:tc>
                <w:tcPr>
                  <w:tcW w:type="dxa" w:w="794"/>
                </w:tcPr>
                <w:p>
                  <w:pPr>
                    <w:spacing w:after="20"/>
                    <w:jc w:val="center"/>
                  </w:pPr>
                  <w:r/>
                  <w:r>
                    <w:rPr>
                      <w:rFonts w:ascii="Times New Roman" w:hAnsi="Times New Roman"/>
                      <w:sz w:val="21"/>
                    </w:rPr>
                    <w:t>1</w:t>
                  </w:r>
                </w:p>
              </w:tc>
              <w:tc>
                <w:tcPr>
                  <w:tcW w:type="dxa" w:w="6350"/>
                </w:tcPr>
                <w:p>
                  <w:pPr>
                    <w:spacing w:after="20"/>
                    <w:jc w:val="left"/>
                  </w:pPr>
                  <w:r/>
                  <w:r>
                    <w:rPr>
                      <w:rFonts w:ascii="Times New Roman" w:hAnsi="Times New Roman"/>
                      <w:sz w:val="21"/>
                    </w:rPr>
                    <w:t>– Consolidate the data pipeline and verify contiguity, session conventions and time-zone handling.</w:t>
                  </w:r>
                </w:p>
                <w:p>
                  <w:pPr>
                    <w:spacing w:after="20"/>
                    <w:jc w:val="left"/>
                  </w:pPr>
                  <w:r>
                    <w:rPr>
                      <w:rFonts w:ascii="Times New Roman" w:hAnsi="Times New Roman"/>
                      <w:sz w:val="21"/>
                    </w:rPr>
                    <w:t>– Fix the evaluation protocol: temporal partition, per-axis metrics, multiple-testing procedure, and sealed-set policy.</w:t>
                  </w:r>
                </w:p>
                <w:p>
                  <w:pPr>
                    <w:spacing w:after="20"/>
                    <w:jc w:val="left"/>
                  </w:pPr>
                  <w:r>
                    <w:rPr>
                      <w:rFonts w:ascii="Times New Roman" w:hAnsi="Times New Roman"/>
                      <w:sz w:val="21"/>
                    </w:rPr>
                    <w:t>– Reproduce all baseline results from a clean checkout.</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verify the already-operating daily pipeline job and its </w:t>
                  </w:r>
                  <w:r>
                    <w:rPr>
                      <w:rFonts w:ascii="Consolas" w:hAnsi="Consolas"/>
                      <w:sz w:val="21"/>
                    </w:rPr>
                    <w:t>/health</w:t>
                  </w:r>
                  <w:r>
                    <w:rPr>
                      <w:rFonts w:ascii="Times New Roman" w:hAnsi="Times New Roman"/>
                      <w:sz w:val="21"/>
                    </w:rPr>
                    <w:t>/</w:t>
                  </w:r>
                  <w:r>
                    <w:rPr>
                      <w:rFonts w:ascii="Consolas" w:hAnsi="Consolas"/>
                      <w:sz w:val="21"/>
                    </w:rPr>
                    <w:t>/meta</w:t>
                  </w:r>
                  <w:r>
                    <w:rPr>
                      <w:rFonts w:ascii="Times New Roman" w:hAnsi="Times New Roman"/>
                      <w:sz w:val="21"/>
                    </w:rPr>
                    <w:t xml:space="preserve"> diagnostics against the reproduced baseline; tag this state as the architecture's starting version.</w:t>
                  </w:r>
                </w:p>
              </w:tc>
              <w:tc>
                <w:tcPr>
                  <w:tcW w:type="dxa" w:w="2041"/>
                </w:tcPr>
                <w:p>
                  <w:pPr>
                    <w:spacing w:after="20"/>
                    <w:jc w:val="center"/>
                  </w:pPr>
                  <w:r/>
                  <w:r>
                    <w:rPr>
                      <w:rFonts w:ascii="Times New Roman" w:hAnsi="Times New Roman"/>
                      <w:sz w:val="21"/>
                    </w:rPr>
                    <w:t>Week 1–2</w:t>
                  </w:r>
                </w:p>
              </w:tc>
            </w:tr>
            <w:tr>
              <w:trPr>
                <w:cantSplit/>
              </w:trPr>
              <w:tc>
                <w:tcPr>
                  <w:tcW w:type="dxa" w:w="794"/>
                </w:tcPr>
                <w:p>
                  <w:pPr>
                    <w:spacing w:after="20"/>
                    <w:jc w:val="center"/>
                  </w:pPr>
                  <w:r/>
                  <w:r>
                    <w:rPr>
                      <w:rFonts w:ascii="Times New Roman" w:hAnsi="Times New Roman"/>
                      <w:sz w:val="21"/>
                    </w:rPr>
                    <w:t>2</w:t>
                  </w:r>
                </w:p>
              </w:tc>
              <w:tc>
                <w:tcPr>
                  <w:tcW w:type="dxa" w:w="6350"/>
                </w:tcPr>
                <w:p>
                  <w:pPr>
                    <w:spacing w:after="20"/>
                    <w:jc w:val="left"/>
                  </w:pPr>
                  <w:r/>
                  <w:r>
                    <w:rPr>
                      <w:rFonts w:ascii="Times New Roman" w:hAnsi="Times New Roman"/>
                      <w:sz w:val="21"/>
                    </w:rPr>
                    <w:t>– Complete the pattern-discovery families remaining at the five- and twenty-session horizons.</w:t>
                  </w:r>
                </w:p>
                <w:p>
                  <w:pPr>
                    <w:spacing w:after="20"/>
                    <w:jc w:val="left"/>
                  </w:pPr>
                  <w:r>
                    <w:rPr>
                      <w:rFonts w:ascii="Times New Roman" w:hAnsi="Times New Roman"/>
                      <w:sz w:val="21"/>
                    </w:rPr>
                    <w:t>– Apply superior predictive ability testing at the family level across all discovery branches.</w:t>
                  </w:r>
                </w:p>
                <w:p>
                  <w:pPr>
                    <w:spacing w:after="20"/>
                    <w:jc w:val="left"/>
                  </w:pPr>
                  <w:r>
                    <w:rPr>
                      <w:rFonts w:ascii="Times New Roman" w:hAnsi="Times New Roman"/>
                      <w:sz w:val="21"/>
                    </w:rPr>
                    <w:t>– Document the enumerated hypothesis space in full.</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register the newly completed discovery-family results in the model registry served by </w:t>
                  </w:r>
                  <w:r>
                    <w:rPr>
                      <w:rFonts w:ascii="Consolas" w:hAnsi="Consolas"/>
                      <w:sz w:val="21"/>
                    </w:rPr>
                    <w:t>/models</w:t>
                  </w:r>
                  <w:r>
                    <w:rPr>
                      <w:rFonts w:ascii="Times New Roman" w:hAnsi="Times New Roman"/>
                      <w:sz w:val="21"/>
                    </w:rPr>
                    <w:t>.</w:t>
                  </w:r>
                </w:p>
              </w:tc>
              <w:tc>
                <w:tcPr>
                  <w:tcW w:type="dxa" w:w="2041"/>
                </w:tcPr>
                <w:p>
                  <w:pPr>
                    <w:spacing w:after="20"/>
                    <w:jc w:val="center"/>
                  </w:pPr>
                  <w:r/>
                  <w:r>
                    <w:rPr>
                      <w:rFonts w:ascii="Times New Roman" w:hAnsi="Times New Roman"/>
                      <w:sz w:val="21"/>
                    </w:rPr>
                    <w:t>Week 3–4</w:t>
                  </w:r>
                </w:p>
              </w:tc>
            </w:tr>
            <w:tr>
              <w:trPr>
                <w:cantSplit/>
              </w:trPr>
              <w:tc>
                <w:tcPr>
                  <w:tcW w:type="dxa" w:w="794"/>
                </w:tcPr>
                <w:p>
                  <w:pPr>
                    <w:spacing w:after="20"/>
                    <w:jc w:val="center"/>
                  </w:pPr>
                  <w:r/>
                  <w:r>
                    <w:rPr>
                      <w:rFonts w:ascii="Times New Roman" w:hAnsi="Times New Roman"/>
                      <w:sz w:val="21"/>
                    </w:rPr>
                    <w:t>3</w:t>
                  </w:r>
                </w:p>
              </w:tc>
              <w:tc>
                <w:tcPr>
                  <w:tcW w:type="dxa" w:w="6350"/>
                </w:tcPr>
                <w:p>
                  <w:pPr>
                    <w:spacing w:after="20"/>
                    <w:jc w:val="left"/>
                  </w:pPr>
                  <w:r/>
                  <w:r>
                    <w:rPr>
                      <w:rFonts w:ascii="Times New Roman" w:hAnsi="Times New Roman"/>
                      <w:sz w:val="21"/>
                    </w:rPr>
                    <w:t>– Conduct minimum detectable effect size analysis for every negative finding.</w:t>
                  </w:r>
                </w:p>
                <w:p>
                  <w:pPr>
                    <w:spacing w:after="20"/>
                    <w:jc w:val="left"/>
                  </w:pPr>
                  <w:r>
                    <w:rPr>
                      <w:rFonts w:ascii="Times New Roman" w:hAnsi="Times New Roman"/>
                      <w:sz w:val="21"/>
                    </w:rPr>
                    <w:t>– Validate the discovery funnel with negative controls and known-effect injection.</w:t>
                  </w:r>
                </w:p>
                <w:p>
                  <w:pPr>
                    <w:spacing w:after="20"/>
                    <w:jc w:val="left"/>
                  </w:pPr>
                  <w:r>
                    <w:rPr>
                      <w:rFonts w:ascii="Times New Roman" w:hAnsi="Times New Roman"/>
                      <w:sz w:val="21"/>
                    </w:rPr>
                    <w:t>– Formalise the reporting template for power-bounded negative claims.</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extend </w:t>
                  </w:r>
                  <w:r>
                    <w:rPr>
                      <w:rFonts w:ascii="Consolas" w:hAnsi="Consolas"/>
                      <w:sz w:val="21"/>
                    </w:rPr>
                    <w:t>/calibration</w:t>
                  </w:r>
                  <w:r>
                    <w:rPr>
                      <w:rFonts w:ascii="Times New Roman" w:hAnsi="Times New Roman"/>
                      <w:sz w:val="21"/>
                    </w:rPr>
                    <w:t xml:space="preserve"> with the minimum-detectable-effect-size figure for every negative finding, so the power-bounded claim is traceable through the same API as every other number.</w:t>
                  </w:r>
                </w:p>
              </w:tc>
              <w:tc>
                <w:tcPr>
                  <w:tcW w:type="dxa" w:w="2041"/>
                </w:tcPr>
                <w:p>
                  <w:pPr>
                    <w:spacing w:after="20"/>
                    <w:jc w:val="center"/>
                  </w:pPr>
                  <w:r/>
                  <w:r>
                    <w:rPr>
                      <w:rFonts w:ascii="Times New Roman" w:hAnsi="Times New Roman"/>
                      <w:sz w:val="21"/>
                    </w:rPr>
                    <w:t>Week 5–6</w:t>
                  </w:r>
                </w:p>
              </w:tc>
            </w:tr>
            <w:tr>
              <w:trPr>
                <w:cantSplit/>
              </w:trPr>
              <w:tc>
                <w:tcPr>
                  <w:tcW w:type="dxa" w:w="794"/>
                </w:tcPr>
                <w:p>
                  <w:pPr>
                    <w:spacing w:after="20"/>
                    <w:jc w:val="center"/>
                  </w:pPr>
                  <w:r/>
                  <w:r>
                    <w:rPr>
                      <w:rFonts w:ascii="Times New Roman" w:hAnsi="Times New Roman"/>
                      <w:sz w:val="21"/>
                    </w:rPr>
                    <w:t>4</w:t>
                  </w:r>
                </w:p>
              </w:tc>
              <w:tc>
                <w:tcPr>
                  <w:tcW w:type="dxa" w:w="6350"/>
                </w:tcPr>
                <w:p>
                  <w:pPr>
                    <w:spacing w:after="20"/>
                    <w:jc w:val="left"/>
                  </w:pPr>
                  <w:r/>
                  <w:r>
                    <w:rPr>
                      <w:rFonts w:ascii="Times New Roman" w:hAnsi="Times New Roman"/>
                      <w:sz w:val="21"/>
                    </w:rPr>
                    <w:t>– Address tail-risk failures for the two pairs that do not pass Value-at-Risk and Expected Shortfall backtests at the 99% level, using conditional and extreme-value approaches.</w:t>
                  </w:r>
                </w:p>
                <w:p>
                  <w:pPr>
                    <w:spacing w:after="20"/>
                    <w:jc w:val="left"/>
                  </w:pPr>
                  <w:r>
                    <w:rPr>
                      <w:rFonts w:ascii="Times New Roman" w:hAnsi="Times New Roman"/>
                      <w:sz w:val="21"/>
                    </w:rPr>
                    <w:t>– Recalibrate the twenty-session horizon and re-measure calibration error.</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update the </w:t>
                  </w:r>
                  <w:r>
                    <w:rPr>
                      <w:rFonts w:ascii="Consolas" w:hAnsi="Consolas"/>
                      <w:sz w:val="21"/>
                    </w:rPr>
                    <w:t>/risk</w:t>
                  </w:r>
                  <w:r>
                    <w:rPr>
                      <w:rFonts w:ascii="Times New Roman" w:hAnsi="Times New Roman"/>
                      <w:sz w:val="21"/>
                    </w:rPr>
                    <w:t xml:space="preserve"> endpoint's VaR/ES backtest fields for the two affected pairs and the </w:t>
                  </w:r>
                  <w:r>
                    <w:rPr>
                      <w:rFonts w:ascii="Consolas" w:hAnsi="Consolas"/>
                      <w:sz w:val="21"/>
                    </w:rPr>
                    <w:t>/forecast_next</w:t>
                  </w:r>
                  <w:r>
                    <w:rPr>
                      <w:rFonts w:ascii="Times New Roman" w:hAnsi="Times New Roman"/>
                      <w:sz w:val="21"/>
                    </w:rPr>
                    <w:t xml:space="preserve"> twenty-session horizon.</w:t>
                  </w:r>
                </w:p>
              </w:tc>
              <w:tc>
                <w:tcPr>
                  <w:tcW w:type="dxa" w:w="2041"/>
                </w:tcPr>
                <w:p>
                  <w:pPr>
                    <w:spacing w:after="20"/>
                    <w:jc w:val="center"/>
                  </w:pPr>
                  <w:r/>
                  <w:r>
                    <w:rPr>
                      <w:rFonts w:ascii="Times New Roman" w:hAnsi="Times New Roman"/>
                      <w:sz w:val="21"/>
                    </w:rPr>
                    <w:t>Week 7–8</w:t>
                  </w:r>
                </w:p>
              </w:tc>
            </w:tr>
            <w:tr>
              <w:trPr>
                <w:cantSplit/>
              </w:trPr>
              <w:tc>
                <w:tcPr>
                  <w:tcW w:type="dxa" w:w="794"/>
                </w:tcPr>
                <w:p>
                  <w:pPr>
                    <w:spacing w:after="20"/>
                    <w:jc w:val="center"/>
                  </w:pPr>
                  <w:r/>
                  <w:r>
                    <w:rPr>
                      <w:rFonts w:ascii="Times New Roman" w:hAnsi="Times New Roman"/>
                      <w:sz w:val="21"/>
                    </w:rPr>
                    <w:t>5</w:t>
                  </w:r>
                </w:p>
              </w:tc>
              <w:tc>
                <w:tcPr>
                  <w:tcW w:type="dxa" w:w="6350"/>
                </w:tcPr>
                <w:p>
                  <w:pPr>
                    <w:spacing w:after="20"/>
                    <w:jc w:val="left"/>
                  </w:pPr>
                  <w:r/>
                  <w:r>
                    <w:rPr>
                      <w:rFonts w:ascii="Times New Roman" w:hAnsi="Times New Roman"/>
                      <w:sz w:val="21"/>
                    </w:rPr>
                    <w:t>– Write up the completed exogenous/causal analysis for the thesis: the frozen all-variable/validation-selected/causally-filtered ablation and the five-method causal triangulation (Proposed Method, Causal Discovery Method) — this work is done, not scheduled to be run here.</w:t>
                  </w:r>
                </w:p>
                <w:p>
                  <w:pPr>
                    <w:spacing w:after="20"/>
                    <w:jc w:val="left"/>
                  </w:pPr>
                  <w:r>
                    <w:rPr>
                      <w:rFonts w:ascii="Times New Roman" w:hAnsi="Times New Roman"/>
                      <w:sz w:val="21"/>
                    </w:rPr>
                    <w:t>– Report results separately on the direction, magnitude and risk axes, as already measured.</w:t>
                  </w:r>
                </w:p>
                <w:p>
                  <w:pPr>
                    <w:spacing w:after="20"/>
                    <w:jc w:val="left"/>
                  </w:pPr>
                  <w:r>
                    <w:rPr>
                      <w:rFonts w:ascii="Times New Roman" w:hAnsi="Times New Roman"/>
                      <w:sz w:val="21"/>
                    </w:rPr>
                    <w:t>– No new causal-discovery hypotheses are introduced at this stage, consistent with the frozen evaluation protocol; the causal-conditioned forecast overlay tested and found not yet effective stays in Deferred / Future Work rather than being reopened.</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expose the causal-validation provenance (which exogenous variable passed or failed the confounding check, and why) as a read-only diagnostic field in </w:t>
                  </w:r>
                  <w:r>
                    <w:rPr>
                      <w:rFonts w:ascii="Consolas" w:hAnsi="Consolas"/>
                      <w:sz w:val="21"/>
                    </w:rPr>
                    <w:t>/forecast</w:t>
                  </w:r>
                  <w:r>
                    <w:rPr>
                      <w:rFonts w:ascii="Times New Roman" w:hAnsi="Times New Roman"/>
                      <w:sz w:val="21"/>
                    </w:rPr>
                    <w:t>'s provenance metadata — explicitly not used to alter the forecast value, consistent with the causal layer's validation-only role today.</w:t>
                  </w:r>
                </w:p>
              </w:tc>
              <w:tc>
                <w:tcPr>
                  <w:tcW w:type="dxa" w:w="2041"/>
                </w:tcPr>
                <w:p>
                  <w:pPr>
                    <w:spacing w:after="20"/>
                    <w:jc w:val="center"/>
                  </w:pPr>
                  <w:r/>
                  <w:r>
                    <w:rPr>
                      <w:rFonts w:ascii="Times New Roman" w:hAnsi="Times New Roman"/>
                      <w:sz w:val="21"/>
                    </w:rPr>
                    <w:t>Week 9–10</w:t>
                  </w:r>
                </w:p>
              </w:tc>
            </w:tr>
            <w:tr>
              <w:trPr>
                <w:cantSplit/>
              </w:trPr>
              <w:tc>
                <w:tcPr>
                  <w:tcW w:type="dxa" w:w="794"/>
                </w:tcPr>
                <w:p>
                  <w:pPr>
                    <w:spacing w:after="20"/>
                    <w:jc w:val="center"/>
                  </w:pPr>
                  <w:r/>
                  <w:r>
                    <w:rPr>
                      <w:rFonts w:ascii="Times New Roman" w:hAnsi="Times New Roman"/>
                      <w:sz w:val="21"/>
                    </w:rPr>
                    <w:t>6</w:t>
                  </w:r>
                </w:p>
              </w:tc>
              <w:tc>
                <w:tcPr>
                  <w:tcW w:type="dxa" w:w="6350"/>
                </w:tcPr>
                <w:p>
                  <w:pPr>
                    <w:spacing w:after="20"/>
                    <w:jc w:val="left"/>
                  </w:pPr>
                  <w:r/>
                  <w:r>
                    <w:rPr>
                      <w:rFonts w:ascii="Times New Roman" w:hAnsi="Times New Roman"/>
                      <w:sz w:val="21"/>
                    </w:rPr>
                    <w:t>– Evaluate the end-to-end economic result after measured transaction costs and slippage.</w:t>
                  </w:r>
                </w:p>
                <w:p>
                  <w:pPr>
                    <w:spacing w:after="20"/>
                    <w:jc w:val="left"/>
                  </w:pPr>
                  <w:r>
                    <w:rPr>
                      <w:rFonts w:ascii="Times New Roman" w:hAnsi="Times New Roman"/>
                      <w:sz w:val="21"/>
                    </w:rPr>
                    <w:t>– Accumulate the forecast journal and compute rolling calibration on issued forecasts.</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extend </w:t>
                  </w:r>
                  <w:r>
                    <w:rPr>
                      <w:rFonts w:ascii="Consolas" w:hAnsi="Consolas"/>
                      <w:sz w:val="21"/>
                    </w:rPr>
                    <w:t>/journal</w:t>
                  </w:r>
                  <w:r>
                    <w:rPr>
                      <w:rFonts w:ascii="Times New Roman" w:hAnsi="Times New Roman"/>
                      <w:sz w:val="21"/>
                    </w:rPr>
                    <w:t xml:space="preserve"> with realised transaction-cost-adjusted performance and rolling calibration diagnostics.</w:t>
                  </w:r>
                </w:p>
              </w:tc>
              <w:tc>
                <w:tcPr>
                  <w:tcW w:type="dxa" w:w="2041"/>
                </w:tcPr>
                <w:p>
                  <w:pPr>
                    <w:spacing w:after="20"/>
                    <w:jc w:val="center"/>
                  </w:pPr>
                  <w:r/>
                  <w:r>
                    <w:rPr>
                      <w:rFonts w:ascii="Times New Roman" w:hAnsi="Times New Roman"/>
                      <w:sz w:val="21"/>
                    </w:rPr>
                    <w:t>Week 11</w:t>
                  </w:r>
                </w:p>
              </w:tc>
            </w:tr>
            <w:tr>
              <w:trPr>
                <w:cantSplit/>
              </w:trPr>
              <w:tc>
                <w:tcPr>
                  <w:tcW w:type="dxa" w:w="794"/>
                </w:tcPr>
                <w:p>
                  <w:pPr>
                    <w:spacing w:after="20"/>
                    <w:jc w:val="center"/>
                  </w:pPr>
                  <w:r/>
                  <w:r>
                    <w:rPr>
                      <w:rFonts w:ascii="Times New Roman" w:hAnsi="Times New Roman"/>
                      <w:sz w:val="21"/>
                    </w:rPr>
                    <w:t>7</w:t>
                  </w:r>
                </w:p>
              </w:tc>
              <w:tc>
                <w:tcPr>
                  <w:tcW w:type="dxa" w:w="6350"/>
                </w:tcPr>
                <w:p>
                  <w:pPr>
                    <w:spacing w:after="20"/>
                    <w:jc w:val="left"/>
                  </w:pPr>
                  <w:r/>
                  <w:r>
                    <w:rPr>
                      <w:rFonts w:ascii="Times New Roman" w:hAnsi="Times New Roman"/>
                      <w:sz w:val="21"/>
                    </w:rPr>
                    <w:t>– Freeze the final configuration in writing, including variables, selection method, models, metrics and decision rules.</w:t>
                  </w:r>
                </w:p>
                <w:p>
                  <w:pPr>
                    <w:spacing w:after="20"/>
                    <w:jc w:val="left"/>
                  </w:pPr>
                  <w:r>
                    <w:rPr>
                      <w:rFonts w:ascii="Times New Roman" w:hAnsi="Times New Roman"/>
                      <w:sz w:val="21"/>
                    </w:rPr>
                    <w:t>– Prepare the sealed-set evaluation record.</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tag and freeze the API response schemas and forecast-artefact version alongside the written protocol freeze.</w:t>
                  </w:r>
                </w:p>
              </w:tc>
              <w:tc>
                <w:tcPr>
                  <w:tcW w:type="dxa" w:w="2041"/>
                </w:tcPr>
                <w:p>
                  <w:pPr>
                    <w:spacing w:after="20"/>
                    <w:jc w:val="center"/>
                  </w:pPr>
                  <w:r/>
                  <w:r>
                    <w:rPr>
                      <w:rFonts w:ascii="Times New Roman" w:hAnsi="Times New Roman"/>
                      <w:sz w:val="21"/>
                    </w:rPr>
                    <w:t>Week 12</w:t>
                  </w:r>
                </w:p>
              </w:tc>
            </w:tr>
            <w:tr>
              <w:trPr>
                <w:cantSplit/>
              </w:trPr>
              <w:tc>
                <w:tcPr>
                  <w:tcW w:type="dxa" w:w="794"/>
                </w:tcPr>
                <w:p>
                  <w:pPr>
                    <w:spacing w:after="20"/>
                    <w:jc w:val="center"/>
                  </w:pPr>
                  <w:r/>
                  <w:r>
                    <w:rPr>
                      <w:rFonts w:ascii="Times New Roman" w:hAnsi="Times New Roman"/>
                      <w:sz w:val="21"/>
                    </w:rPr>
                    <w:t>8</w:t>
                  </w:r>
                </w:p>
              </w:tc>
              <w:tc>
                <w:tcPr>
                  <w:tcW w:type="dxa" w:w="6350"/>
                </w:tcPr>
                <w:p>
                  <w:pPr>
                    <w:spacing w:after="20"/>
                    <w:jc w:val="left"/>
                  </w:pPr>
                  <w:r/>
                  <w:r>
                    <w:rPr>
                      <w:rFonts w:ascii="Times New Roman" w:hAnsi="Times New Roman"/>
                      <w:sz w:val="21"/>
                    </w:rPr>
                    <w:t>– Open the sealed evaluation set exactly once and score the frozen configuration.</w:t>
                  </w:r>
                </w:p>
                <w:p>
                  <w:pPr>
                    <w:spacing w:after="20"/>
                    <w:jc w:val="left"/>
                  </w:pPr>
                  <w:r>
                    <w:rPr>
                      <w:rFonts w:ascii="Times New Roman" w:hAnsi="Times New Roman"/>
                      <w:sz w:val="21"/>
                    </w:rPr>
                    <w:t>– Report results without modification and without retuning.</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serve the sealed-set results through the same frozen </w:t>
                  </w:r>
                  <w:r>
                    <w:rPr>
                      <w:rFonts w:ascii="Consolas" w:hAnsi="Consolas"/>
                      <w:sz w:val="21"/>
                    </w:rPr>
                    <w:t>/forecast</w:t>
                  </w:r>
                  <w:r>
                    <w:rPr>
                      <w:rFonts w:ascii="Times New Roman" w:hAnsi="Times New Roman"/>
                      <w:sz w:val="21"/>
                    </w:rPr>
                    <w:t xml:space="preserve">, </w:t>
                  </w:r>
                  <w:r>
                    <w:rPr>
                      <w:rFonts w:ascii="Consolas" w:hAnsi="Consolas"/>
                      <w:sz w:val="21"/>
                    </w:rPr>
                    <w:t>/risk</w:t>
                  </w:r>
                  <w:r>
                    <w:rPr>
                      <w:rFonts w:ascii="Times New Roman" w:hAnsi="Times New Roman"/>
                      <w:sz w:val="21"/>
                    </w:rPr>
                    <w:t xml:space="preserve">, and </w:t>
                  </w:r>
                  <w:r>
                    <w:rPr>
                      <w:rFonts w:ascii="Consolas" w:hAnsi="Consolas"/>
                      <w:sz w:val="21"/>
                    </w:rPr>
                    <w:t>/calibration</w:t>
                  </w:r>
                  <w:r>
                    <w:rPr>
                      <w:rFonts w:ascii="Times New Roman" w:hAnsi="Times New Roman"/>
                      <w:sz w:val="21"/>
                    </w:rPr>
                    <w:t xml:space="preserve"> endpoints used throughout — no separate reporting path.</w:t>
                  </w:r>
                </w:p>
              </w:tc>
              <w:tc>
                <w:tcPr>
                  <w:tcW w:type="dxa" w:w="2041"/>
                </w:tcPr>
                <w:p>
                  <w:pPr>
                    <w:spacing w:after="20"/>
                    <w:jc w:val="center"/>
                  </w:pPr>
                  <w:r/>
                  <w:r>
                    <w:rPr>
                      <w:rFonts w:ascii="Times New Roman" w:hAnsi="Times New Roman"/>
                      <w:sz w:val="21"/>
                    </w:rPr>
                    <w:t>Week 13</w:t>
                  </w:r>
                </w:p>
              </w:tc>
            </w:tr>
            <w:tr>
              <w:trPr>
                <w:cantSplit/>
              </w:trPr>
              <w:tc>
                <w:tcPr>
                  <w:tcW w:type="dxa" w:w="794"/>
                </w:tcPr>
                <w:p>
                  <w:pPr>
                    <w:spacing w:after="20"/>
                    <w:jc w:val="center"/>
                  </w:pPr>
                  <w:r/>
                  <w:r>
                    <w:rPr>
                      <w:rFonts w:ascii="Times New Roman" w:hAnsi="Times New Roman"/>
                      <w:sz w:val="21"/>
                    </w:rPr>
                    <w:t>9</w:t>
                  </w:r>
                </w:p>
              </w:tc>
              <w:tc>
                <w:tcPr>
                  <w:tcW w:type="dxa" w:w="6350"/>
                </w:tcPr>
                <w:p>
                  <w:pPr>
                    <w:spacing w:after="20"/>
                    <w:jc w:val="left"/>
                  </w:pPr>
                  <w:r/>
                  <w:r>
                    <w:rPr>
                      <w:rFonts w:ascii="Times New Roman" w:hAnsi="Times New Roman"/>
                      <w:sz w:val="21"/>
                    </w:rPr>
                    <w:t>– Complete the system: computation layer, versioned forecast artefacts, application programming interface, and user interface with full provenance for every displayed quantity.</w:t>
                  </w:r>
                </w:p>
                <w:p>
                  <w:pPr>
                    <w:spacing w:after="20"/>
                    <w:jc w:val="left"/>
                  </w:pPr>
                  <w:r>
                    <w:rPr>
                      <w:rFonts w:ascii="Times New Roman" w:hAnsi="Times New Roman"/>
                      <w:sz w:val="21"/>
                    </w:rPr>
                    <w:t>– Verify continuous daily operation.</w:t>
                  </w:r>
                </w:p>
              </w:tc>
              <w:tc>
                <w:tcPr>
                  <w:tcW w:type="dxa" w:w="2041"/>
                </w:tcPr>
                <w:p>
                  <w:pPr>
                    <w:spacing w:after="20"/>
                    <w:jc w:val="center"/>
                  </w:pPr>
                  <w:r/>
                  <w:r>
                    <w:rPr>
                      <w:rFonts w:ascii="Times New Roman" w:hAnsi="Times New Roman"/>
                      <w:sz w:val="21"/>
                    </w:rPr>
                    <w:t>Week 14</w:t>
                  </w:r>
                </w:p>
              </w:tc>
            </w:tr>
            <w:tr>
              <w:trPr>
                <w:cantSplit/>
              </w:trPr>
              <w:tc>
                <w:tcPr>
                  <w:tcW w:type="dxa" w:w="794"/>
                </w:tcPr>
                <w:p>
                  <w:pPr>
                    <w:spacing w:after="20"/>
                    <w:jc w:val="center"/>
                  </w:pPr>
                  <w:r/>
                  <w:r>
                    <w:rPr>
                      <w:rFonts w:ascii="Times New Roman" w:hAnsi="Times New Roman"/>
                      <w:sz w:val="21"/>
                    </w:rPr>
                    <w:t>10</w:t>
                  </w:r>
                </w:p>
              </w:tc>
              <w:tc>
                <w:tcPr>
                  <w:tcW w:type="dxa" w:w="6350"/>
                </w:tcPr>
                <w:p>
                  <w:pPr>
                    <w:spacing w:after="20"/>
                    <w:jc w:val="left"/>
                  </w:pPr>
                  <w:r/>
                  <w:r>
                    <w:rPr>
                      <w:rFonts w:ascii="Times New Roman" w:hAnsi="Times New Roman"/>
                      <w:sz w:val="21"/>
                    </w:rPr>
                    <w:t>– Analyse model behaviour by volatility regime, by pair and by year.</w:t>
                  </w:r>
                </w:p>
                <w:p>
                  <w:pPr>
                    <w:spacing w:after="20"/>
                    <w:jc w:val="left"/>
                  </w:pPr>
                  <w:r>
                    <w:rPr>
                      <w:rFonts w:ascii="Times New Roman" w:hAnsi="Times New Roman"/>
                      <w:sz w:val="21"/>
                    </w:rPr>
                    <w:t>– Examine representative failure cases and document limitations.</w:t>
                  </w:r>
                </w:p>
                <w:p>
                  <w:pPr>
                    <w:spacing w:after="20"/>
                    <w:jc w:val="left"/>
                  </w:pPr>
                  <w:r>
                    <w:rPr>
                      <w:rFonts w:ascii="Times New Roman" w:hAnsi="Times New Roman"/>
                      <w:sz w:val="21"/>
                    </w:rPr>
                    <w:t xml:space="preserve">– </w:t>
                  </w:r>
                  <w:r>
                    <w:rPr>
                      <w:rFonts w:ascii="Times New Roman" w:hAnsi="Times New Roman"/>
                      <w:b/>
                      <w:sz w:val="21"/>
                    </w:rPr>
                    <w:t>Engineering:</w:t>
                  </w:r>
                  <w:r>
                    <w:rPr>
                      <w:rFonts w:ascii="Times New Roman" w:hAnsi="Times New Roman"/>
                      <w:sz w:val="21"/>
                    </w:rPr>
                    <w:t xml:space="preserve"> add regime-, pair-, and year-conditional breakdowns to the web application's risk and calibration views.</w:t>
                  </w:r>
                </w:p>
              </w:tc>
              <w:tc>
                <w:tcPr>
                  <w:tcW w:type="dxa" w:w="2041"/>
                </w:tcPr>
                <w:p>
                  <w:pPr>
                    <w:spacing w:after="20"/>
                    <w:jc w:val="center"/>
                  </w:pPr>
                  <w:r/>
                  <w:r>
                    <w:rPr>
                      <w:rFonts w:ascii="Times New Roman" w:hAnsi="Times New Roman"/>
                      <w:sz w:val="21"/>
                    </w:rPr>
                    <w:t>Week 15</w:t>
                  </w:r>
                </w:p>
              </w:tc>
            </w:tr>
            <w:tr>
              <w:trPr>
                <w:cantSplit/>
              </w:trPr>
              <w:tc>
                <w:tcPr>
                  <w:tcW w:type="dxa" w:w="794"/>
                </w:tcPr>
                <w:p>
                  <w:pPr>
                    <w:spacing w:after="20"/>
                    <w:jc w:val="center"/>
                  </w:pPr>
                  <w:r/>
                  <w:r>
                    <w:rPr>
                      <w:rFonts w:ascii="Times New Roman" w:hAnsi="Times New Roman"/>
                      <w:sz w:val="21"/>
                    </w:rPr>
                    <w:t>11</w:t>
                  </w:r>
                </w:p>
              </w:tc>
              <w:tc>
                <w:tcPr>
                  <w:tcW w:type="dxa" w:w="6350"/>
                </w:tcPr>
                <w:p>
                  <w:pPr>
                    <w:spacing w:after="20"/>
                    <w:jc w:val="left"/>
                  </w:pPr>
                  <w:r/>
                  <w:r>
                    <w:rPr>
                      <w:rFonts w:ascii="Times New Roman" w:hAnsi="Times New Roman"/>
                      <w:sz w:val="21"/>
                    </w:rPr>
                    <w:t>– Complete the thesis report.</w:t>
                  </w:r>
                </w:p>
                <w:p>
                  <w:pPr>
                    <w:spacing w:after="20"/>
                    <w:jc w:val="left"/>
                  </w:pPr>
                  <w:r>
                    <w:rPr>
                      <w:rFonts w:ascii="Times New Roman" w:hAnsi="Times New Roman"/>
                      <w:sz w:val="21"/>
                    </w:rPr>
                    <w:t>– Revise content based on advisor feedback.</w:t>
                  </w:r>
                </w:p>
                <w:p>
                  <w:pPr>
                    <w:spacing w:after="20"/>
                    <w:jc w:val="left"/>
                  </w:pPr>
                  <w:r>
                    <w:rPr>
                      <w:rFonts w:ascii="Times New Roman" w:hAnsi="Times New Roman"/>
                      <w:sz w:val="21"/>
                    </w:rPr>
                    <w:t>– Prepare for the final defence.</w:t>
                  </w:r>
                </w:p>
              </w:tc>
              <w:tc>
                <w:tcPr>
                  <w:tcW w:type="dxa" w:w="2041"/>
                </w:tcPr>
                <w:p>
                  <w:pPr>
                    <w:spacing w:after="20"/>
                    <w:jc w:val="center"/>
                  </w:pPr>
                  <w:r/>
                  <w:r>
                    <w:rPr>
                      <w:rFonts w:ascii="Times New Roman" w:hAnsi="Times New Roman"/>
                      <w:sz w:val="21"/>
                    </w:rPr>
                    <w:t>Week 16</w:t>
                  </w:r>
                </w:p>
              </w:tc>
            </w:tr>
          </w:tbl>
          <w:p/>
          <w:p>
            <w:pPr>
              <w:spacing w:after="0" w:before="0"/>
            </w:pPr>
            <w:r>
              <w:rPr>
                <w:sz w:val="2"/>
              </w:rPr>
            </w:r>
          </w:p>
          <w:p>
            <w:pPr>
              <w:spacing w:after="100"/>
              <w:ind w:firstLine="340"/>
              <w:jc w:val="both"/>
            </w:pPr>
            <w:r>
              <w:rPr>
                <w:rFonts w:ascii="Times New Roman" w:hAnsi="Times New Roman"/>
                <w:sz w:val="24"/>
              </w:rPr>
              <w:t>Software-architecture work therefore runs across Weeks 1–15, extending the already-operating API and web application (Proposed Method and System Architecture) one layer at a time as each research result is frozen, rather than being concentrated in a single week at the end.</w:t>
            </w:r>
          </w:p>
        </w:tc>
      </w:tr>
      <w:tr>
        <w:tc>
          <w:tcPr>
            <w:tcW w:type="dxa" w:w="9973"/>
          </w:tcPr>
          <w:p>
            <w:pPr>
              <w:spacing w:after="100"/>
            </w:pPr>
            <w:r>
              <w:rPr>
                <w:rFonts w:ascii="Times New Roman" w:hAnsi="Times New Roman"/>
                <w:b/>
                <w:sz w:val="24"/>
              </w:rPr>
              <w:t>Deferred / Future Work (Not Scheduled in This Thesis):</w:t>
            </w:r>
          </w:p>
          <w:p>
            <w:pPr>
              <w:spacing w:after="100"/>
              <w:ind w:firstLine="340"/>
              <w:jc w:val="both"/>
            </w:pPr>
            <w:r>
              <w:rPr>
                <w:rFonts w:ascii="Times New Roman" w:hAnsi="Times New Roman"/>
                <w:sz w:val="24"/>
              </w:rPr>
              <w:t xml:space="preserve">Some directions surfaced by completed experiments are explicitly </w:t>
            </w:r>
            <w:r>
              <w:rPr>
                <w:rFonts w:ascii="Times New Roman" w:hAnsi="Times New Roman"/>
                <w:b/>
                <w:sz w:val="24"/>
              </w:rPr>
              <w:t>not</w:t>
            </w:r>
            <w:r>
              <w:rPr>
                <w:rFonts w:ascii="Times New Roman" w:hAnsi="Times New Roman"/>
                <w:sz w:val="24"/>
              </w:rPr>
              <w:t xml:space="preserve"> part of the sixteen-week Research Plan above. Listing them here, rather than folding them into the Proposed Method section in a way that would imply they are being built during this thesis, keeps the timeline honest about what is actually committed:</w:t>
            </w:r>
          </w:p>
          <w:p>
            <w:pPr>
              <w:pStyle w:val="ListBullet"/>
              <w:spacing w:after="60"/>
              <w:ind w:left="454"/>
              <w:jc w:val="both"/>
            </w:pPr>
            <w:r>
              <w:rPr>
                <w:rFonts w:ascii="Times New Roman" w:hAnsi="Times New Roman"/>
                <w:b/>
                <w:sz w:val="24"/>
              </w:rPr>
              <w:t>Causal-conditioned forecast overlay.</w:t>
            </w:r>
            <w:r>
              <w:rPr>
                <w:rFonts w:ascii="Times New Roman" w:hAnsi="Times New Roman"/>
                <w:sz w:val="24"/>
              </w:rPr>
              <w:t xml:space="preserve"> The VIX→volatility causal effect is real and robust (Double Machine Learning, 6/6 pairs significant after Holm correction; Proposed Method, Causal Discovery Method), but using it to directly adjust the production HAR forecast — tested both as a constant multiplicative overlay and as a Causal-Forest regime-conditional overlay — produced no statistically significant QLIKE improvement in any pair. Deferred pending either a better functional form for combining the causal signal with the HAR forecast, or acceptance that the baseline already absorbs it and no overlay is warranted.</w:t>
            </w:r>
          </w:p>
          <w:p>
            <w:pPr>
              <w:pStyle w:val="ListBullet"/>
              <w:spacing w:after="60"/>
              <w:ind w:left="454"/>
              <w:jc w:val="both"/>
            </w:pPr>
            <w:r>
              <w:rPr>
                <w:rFonts w:ascii="Times New Roman" w:hAnsi="Times New Roman"/>
                <w:b/>
                <w:sz w:val="24"/>
              </w:rPr>
              <w:t>Contemporaneous causal edges (PCMCI+, τ_min = 0).</w:t>
            </w:r>
            <w:r>
              <w:rPr>
                <w:rFonts w:ascii="Times New Roman" w:hAnsi="Times New Roman"/>
                <w:sz w:val="24"/>
              </w:rPr>
              <w:t xml:space="preserve"> An exploratory run found several undirected or sign-ambiguous contemporaneous edges between implied-volatility variables and FX volatility, inconsistent in structure with the frozen lagged (τ ≥ 1) result. Resolving the directionality needs a larger sample or a nonlinear conditional-independence test; not attempted in this thesis.</w:t>
            </w:r>
          </w:p>
          <w:p>
            <w:pPr>
              <w:pStyle w:val="ListBullet"/>
              <w:spacing w:after="60"/>
              <w:ind w:left="454"/>
              <w:jc w:val="both"/>
            </w:pPr>
            <w:r>
              <w:rPr>
                <w:rFonts w:ascii="Times New Roman" w:hAnsi="Times New Roman"/>
                <w:b/>
                <w:sz w:val="24"/>
              </w:rPr>
              <w:t>Cross-pair volatility spillover (DYNOTEARS).</w:t>
            </w:r>
            <w:r>
              <w:rPr>
                <w:rFonts w:ascii="Times New Roman" w:hAnsi="Times New Roman"/>
                <w:sz w:val="24"/>
              </w:rPr>
              <w:t xml:space="preserve"> A self-implemented DYNOTEARS network (the </w:t>
            </w:r>
            <w:r>
              <w:rPr>
                <w:rFonts w:ascii="Consolas" w:hAnsi="Consolas"/>
                <w:sz w:val="24"/>
              </w:rPr>
              <w:t>causalnex</w:t>
            </w:r>
            <w:r>
              <w:rPr>
                <w:rFonts w:ascii="Times New Roman" w:hAnsi="Times New Roman"/>
                <w:sz w:val="24"/>
              </w:rPr>
              <w:t xml:space="preserve"> reference implementation does not support the project's Python version) detects contemporaneous spillover structure between pairs (e.g., AUD/USD↔USD/CAD, EUR/USD→USD/CHF), consistent with an independently run linear Diebold–Yilmaz spillover measure. Neither the linear benchmark nor the DYNOTEARS-derived edges, added as an extra HAR feature, improved test-set QLIKE (six-pair average 0.1281 without vs. 0.1285 with the added column). The structure appears real but is not yet forecastable at a daily horizon with the methods tried; revisiting with a different estimation window or a nonlinear specification is future work.</w:t>
            </w:r>
          </w:p>
          <w:p>
            <w:pPr>
              <w:pStyle w:val="ListBullet"/>
              <w:spacing w:after="60"/>
              <w:ind w:left="454"/>
              <w:jc w:val="both"/>
            </w:pPr>
            <w:r>
              <w:rPr>
                <w:rFonts w:ascii="Times New Roman" w:hAnsi="Times New Roman"/>
                <w:b/>
                <w:sz w:val="24"/>
              </w:rPr>
              <w:t>Revisiting the exogenous/causal layer if FX-specific implied volatility becomes available.</w:t>
            </w:r>
            <w:r>
              <w:rPr>
                <w:rFonts w:ascii="Times New Roman" w:hAnsi="Times New Roman"/>
                <w:sz w:val="24"/>
              </w:rPr>
              <w:t xml:space="preserve"> The single most promising untested candidate, </w:t>
            </w:r>
            <w:r>
              <w:rPr>
                <w:rFonts w:ascii="Consolas" w:hAnsi="Consolas"/>
                <w:sz w:val="24"/>
              </w:rPr>
              <w:t>EVZCLS</w:t>
            </w:r>
            <w:r>
              <w:rPr>
                <w:rFonts w:ascii="Times New Roman" w:hAnsi="Times New Roman"/>
                <w:sz w:val="24"/>
              </w:rPr>
              <w:t xml:space="preserve"> (EUR/USD-specific implied volatility), was discontinued by CBOE in March 2025 and is unavailable for the sample used here.</w:t>
            </w:r>
          </w:p>
          <w:p>
            <w:pPr>
              <w:spacing w:after="100"/>
              <w:ind w:firstLine="340"/>
              <w:jc w:val="both"/>
            </w:pPr>
            <w:r>
              <w:rPr>
                <w:rFonts w:ascii="Times New Roman" w:hAnsi="Times New Roman"/>
                <w:sz w:val="24"/>
              </w:rPr>
              <w:t>None of the above blocks the sealed-set evaluation or the system hardening in Weeks 12–15: the production magnitude forecast for this thesis continues to rely on the extended-HAR baseline alone, with the causal layer contributing to feature-trust validation (implemented) but not to the forecast value itself (deferred).</w:t>
            </w:r>
          </w:p>
        </w:tc>
      </w:tr>
      <w:tr>
        <w:tc>
          <w:tcPr>
            <w:tcW w:type="dxa" w:w="9973"/>
          </w:tcPr>
          <w:p>
            <w:pPr>
              <w:spacing w:after="100"/>
            </w:pPr>
            <w:r>
              <w:rPr>
                <w:rFonts w:ascii="Times New Roman" w:hAnsi="Times New Roman"/>
                <w:b/>
                <w:sz w:val="24"/>
              </w:rPr>
              <w:t>Work Assignment:</w:t>
            </w:r>
          </w:p>
          <w:p>
            <w:pPr>
              <w:spacing w:after="100"/>
              <w:ind w:firstLine="340"/>
              <w:jc w:val="both"/>
            </w:pPr>
            <w:r>
              <w:rPr>
                <w:rFonts w:ascii="Times New Roman" w:hAnsi="Times New Roman"/>
                <w:i/>
                <w:sz w:val="24"/>
              </w:rPr>
              <w:t>(DRAFT SPLIT — TO BE CONFIRMED BY THE TWO STUDENTS BEFORE SUBMISSION. The advisor explicitly rejected an undifferentiated 50/50 split; the allocation below is a working draft aligned with the codebase's own module boundaries — Member A on the quantitative/statistical core, Member B on the systems/software side — and must be replaced with the two members' actual division of labour, not merely re-approved as written.)</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Layout w:type="fixed"/>
              <w:tblCellMar>
                <w:top w:w="40" w:type="dxa"/>
                <w:bottom w:w="40" w:type="dxa"/>
                <w:left w:w="80" w:type="dxa"/>
                <w:right w:w="80" w:type="dxa"/>
              </w:tblCellMar>
              <w:tblLayout w:type="fixed"/>
            </w:tblPr>
            <w:tblGrid>
              <w:gridCol w:w="5329"/>
              <w:gridCol w:w="1928"/>
              <w:gridCol w:w="1928"/>
            </w:tblGrid>
            <w:tr>
              <w:trPr>
                <w:cantSplit/>
                <w:tblHeader/>
              </w:trPr>
              <w:tc>
                <w:tcPr>
                  <w:tcW w:type="dxa" w:w="5329"/>
                </w:tcPr>
                <w:p>
                  <w:pPr>
                    <w:spacing w:after="20"/>
                    <w:jc w:val="left"/>
                  </w:pPr>
                  <w:r/>
                  <w:r>
                    <w:rPr>
                      <w:rFonts w:ascii="Times New Roman" w:hAnsi="Times New Roman"/>
                      <w:b/>
                      <w:sz w:val="21"/>
                    </w:rPr>
                    <w:t>Assignments</w:t>
                  </w:r>
                </w:p>
              </w:tc>
              <w:tc>
                <w:tcPr>
                  <w:tcW w:type="dxa" w:w="1928"/>
                </w:tcPr>
                <w:p>
                  <w:pPr>
                    <w:spacing w:after="20"/>
                    <w:jc w:val="left"/>
                  </w:pPr>
                  <w:r/>
                  <w:r>
                    <w:rPr>
                      <w:rFonts w:ascii="Times New Roman" w:hAnsi="Times New Roman"/>
                      <w:b/>
                      <w:sz w:val="21"/>
                    </w:rPr>
                    <w:t>Member A (Nguyen Quoc Huy)</w:t>
                  </w:r>
                </w:p>
              </w:tc>
              <w:tc>
                <w:tcPr>
                  <w:tcW w:type="dxa" w:w="1928"/>
                </w:tcPr>
                <w:p>
                  <w:pPr>
                    <w:spacing w:after="20"/>
                    <w:jc w:val="left"/>
                  </w:pPr>
                  <w:r/>
                  <w:r>
                    <w:rPr>
                      <w:rFonts w:ascii="Times New Roman" w:hAnsi="Times New Roman"/>
                      <w:b/>
                      <w:sz w:val="21"/>
                    </w:rPr>
                    <w:t>Member B (Huynh Tran Quoc Huy)</w:t>
                  </w:r>
                </w:p>
              </w:tc>
            </w:tr>
            <w:tr>
              <w:trPr>
                <w:cantSplit/>
              </w:trPr>
              <w:tc>
                <w:tcPr>
                  <w:tcW w:type="dxa" w:w="5329"/>
                </w:tcPr>
                <w:p>
                  <w:pPr>
                    <w:spacing w:after="20"/>
                    <w:jc w:val="left"/>
                  </w:pPr>
                  <w:r/>
                  <w:r>
                    <w:rPr>
                      <w:rFonts w:ascii="Times New Roman" w:hAnsi="Times New Roman"/>
                      <w:sz w:val="21"/>
                    </w:rPr>
                    <w:t>Review literature and define research scope</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Construct the data pipeline and realized measures</w:t>
                  </w:r>
                </w:p>
              </w:tc>
              <w:tc>
                <w:tcPr>
                  <w:tcW w:type="dxa" w:w="1928"/>
                </w:tcPr>
                <w:p>
                  <w:pPr>
                    <w:spacing w:after="20"/>
                    <w:jc w:val="center"/>
                  </w:pPr>
                  <w:r/>
                  <w:r>
                    <w:rPr>
                      <w:rFonts w:ascii="Times New Roman" w:hAnsi="Times New Roman"/>
                      <w:sz w:val="21"/>
                    </w:rPr>
                    <w:t>Support</w:t>
                  </w:r>
                </w:p>
              </w:tc>
              <w:tc>
                <w:tcPr>
                  <w:tcW w:type="dxa" w:w="1928"/>
                </w:tcPr>
                <w:p>
                  <w:pPr>
                    <w:spacing w:after="20"/>
                    <w:jc w:val="center"/>
                  </w:pPr>
                  <w:r/>
                  <w:r>
                    <w:rPr>
                      <w:rFonts w:ascii="Times New Roman" w:hAnsi="Times New Roman"/>
                      <w:sz w:val="21"/>
                    </w:rPr>
                    <w:t>Lead</w:t>
                  </w:r>
                </w:p>
              </w:tc>
            </w:tr>
            <w:tr>
              <w:trPr>
                <w:cantSplit/>
              </w:trPr>
              <w:tc>
                <w:tcPr>
                  <w:tcW w:type="dxa" w:w="5329"/>
                </w:tcPr>
                <w:p>
                  <w:pPr>
                    <w:spacing w:after="20"/>
                    <w:jc w:val="left"/>
                  </w:pPr>
                  <w:r/>
                  <w:r>
                    <w:rPr>
                      <w:rFonts w:ascii="Times New Roman" w:hAnsi="Times New Roman"/>
                      <w:sz w:val="21"/>
                    </w:rPr>
                    <w:t>Fix the evaluation protocol and sealed-set policy</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r>
              <w:trPr>
                <w:cantSplit/>
              </w:trPr>
              <w:tc>
                <w:tcPr>
                  <w:tcW w:type="dxa" w:w="5329"/>
                </w:tcPr>
                <w:p>
                  <w:pPr>
                    <w:spacing w:after="20"/>
                    <w:jc w:val="left"/>
                  </w:pPr>
                  <w:r/>
                  <w:r>
                    <w:rPr>
                      <w:rFonts w:ascii="Times New Roman" w:hAnsi="Times New Roman"/>
                      <w:sz w:val="21"/>
                    </w:rPr>
                    <w:t>Develop and benchmark the volatility forecasting layer</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Develop the pattern-discovery and symbolic-representation branch</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Implement multiple-testing control and stability screening</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Conduct minimum detectable effect size and power analysis</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Develop the exogenous, causal (five-method triangulation), and cross-asset information layers</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Implement conformal prediction and calibration diagnostics</w:t>
                  </w:r>
                </w:p>
              </w:tc>
              <w:tc>
                <w:tcPr>
                  <w:tcW w:type="dxa" w:w="1928"/>
                </w:tcPr>
                <w:p>
                  <w:pPr>
                    <w:spacing w:after="20"/>
                    <w:jc w:val="center"/>
                  </w:pPr>
                  <w:r/>
                  <w:r>
                    <w:rPr>
                      <w:rFonts w:ascii="Times New Roman" w:hAnsi="Times New Roman"/>
                      <w:sz w:val="21"/>
                    </w:rPr>
                    <w:t>Support</w:t>
                  </w:r>
                </w:p>
              </w:tc>
              <w:tc>
                <w:tcPr>
                  <w:tcW w:type="dxa" w:w="1928"/>
                </w:tcPr>
                <w:p>
                  <w:pPr>
                    <w:spacing w:after="20"/>
                    <w:jc w:val="center"/>
                  </w:pPr>
                  <w:r/>
                  <w:r>
                    <w:rPr>
                      <w:rFonts w:ascii="Times New Roman" w:hAnsi="Times New Roman"/>
                      <w:sz w:val="21"/>
                    </w:rPr>
                    <w:t>Lead</w:t>
                  </w:r>
                </w:p>
              </w:tc>
            </w:tr>
            <w:tr>
              <w:trPr>
                <w:cantSplit/>
              </w:trPr>
              <w:tc>
                <w:tcPr>
                  <w:tcW w:type="dxa" w:w="5329"/>
                </w:tcPr>
                <w:p>
                  <w:pPr>
                    <w:spacing w:after="20"/>
                    <w:jc w:val="left"/>
                  </w:pPr>
                  <w:r/>
                  <w:r>
                    <w:rPr>
                      <w:rFonts w:ascii="Times New Roman" w:hAnsi="Times New Roman"/>
                      <w:sz w:val="21"/>
                    </w:rPr>
                    <w:t>Develop the risk layer: VaR/ES backtesting and position sizing</w:t>
                  </w:r>
                </w:p>
              </w:tc>
              <w:tc>
                <w:tcPr>
                  <w:tcW w:type="dxa" w:w="1928"/>
                </w:tcPr>
                <w:p>
                  <w:pPr>
                    <w:spacing w:after="20"/>
                    <w:jc w:val="center"/>
                  </w:pPr>
                  <w:r/>
                  <w:r>
                    <w:rPr>
                      <w:rFonts w:ascii="Times New Roman" w:hAnsi="Times New Roman"/>
                      <w:sz w:val="21"/>
                    </w:rPr>
                    <w:t>Lead</w:t>
                  </w:r>
                </w:p>
              </w:tc>
              <w:tc>
                <w:tcPr>
                  <w:tcW w:type="dxa" w:w="1928"/>
                </w:tcPr>
                <w:p>
                  <w:pPr>
                    <w:spacing w:after="20"/>
                    <w:jc w:val="center"/>
                  </w:pPr>
                  <w:r/>
                  <w:r>
                    <w:rPr>
                      <w:rFonts w:ascii="Times New Roman" w:hAnsi="Times New Roman"/>
                      <w:sz w:val="21"/>
                    </w:rPr>
                    <w:t>Support</w:t>
                  </w:r>
                </w:p>
              </w:tc>
            </w:tr>
            <w:tr>
              <w:trPr>
                <w:cantSplit/>
              </w:trPr>
              <w:tc>
                <w:tcPr>
                  <w:tcW w:type="dxa" w:w="5329"/>
                </w:tcPr>
                <w:p>
                  <w:pPr>
                    <w:spacing w:after="20"/>
                    <w:jc w:val="left"/>
                  </w:pPr>
                  <w:r/>
                  <w:r>
                    <w:rPr>
                      <w:rFonts w:ascii="Times New Roman" w:hAnsi="Times New Roman"/>
                      <w:sz w:val="21"/>
                    </w:rPr>
                    <w:t>Conduct the end-to-end economic evaluation</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r>
              <w:trPr>
                <w:cantSplit/>
              </w:trPr>
              <w:tc>
                <w:tcPr>
                  <w:tcW w:type="dxa" w:w="5329"/>
                </w:tcPr>
                <w:p>
                  <w:pPr>
                    <w:spacing w:after="20"/>
                    <w:jc w:val="left"/>
                  </w:pPr>
                  <w:r/>
                  <w:r>
                    <w:rPr>
                      <w:rFonts w:ascii="Times New Roman" w:hAnsi="Times New Roman"/>
                      <w:sz w:val="21"/>
                    </w:rPr>
                    <w:t>Execute the sealed-set validation</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r>
              <w:trPr>
                <w:cantSplit/>
              </w:trPr>
              <w:tc>
                <w:tcPr>
                  <w:tcW w:type="dxa" w:w="5329"/>
                </w:tcPr>
                <w:p>
                  <w:pPr>
                    <w:spacing w:after="20"/>
                    <w:jc w:val="left"/>
                  </w:pPr>
                  <w:r/>
                  <w:r>
                    <w:rPr>
                      <w:rFonts w:ascii="Times New Roman" w:hAnsi="Times New Roman"/>
                      <w:sz w:val="21"/>
                    </w:rPr>
                    <w:t>Design and implement the data pipeline scheduling and module contracts</w:t>
                  </w:r>
                </w:p>
              </w:tc>
              <w:tc>
                <w:tcPr>
                  <w:tcW w:type="dxa" w:w="1928"/>
                </w:tcPr>
                <w:p>
                  <w:pPr>
                    <w:spacing w:after="20"/>
                    <w:jc w:val="center"/>
                  </w:pPr>
                  <w:r/>
                  <w:r>
                    <w:rPr>
                      <w:rFonts w:ascii="Times New Roman" w:hAnsi="Times New Roman"/>
                      <w:sz w:val="21"/>
                    </w:rPr>
                    <w:t>Support</w:t>
                  </w:r>
                </w:p>
              </w:tc>
              <w:tc>
                <w:tcPr>
                  <w:tcW w:type="dxa" w:w="1928"/>
                </w:tcPr>
                <w:p>
                  <w:pPr>
                    <w:spacing w:after="20"/>
                    <w:jc w:val="center"/>
                  </w:pPr>
                  <w:r/>
                  <w:r>
                    <w:rPr>
                      <w:rFonts w:ascii="Times New Roman" w:hAnsi="Times New Roman"/>
                      <w:sz w:val="21"/>
                    </w:rPr>
                    <w:t>Lead</w:t>
                  </w:r>
                </w:p>
              </w:tc>
            </w:tr>
            <w:tr>
              <w:trPr>
                <w:cantSplit/>
              </w:trPr>
              <w:tc>
                <w:tcPr>
                  <w:tcW w:type="dxa" w:w="5329"/>
                </w:tcPr>
                <w:p>
                  <w:pPr>
                    <w:spacing w:after="20"/>
                    <w:jc w:val="left"/>
                  </w:pPr>
                  <w:r/>
                  <w:r>
                    <w:rPr>
                      <w:rFonts w:ascii="Times New Roman" w:hAnsi="Times New Roman"/>
                      <w:sz w:val="21"/>
                    </w:rPr>
                    <w:t>Implement the API layer (FastAPI routers, response schemas)</w:t>
                  </w:r>
                </w:p>
              </w:tc>
              <w:tc>
                <w:tcPr>
                  <w:tcW w:type="dxa" w:w="1928"/>
                </w:tcPr>
                <w:p>
                  <w:pPr>
                    <w:spacing w:after="20"/>
                    <w:jc w:val="center"/>
                  </w:pPr>
                  <w:r/>
                  <w:r>
                    <w:rPr>
                      <w:rFonts w:ascii="Times New Roman" w:hAnsi="Times New Roman"/>
                      <w:sz w:val="21"/>
                    </w:rPr>
                    <w:t>Support</w:t>
                  </w:r>
                </w:p>
              </w:tc>
              <w:tc>
                <w:tcPr>
                  <w:tcW w:type="dxa" w:w="1928"/>
                </w:tcPr>
                <w:p>
                  <w:pPr>
                    <w:spacing w:after="20"/>
                    <w:jc w:val="center"/>
                  </w:pPr>
                  <w:r/>
                  <w:r>
                    <w:rPr>
                      <w:rFonts w:ascii="Times New Roman" w:hAnsi="Times New Roman"/>
                      <w:sz w:val="21"/>
                    </w:rPr>
                    <w:t>Lead</w:t>
                  </w:r>
                </w:p>
              </w:tc>
            </w:tr>
            <w:tr>
              <w:trPr>
                <w:cantSplit/>
              </w:trPr>
              <w:tc>
                <w:tcPr>
                  <w:tcW w:type="dxa" w:w="5329"/>
                </w:tcPr>
                <w:p>
                  <w:pPr>
                    <w:spacing w:after="20"/>
                    <w:jc w:val="left"/>
                  </w:pPr>
                  <w:r/>
                  <w:r>
                    <w:rPr>
                      <w:rFonts w:ascii="Times New Roman" w:hAnsi="Times New Roman"/>
                      <w:sz w:val="21"/>
                    </w:rPr>
                    <w:t>Implement the web application and its three deployment variants</w:t>
                  </w:r>
                </w:p>
              </w:tc>
              <w:tc>
                <w:tcPr>
                  <w:tcW w:type="dxa" w:w="1928"/>
                </w:tcPr>
                <w:p>
                  <w:pPr>
                    <w:spacing w:after="20"/>
                    <w:jc w:val="center"/>
                  </w:pPr>
                  <w:r/>
                  <w:r>
                    <w:rPr>
                      <w:rFonts w:ascii="Times New Roman" w:hAnsi="Times New Roman"/>
                      <w:sz w:val="21"/>
                    </w:rPr>
                    <w:t>Support</w:t>
                  </w:r>
                </w:p>
              </w:tc>
              <w:tc>
                <w:tcPr>
                  <w:tcW w:type="dxa" w:w="1928"/>
                </w:tcPr>
                <w:p>
                  <w:pPr>
                    <w:spacing w:after="20"/>
                    <w:jc w:val="center"/>
                  </w:pPr>
                  <w:r/>
                  <w:r>
                    <w:rPr>
                      <w:rFonts w:ascii="Times New Roman" w:hAnsi="Times New Roman"/>
                      <w:sz w:val="21"/>
                    </w:rPr>
                    <w:t>Lead</w:t>
                  </w:r>
                </w:p>
              </w:tc>
            </w:tr>
            <w:tr>
              <w:trPr>
                <w:cantSplit/>
              </w:trPr>
              <w:tc>
                <w:tcPr>
                  <w:tcW w:type="dxa" w:w="5329"/>
                </w:tcPr>
                <w:p>
                  <w:pPr>
                    <w:spacing w:after="20"/>
                    <w:jc w:val="left"/>
                  </w:pPr>
                  <w:r/>
                  <w:r>
                    <w:rPr>
                      <w:rFonts w:ascii="Times New Roman" w:hAnsi="Times New Roman"/>
                      <w:sz w:val="21"/>
                    </w:rPr>
                    <w:t>Analyse failure cases and document limitations</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r>
              <w:trPr>
                <w:cantSplit/>
              </w:trPr>
              <w:tc>
                <w:tcPr>
                  <w:tcW w:type="dxa" w:w="5329"/>
                </w:tcPr>
                <w:p>
                  <w:pPr>
                    <w:spacing w:after="20"/>
                    <w:jc w:val="left"/>
                  </w:pPr>
                  <w:r/>
                  <w:r>
                    <w:rPr>
                      <w:rFonts w:ascii="Times New Roman" w:hAnsi="Times New Roman"/>
                      <w:sz w:val="21"/>
                    </w:rPr>
                    <w:t>Write and revise the thesis report</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r>
              <w:trPr>
                <w:cantSplit/>
              </w:trPr>
              <w:tc>
                <w:tcPr>
                  <w:tcW w:type="dxa" w:w="5329"/>
                </w:tcPr>
                <w:p>
                  <w:pPr>
                    <w:spacing w:after="20"/>
                    <w:jc w:val="left"/>
                  </w:pPr>
                  <w:r/>
                  <w:r>
                    <w:rPr>
                      <w:rFonts w:ascii="Times New Roman" w:hAnsi="Times New Roman"/>
                      <w:sz w:val="21"/>
                    </w:rPr>
                    <w:t>Prepare for the final defence</w:t>
                  </w:r>
                </w:p>
              </w:tc>
              <w:tc>
                <w:tcPr>
                  <w:tcW w:type="dxa" w:w="1928"/>
                </w:tcPr>
                <w:p>
                  <w:pPr>
                    <w:spacing w:after="20"/>
                    <w:jc w:val="center"/>
                  </w:pPr>
                  <w:r/>
                  <w:r>
                    <w:rPr>
                      <w:rFonts w:ascii="Times New Roman" w:hAnsi="Times New Roman"/>
                      <w:sz w:val="21"/>
                    </w:rPr>
                    <w:t>Joint</w:t>
                  </w:r>
                </w:p>
              </w:tc>
              <w:tc>
                <w:tcPr>
                  <w:tcW w:type="dxa" w:w="1928"/>
                </w:tcPr>
                <w:p>
                  <w:pPr>
                    <w:spacing w:after="20"/>
                    <w:jc w:val="center"/>
                  </w:pPr>
                  <w:r/>
                  <w:r>
                    <w:rPr>
                      <w:rFonts w:ascii="Times New Roman" w:hAnsi="Times New Roman"/>
                      <w:sz w:val="21"/>
                    </w:rPr>
                    <w:t>Joint</w:t>
                  </w:r>
                </w:p>
              </w:tc>
            </w:tr>
          </w:tbl>
          <w:p/>
          <w:p>
            <w:pPr>
              <w:spacing w:after="0" w:before="0"/>
            </w:pPr>
            <w:r>
              <w:rPr>
                <w:sz w:val="2"/>
              </w:rPr>
            </w:r>
          </w:p>
          <w:p>
            <w:pPr>
              <w:spacing w:after="100"/>
              <w:ind w:firstLine="340"/>
              <w:jc w:val="both"/>
            </w:pPr>
            <w:r>
              <w:rPr>
                <w:rFonts w:ascii="Times New Roman" w:hAnsi="Times New Roman"/>
                <w:sz w:val="24"/>
              </w:rPr>
              <w:t>"Lead" denotes primary ownership and accountability for a task; "Support" denotes review, testing, and secondary contribution; "Joint" denotes tasks genuinely carried out together (protocol decisions, evaluation, writing, and defence) where a lead/support split would misrepresent how the work is actually done. Both members remain jointly responsible for the correctness of the full system regardless of individual lead assignments.</w:t>
            </w:r>
          </w:p>
        </w:tc>
      </w:tr>
    </w:tbl>
    <w:p>
      <w:pPr>
        <w:spacing w:after="40"/>
      </w:pP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none" w:sz="0" w:color="000000"/>
          <w:insideV w:val="single" w:sz="8" w:color="000000"/>
        </w:tblBorders>
        <w:tblLayout w:type="fixed"/>
        <w:tblCellMar>
          <w:top w:w="110" w:type="dxa"/>
          <w:bottom w:w="110" w:type="dxa"/>
          <w:left w:w="110" w:type="dxa"/>
          <w:right w:w="110" w:type="dxa"/>
        </w:tblCellMar>
        <w:tblLayout w:type="fixed"/>
      </w:tblPr>
      <w:tblGrid>
        <w:gridCol w:w="4422"/>
        <w:gridCol w:w="4535"/>
      </w:tblGrid>
      <w:tr>
        <w:trPr>
          <w:cantSplit/>
        </w:trPr>
        <w:tc>
          <w:tcPr>
            <w:tcW w:type="dxa" w:w="4422"/>
          </w:tcPr>
          <w:p>
            <w:pPr>
              <w:spacing w:after="120"/>
              <w:jc w:val="center"/>
            </w:pPr>
            <w:r>
              <w:rPr>
                <w:rFonts w:ascii="Times New Roman" w:hAnsi="Times New Roman"/>
                <w:b/>
                <w:i w:val="0"/>
                <w:sz w:val="24"/>
              </w:rPr>
              <w:t>Advisor's approval</w:t>
            </w:r>
          </w:p>
          <w:p>
            <w:pPr>
              <w:spacing w:after="1040"/>
              <w:jc w:val="center"/>
            </w:pPr>
            <w:r>
              <w:rPr>
                <w:rFonts w:ascii="Times New Roman" w:hAnsi="Times New Roman"/>
                <w:b w:val="0"/>
                <w:i/>
                <w:sz w:val="24"/>
              </w:rPr>
              <w:t>(Signature and full name)</w:t>
            </w:r>
          </w:p>
          <w:p>
            <w:pPr>
              <w:spacing w:after="120"/>
              <w:jc w:val="center"/>
            </w:pPr>
            <w:r>
              <w:rPr>
                <w:rFonts w:ascii="Times New Roman" w:hAnsi="Times New Roman"/>
                <w:b/>
                <w:i w:val="0"/>
                <w:sz w:val="24"/>
              </w:rPr>
              <w:t>NGUYEN DINH THUAN</w:t>
            </w:r>
          </w:p>
        </w:tc>
        <w:tc>
          <w:tcPr>
            <w:tcW w:type="dxa" w:w="4535"/>
          </w:tcPr>
          <w:p>
            <w:pPr>
              <w:spacing w:after="120"/>
              <w:jc w:val="center"/>
            </w:pPr>
            <w:r>
              <w:rPr>
                <w:rFonts w:ascii="Times New Roman" w:hAnsi="Times New Roman"/>
                <w:b w:val="0"/>
                <w:i w:val="0"/>
                <w:sz w:val="24"/>
              </w:rPr>
              <w:t>Ho Chi Minh City, ... / ... / ......</w:t>
            </w:r>
          </w:p>
          <w:p>
            <w:pPr>
              <w:spacing w:after="120"/>
              <w:jc w:val="center"/>
            </w:pPr>
            <w:r>
              <w:rPr>
                <w:rFonts w:ascii="Times New Roman" w:hAnsi="Times New Roman"/>
                <w:b/>
                <w:i w:val="0"/>
                <w:sz w:val="24"/>
              </w:rPr>
              <w:t>Students</w:t>
            </w:r>
          </w:p>
          <w:p>
            <w:pPr>
              <w:spacing w:after="880"/>
              <w:jc w:val="center"/>
            </w:pPr>
            <w:r>
              <w:rPr>
                <w:rFonts w:ascii="Times New Roman" w:hAnsi="Times New Roman"/>
                <w:b w:val="0"/>
                <w:i/>
                <w:sz w:val="24"/>
              </w:rPr>
              <w:t>(Signatures and full names)</w:t>
            </w:r>
          </w:p>
          <w:p>
            <w:pPr>
              <w:spacing w:after="680"/>
              <w:jc w:val="center"/>
            </w:pPr>
            <w:r>
              <w:rPr>
                <w:rFonts w:ascii="Times New Roman" w:hAnsi="Times New Roman"/>
                <w:b/>
                <w:i w:val="0"/>
                <w:sz w:val="24"/>
              </w:rPr>
              <w:t>NGUYEN QUOC HUY</w:t>
            </w:r>
          </w:p>
          <w:p>
            <w:pPr>
              <w:spacing w:after="120"/>
              <w:jc w:val="center"/>
            </w:pPr>
            <w:r>
              <w:rPr>
                <w:rFonts w:ascii="Times New Roman" w:hAnsi="Times New Roman"/>
                <w:b/>
                <w:i w:val="0"/>
                <w:sz w:val="24"/>
              </w:rPr>
              <w:t>HUYNH TRAN QUOC HUY</w:t>
            </w:r>
          </w:p>
        </w:tc>
      </w:tr>
    </w:tbl>
    <w:sectPr w:rsidR="00FC693F" w:rsidRPr="0006063C"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