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00"/>
        <w:jc w:val="center"/>
      </w:pPr>
      <w:r>
        <w:rPr>
          <w:rFonts w:ascii="Times New Roman" w:hAnsi="Times New Roman"/>
          <w:b/>
          <w:sz w:val="26"/>
        </w:rPr>
        <w:t>UNIVERSITY OF INFORMATION TECHNOLOGY</w:t>
      </w:r>
    </w:p>
    <w:p>
      <w:pPr>
        <w:spacing w:before="200" w:after="100"/>
        <w:jc w:val="center"/>
      </w:pPr>
      <w:r>
        <w:rPr>
          <w:rFonts w:ascii="Times New Roman" w:hAnsi="Times New Roman"/>
          <w:b/>
          <w:sz w:val="26"/>
        </w:rPr>
        <w:t>ADVANCED PROGRAM IN INFORMATION SYSTEMS</w:t>
      </w:r>
    </w:p>
    <w:p>
      <w:pPr>
        <w:spacing w:before="80" w:after="100"/>
        <w:jc w:val="center"/>
      </w:pPr>
      <w:r>
        <w:rPr>
          <w:rFonts w:ascii="Times New Roman" w:hAnsi="Times New Roman"/>
          <w:b/>
          <w:sz w:val="26"/>
        </w:rPr>
        <w:t>THESIS PROPOSAL</w:t>
      </w:r>
    </w:p>
    <w:p>
      <w:pPr>
        <w:jc w:val="both"/>
      </w:pPr>
      <w:r>
        <w:rPr>
          <w:rFonts w:ascii="Times New Roman" w:hAnsi="Times New Roman"/>
          <w:b/>
        </w:rPr>
        <w:t>THESIS TITLE: BUILDING A STATISTICALLY VALIDATED DECISION SUPPORT SYSTEM FOR FOREIGN EXCHANGE TRADING WITH CALIBRATED UNCERTAINTY AND RISK CONTROL</w:t>
      </w:r>
    </w:p>
    <w:p>
      <w:pPr>
        <w:jc w:val="both"/>
      </w:pPr>
      <w:r>
        <w:rPr>
          <w:rFonts w:ascii="Times New Roman" w:hAnsi="Times New Roman"/>
          <w:b/>
        </w:rPr>
        <w:t>Advisor:</w:t>
      </w:r>
      <w:r>
        <w:rPr>
          <w:rFonts w:ascii="Times New Roman" w:hAnsi="Times New Roman"/>
        </w:rPr>
        <w:t xml:space="preserve"> ASSOCIATE PROFESSOR NGUYEN DINH THUAN</w:t>
      </w:r>
    </w:p>
    <w:p>
      <w:pPr>
        <w:jc w:val="both"/>
      </w:pPr>
      <w:r>
        <w:rPr>
          <w:rFonts w:ascii="Times New Roman" w:hAnsi="Times New Roman"/>
          <w:b/>
        </w:rPr>
        <w:t>Implementation period:</w:t>
      </w:r>
      <w:r>
        <w:rPr>
          <w:rFonts w:ascii="Times New Roman" w:hAnsi="Times New Roman"/>
        </w:rPr>
        <w:t xml:space="preserve"> 09/2026 to 12/2026 (16 weeks)</w:t>
      </w:r>
    </w:p>
    <w:p>
      <w:pPr>
        <w:jc w:val="both"/>
      </w:pPr>
      <w:r>
        <w:rPr>
          <w:rFonts w:ascii="Times New Roman" w:hAnsi="Times New Roman"/>
          <w:b/>
        </w:rPr>
        <w:t>Students:</w:t>
      </w:r>
    </w:p>
    <w:p>
      <w:pPr>
        <w:jc w:val="both"/>
      </w:pPr>
      <w:r>
        <w:rPr>
          <w:rFonts w:ascii="Times New Roman" w:hAnsi="Times New Roman"/>
        </w:rPr>
        <w:t>NGUYEN QUOC HUY – 22520566</w:t>
      </w:r>
    </w:p>
    <w:p>
      <w:pPr>
        <w:jc w:val="both"/>
      </w:pPr>
      <w:r>
        <w:rPr>
          <w:rFonts w:ascii="Times New Roman" w:hAnsi="Times New Roman"/>
        </w:rPr>
        <w:t>HUYNH TRAN QUOC HUY – 22520544</w:t>
      </w:r>
    </w:p>
    <w:p>
      <w:pPr>
        <w:spacing w:before="200" w:after="100"/>
        <w:jc w:val="center"/>
      </w:pPr>
      <w:r>
        <w:rPr>
          <w:rFonts w:ascii="Times New Roman" w:hAnsi="Times New Roman"/>
          <w:b/>
          <w:sz w:val="26"/>
        </w:rPr>
        <w:t>Introduction</w:t>
      </w:r>
    </w:p>
    <w:p>
      <w:pPr>
        <w:jc w:val="both"/>
      </w:pPr>
      <w:r>
        <w:rPr>
          <w:rFonts w:ascii="Times New Roman" w:hAnsi="Times New Roman"/>
        </w:rPr>
        <w:t>The foreign exchange (FX) market is the largest and most liquid financial market in the world, and a large number of decision support tools are marketed to retail participants. Such tools typically display a directional forecast, a set of chart-pattern signals, and a qualitative confidence label. The empirical foundation for these outputs is, however, considerably weaker than their presentation suggests. Daily exchange rate returns have resisted prediction since the benchmark result of Meese and Rogoff [1], and large-scale replications of technical trading rules in currencies report that in-sample profitability largely disappears out of sample and that residual abnormal returns are absorbed by a single time-series momentum factor [2], [3].</w:t>
      </w:r>
    </w:p>
    <w:p>
      <w:pPr>
        <w:jc w:val="both"/>
      </w:pPr>
      <w:r>
        <w:rPr>
          <w:rFonts w:ascii="Times New Roman" w:hAnsi="Times New Roman"/>
        </w:rPr>
        <w:t xml:space="preserve">The central methodological difficulty is not model capacity but </w:t>
      </w:r>
      <w:r>
        <w:rPr>
          <w:rFonts w:ascii="Times New Roman" w:hAnsi="Times New Roman"/>
          <w:b/>
        </w:rPr>
        <w:t>inference under a low signal-to-noise ratio combined with a large hypothesis space</w:t>
      </w:r>
      <w:r>
        <w:rPr>
          <w:rFonts w:ascii="Times New Roman" w:hAnsi="Times New Roman"/>
        </w:rPr>
        <w:t xml:space="preserve">. A system that evaluates thousands of candidate rules, feature sets, or model configurations will identify many nominally significant relationships purely by chance. Unless the hypothesis space is enumerated in advance and the family-wise error rate is controlled — for example by resampling-based step-down procedures [4] or by tests of superior predictive ability over an entire model family [5] — the resulting system reports discoveries that do not survive replication [6]. A second and less frequently addressed difficulty concerns </w:t>
      </w:r>
      <w:r>
        <w:rPr>
          <w:rFonts w:ascii="Times New Roman" w:hAnsi="Times New Roman"/>
          <w:b/>
        </w:rPr>
        <w:t>negative findings</w:t>
      </w:r>
      <w:r>
        <w:rPr>
          <w:rFonts w:ascii="Times New Roman" w:hAnsi="Times New Roman"/>
        </w:rPr>
        <w:t>: reporting that no effect was detected is uninformative unless the minimum detectable effect size (MDES) of the testing procedure is also reported, because "there is nothing there" and "the procedure could not have found it" are otherwise indistinguishable.</w:t>
      </w:r>
    </w:p>
    <w:p>
      <w:pPr>
        <w:jc w:val="both"/>
      </w:pPr>
      <w:r>
        <w:rPr>
          <w:rFonts w:ascii="Times New Roman" w:hAnsi="Times New Roman"/>
        </w:rPr>
        <w:t xml:space="preserve">A third observation motivates the design adopted here. Predictability in FX is not a single property: it should be decomposed by </w:t>
      </w:r>
      <w:r>
        <w:rPr>
          <w:rFonts w:ascii="Times New Roman" w:hAnsi="Times New Roman"/>
          <w:b/>
        </w:rPr>
        <w:t>target axis</w:t>
      </w:r>
      <w:r>
        <w:rPr>
          <w:rFonts w:ascii="Times New Roman" w:hAnsi="Times New Roman"/>
        </w:rPr>
        <w:t xml:space="preserve">. The </w:t>
      </w:r>
      <w:r>
        <w:rPr>
          <w:rFonts w:ascii="Times New Roman" w:hAnsi="Times New Roman"/>
          <w:i/>
        </w:rPr>
        <w:t>direction</w:t>
      </w:r>
      <w:r>
        <w:rPr>
          <w:rFonts w:ascii="Times New Roman" w:hAnsi="Times New Roman"/>
        </w:rPr>
        <w:t xml:space="preserve"> axis (will the price rise or fall) and the </w:t>
      </w:r>
      <w:r>
        <w:rPr>
          <w:rFonts w:ascii="Times New Roman" w:hAnsi="Times New Roman"/>
          <w:i/>
        </w:rPr>
        <w:t>magnitude</w:t>
      </w:r>
      <w:r>
        <w:rPr>
          <w:rFonts w:ascii="Times New Roman" w:hAnsi="Times New Roman"/>
        </w:rPr>
        <w:t xml:space="preserve"> axis (how large will the movement be) have very different empirical status. The heterogeneous autoregressive (HAR) model of realized volatility [7] and its extensions incorporating measurement-error correction [8] and jump/semivariance components [9] provide well-established magnitude forecasts, whereas directional skill remains contested. Recent comparative studies further report that nonlinear machine-learning models do not statistically outperform linear specifications for realized volatility once multiple testing is accounted for [10], and that time-series foundation models do not consistently beat a log-HAR benchmark [11]. A decision support system should therefore state explicitly </w:t>
      </w:r>
      <w:r>
        <w:rPr>
          <w:rFonts w:ascii="Times New Roman" w:hAnsi="Times New Roman"/>
          <w:i/>
        </w:rPr>
        <w:t>on which axis</w:t>
      </w:r>
      <w:r>
        <w:rPr>
          <w:rFonts w:ascii="Times New Roman" w:hAnsi="Times New Roman"/>
        </w:rPr>
        <w:t xml:space="preserve"> it claims skill, and should demonstrate that claim under a fixed evaluation protocol rather than asserting it.</w:t>
      </w:r>
    </w:p>
    <w:p>
      <w:pPr>
        <w:jc w:val="both"/>
      </w:pPr>
      <w:r>
        <w:rPr>
          <w:rFonts w:ascii="Times New Roman" w:hAnsi="Times New Roman"/>
        </w:rPr>
        <w:t>Preliminary work carried out by the group has established the feasibility and the empirical baseline for this design. A complete data pipeline has been constructed for six major currency pairs (EUR/USD, GBP/USD, USD/JPY, AUD/USD, USD/CAD, USD/CHF) over 2010–2025, aggregating approximately 34.9 million one-minute bars into daily bars and five-minute realized measures; a production volatility layer, a three-class probability layer, and a risk layer have been implemented end to end. Under a fixed 70/15/15 temporal split, the extended HAR specification attains a test-set QLIKE of 0.1585 against 0.2172 for the previous baseline, while fourteen machine-learning and deep-learning alternatives, two zero-shot time-series foundation models, and 509 forecast combinations fail to displace it from the Model Confidence Set [12]. On the direction axis, 8,652 fully enumerated rule hypotheses across twelve independent discovery branches yield zero survivors after family-wise error control, with a measured detection power corresponding to a lift of 1.20.</w:t>
      </w:r>
    </w:p>
    <w:p>
      <w:pPr>
        <w:jc w:val="both"/>
      </w:pPr>
      <w:r>
        <w:rPr>
          <w:rFonts w:ascii="Times New Roman" w:hAnsi="Times New Roman"/>
        </w:rPr>
        <w:t xml:space="preserve">This thesis therefore addresses a research problem that is methodological as much as it is predictive: </w:t>
      </w:r>
      <w:r>
        <w:rPr>
          <w:rFonts w:ascii="Times New Roman" w:hAnsi="Times New Roman"/>
          <w:b/>
        </w:rPr>
        <w:t>how to construct a decision support system for FX whose every displayed quantity is traceable to a measurement under a pre-registered evaluation protocol, which states the axis on which it has skill, which quantifies the strength of its negative findings, and which converts calibrated uncertainty into actionable risk limits.</w:t>
      </w:r>
      <w:r>
        <w:rPr>
          <w:rFonts w:ascii="Times New Roman" w:hAnsi="Times New Roman"/>
        </w:rPr>
        <w:t xml:space="preserve"> The remaining work consists of completing the outstanding validation components, extending the causal and exogenous-information analysis, performing a single sealed-set evaluation, and finalising the system and its documentation.</w:t>
      </w:r>
    </w:p>
    <w:p>
      <w:pPr>
        <w:spacing w:before="200" w:after="100"/>
        <w:jc w:val="center"/>
      </w:pPr>
      <w:r>
        <w:rPr>
          <w:rFonts w:ascii="Times New Roman" w:hAnsi="Times New Roman"/>
          <w:b/>
          <w:sz w:val="26"/>
        </w:rPr>
        <w:t>Research Objectives</w:t>
      </w:r>
    </w:p>
    <w:p>
      <w:pPr>
        <w:jc w:val="both"/>
      </w:pPr>
      <w:r>
        <w:rPr>
          <w:rFonts w:ascii="Times New Roman" w:hAnsi="Times New Roman"/>
        </w:rPr>
        <w:t>The primary objective of this research is to design, implement, and empirically validate a decision support system for foreign exchange trading in which forecast skill is established per target axis under strict multiple-testing control, uncertainty is communicated with finite-sample coverage guarantees, and position sizing is constrained by a measured probability of ruin.</w:t>
      </w:r>
    </w:p>
    <w:p>
      <w:pPr>
        <w:jc w:val="both"/>
      </w:pPr>
      <w:r>
        <w:rPr>
          <w:rFonts w:ascii="Times New Roman" w:hAnsi="Times New Roman"/>
        </w:rPr>
        <w:t>Specific objectives include:</w:t>
      </w:r>
    </w:p>
    <w:p>
      <w:pPr>
        <w:pStyle w:val="ListBullet"/>
        <w:spacing w:after="60"/>
        <w:jc w:val="both"/>
      </w:pPr>
      <w:r>
        <w:rPr>
          <w:rFonts w:ascii="Times New Roman" w:hAnsi="Times New Roman"/>
          <w:b/>
        </w:rPr>
        <w:t>Establishing axis-specific predictability.</w:t>
      </w:r>
      <w:r>
        <w:rPr>
          <w:rFonts w:ascii="Times New Roman" w:hAnsi="Times New Roman"/>
        </w:rPr>
        <w:t xml:space="preserve"> Determine, under a single fixed evaluation protocol, on which of the three target axes — direction, magnitude, and risk — out-of-sample predictive skill can be demonstrated for daily FX, and report the result on each axis separately rather than through a single aggregate score.</w:t>
      </w:r>
    </w:p>
    <w:p>
      <w:pPr>
        <w:pStyle w:val="ListBullet"/>
        <w:spacing w:after="60"/>
        <w:jc w:val="both"/>
      </w:pPr>
      <w:r>
        <w:rPr>
          <w:rFonts w:ascii="Times New Roman" w:hAnsi="Times New Roman"/>
          <w:b/>
        </w:rPr>
        <w:t>Benchmarking model complexity against a well-specified econometric baseline.</w:t>
      </w:r>
      <w:r>
        <w:rPr>
          <w:rFonts w:ascii="Times New Roman" w:hAnsi="Times New Roman"/>
        </w:rPr>
        <w:t xml:space="preserve"> Compare linear HAR-type specifications with tree-based ensembles, recurrent and attention-based neural architectures, tabular and time-series foundation models, and systematic forecast combinations, using proper scoring rules and formal model-comparison tests.</w:t>
      </w:r>
    </w:p>
    <w:p>
      <w:pPr>
        <w:pStyle w:val="ListBullet"/>
        <w:spacing w:after="60"/>
        <w:jc w:val="both"/>
      </w:pPr>
      <w:r>
        <w:rPr>
          <w:rFonts w:ascii="Times New Roman" w:hAnsi="Times New Roman"/>
          <w:b/>
        </w:rPr>
        <w:t>Quantifying the incremental value of additional information layers.</w:t>
      </w:r>
      <w:r>
        <w:rPr>
          <w:rFonts w:ascii="Times New Roman" w:hAnsi="Times New Roman"/>
        </w:rPr>
        <w:t xml:space="preserve"> Evaluate whether textual central-bank communication, macroeconomic and cross-asset exogenous variables, and daily candlestick geometry add measurable predictive value beyond price history, and determine whether </w:t>
      </w:r>
      <w:r>
        <w:rPr>
          <w:rFonts w:ascii="Times New Roman" w:hAnsi="Times New Roman"/>
          <w:i/>
        </w:rPr>
        <w:t>causal/temporal filtering</w:t>
      </w:r>
      <w:r>
        <w:rPr>
          <w:rFonts w:ascii="Times New Roman" w:hAnsi="Times New Roman"/>
        </w:rPr>
        <w:t xml:space="preserve"> of such variables outperforms ordinary validation-based feature selection.</w:t>
      </w:r>
    </w:p>
    <w:p>
      <w:pPr>
        <w:pStyle w:val="ListBullet"/>
        <w:spacing w:after="60"/>
        <w:jc w:val="both"/>
      </w:pPr>
      <w:r>
        <w:rPr>
          <w:rFonts w:ascii="Times New Roman" w:hAnsi="Times New Roman"/>
          <w:b/>
        </w:rPr>
        <w:t>Delivering calibrated and guaranteed uncertainty.</w:t>
      </w:r>
      <w:r>
        <w:rPr>
          <w:rFonts w:ascii="Times New Roman" w:hAnsi="Times New Roman"/>
        </w:rPr>
        <w:t xml:space="preserve"> Implement and validate adaptive conformal prediction so that the prediction sets displayed to the user carry a finite-sample coverage guarantee under distribution shift, and verify calibration with proper scoring rules and reliability diagnostics.</w:t>
      </w:r>
    </w:p>
    <w:p>
      <w:pPr>
        <w:pStyle w:val="ListBullet"/>
        <w:spacing w:after="60"/>
        <w:jc w:val="both"/>
      </w:pPr>
      <w:r>
        <w:rPr>
          <w:rFonts w:ascii="Times New Roman" w:hAnsi="Times New Roman"/>
          <w:b/>
        </w:rPr>
        <w:t>Converting forecasts into risk-controlled decisions.</w:t>
      </w:r>
      <w:r>
        <w:rPr>
          <w:rFonts w:ascii="Times New Roman" w:hAnsi="Times New Roman"/>
        </w:rPr>
        <w:t xml:space="preserve"> Produce a per-session decision record comprising forecast volatility, recommended stop distance, probability of stop-out by holding horizon, Value-at-Risk and Expected Shortfall with formal backtests, and a ruin-constrained position size adjusted for portfolio correlation and measured slippage.</w:t>
      </w:r>
    </w:p>
    <w:p>
      <w:pPr>
        <w:pStyle w:val="ListBullet"/>
        <w:spacing w:after="60"/>
        <w:jc w:val="both"/>
      </w:pPr>
      <w:r>
        <w:rPr>
          <w:rFonts w:ascii="Times New Roman" w:hAnsi="Times New Roman"/>
          <w:b/>
        </w:rPr>
        <w:t>Reporting negative findings with quantified power.</w:t>
      </w:r>
      <w:r>
        <w:rPr>
          <w:rFonts w:ascii="Times New Roman" w:hAnsi="Times New Roman"/>
        </w:rPr>
        <w:t xml:space="preserve"> For every negative result, report the minimum detectable effect size of the corresponding testing procedure, so that each negative claim is bounded rather than open-ended.</w:t>
      </w:r>
    </w:p>
    <w:p>
      <w:pPr>
        <w:pStyle w:val="ListBullet"/>
        <w:spacing w:after="60"/>
        <w:jc w:val="both"/>
      </w:pPr>
      <w:r>
        <w:rPr>
          <w:rFonts w:ascii="Times New Roman" w:hAnsi="Times New Roman"/>
          <w:b/>
        </w:rPr>
        <w:t>Implementing the complete system.</w:t>
      </w:r>
      <w:r>
        <w:rPr>
          <w:rFonts w:ascii="Times New Roman" w:hAnsi="Times New Roman"/>
        </w:rPr>
        <w:t xml:space="preserve"> Deliver a reproducible web-based decision support system in which every displayed number is traceable to a specific measurement and its supporting evidence.</w:t>
      </w:r>
    </w:p>
    <w:p>
      <w:pPr>
        <w:spacing w:before="200" w:after="100"/>
        <w:jc w:val="center"/>
      </w:pPr>
      <w:r>
        <w:rPr>
          <w:rFonts w:ascii="Times New Roman" w:hAnsi="Times New Roman"/>
          <w:b/>
          <w:sz w:val="26"/>
        </w:rPr>
        <w:t>Research Scope</w:t>
      </w:r>
    </w:p>
    <w:p>
      <w:pPr>
        <w:jc w:val="both"/>
      </w:pPr>
      <w:r>
        <w:rPr>
          <w:rFonts w:ascii="Times New Roman" w:hAnsi="Times New Roman"/>
        </w:rPr>
        <w:t xml:space="preserve">This research focuses on </w:t>
      </w:r>
      <w:r>
        <w:rPr>
          <w:rFonts w:ascii="Times New Roman" w:hAnsi="Times New Roman"/>
          <w:b/>
        </w:rPr>
        <w:t>daily-horizon decision support for six major USD-quoted currency pairs</w:t>
      </w:r>
      <w:r>
        <w:rPr>
          <w:rFonts w:ascii="Times New Roman" w:hAnsi="Times New Roman"/>
        </w:rPr>
        <w:t>: EUR/USD, GBP/USD, USD/JPY, AUD/USD, USD/CAD, and USD/CHF. The development sample covers 2010–2025 and is partitioned temporally into training, validation, and test segments in a 70/15/15 ratio; model and hyper-parameter selection uses only the validation segment, and the test segment is scored once.</w:t>
      </w:r>
    </w:p>
    <w:p>
      <w:pPr>
        <w:jc w:val="both"/>
      </w:pPr>
      <w:r>
        <w:rPr>
          <w:rFonts w:ascii="Times New Roman" w:hAnsi="Times New Roman"/>
        </w:rPr>
        <w:t xml:space="preserve">A </w:t>
      </w:r>
      <w:r>
        <w:rPr>
          <w:rFonts w:ascii="Times New Roman" w:hAnsi="Times New Roman"/>
          <w:b/>
        </w:rPr>
        <w:t>sealed evaluation set</w:t>
      </w:r>
      <w:r>
        <w:rPr>
          <w:rFonts w:ascii="Times New Roman" w:hAnsi="Times New Roman"/>
        </w:rPr>
        <w:t xml:space="preserve"> — six cross pairs, NZD/USD, and the whole of 2026 — is reserved and is opened exactly once, at the end of the study, after the final configuration has been frozen in writing. No retuning is permitted after the sealed set is opened.</w:t>
      </w:r>
    </w:p>
    <w:p>
      <w:pPr>
        <w:jc w:val="both"/>
      </w:pPr>
      <w:r>
        <w:rPr>
          <w:rFonts w:ascii="Times New Roman" w:hAnsi="Times New Roman"/>
        </w:rPr>
        <w:t>The primary data source is aggregated one-minute historical bar data, from which daily bars and five-minute realized measures (realized variance, realized quarticity, bipower variation, and signed semivariances) are computed. Supplementary sources include an official central-bank meeting and macroeconomic release calendar, daily exogenous series obtained from a public economic data service, published monetary-policy surprise measures, interest-rate differentials, and transaction-cost measurements derived from tick data with bid–ask quotations.</w:t>
      </w:r>
    </w:p>
    <w:p>
      <w:pPr>
        <w:jc w:val="both"/>
      </w:pPr>
      <w:r>
        <w:rPr>
          <w:rFonts w:ascii="Times New Roman" w:hAnsi="Times New Roman"/>
        </w:rPr>
        <w:t>Forecast horizons considered are one, five, and twenty trading sessions. The one-session horizon is the operational default; longer horizons are reported with their measured skill level rather than presented as equivalent.</w:t>
      </w:r>
    </w:p>
    <w:p>
      <w:pPr>
        <w:jc w:val="both"/>
      </w:pPr>
      <w:r>
        <w:rPr>
          <w:rFonts w:ascii="Times New Roman" w:hAnsi="Times New Roman"/>
        </w:rPr>
        <w:t xml:space="preserve">The study is explicitly </w:t>
      </w:r>
      <w:r>
        <w:rPr>
          <w:rFonts w:ascii="Times New Roman" w:hAnsi="Times New Roman"/>
          <w:b/>
        </w:rPr>
        <w:t>not</w:t>
      </w:r>
      <w:r>
        <w:rPr>
          <w:rFonts w:ascii="Times New Roman" w:hAnsi="Times New Roman"/>
        </w:rPr>
        <w:t xml:space="preserve"> an attempt to construct a profitable automated trading strategy. Order execution, order-book microstructure modelling, market impact of large orders, intraday trade timing below the daily decision, and portfolio optimisation across asset classes other than FX are outside the scope. Statements about causality are limited to temporal predictive relationships in the Granger sense and are not presented as structural causal claims.</w:t>
      </w:r>
    </w:p>
    <w:p>
      <w:pPr>
        <w:spacing w:before="200" w:after="100"/>
        <w:jc w:val="center"/>
      </w:pPr>
      <w:r>
        <w:rPr>
          <w:rFonts w:ascii="Times New Roman" w:hAnsi="Times New Roman"/>
          <w:b/>
          <w:sz w:val="26"/>
        </w:rPr>
        <w:t>Research Subjects</w:t>
      </w:r>
    </w:p>
    <w:p>
      <w:pPr>
        <w:jc w:val="both"/>
      </w:pPr>
      <w:r>
        <w:rPr>
          <w:rFonts w:ascii="Times New Roman" w:hAnsi="Times New Roman"/>
        </w:rPr>
        <w:t xml:space="preserve">The primary research subject is </w:t>
      </w:r>
      <w:r>
        <w:rPr>
          <w:rFonts w:ascii="Times New Roman" w:hAnsi="Times New Roman"/>
          <w:b/>
        </w:rPr>
        <w:t>the statistical validation of decision support outputs for foreign exchange trading under a low signal-to-noise ratio</w:t>
      </w:r>
      <w:r>
        <w:rPr>
          <w:rFonts w:ascii="Times New Roman" w:hAnsi="Times New Roman"/>
        </w:rPr>
        <w:t>.</w:t>
      </w:r>
    </w:p>
    <w:p>
      <w:pPr>
        <w:jc w:val="both"/>
      </w:pPr>
      <w:r>
        <w:rPr>
          <w:rFonts w:ascii="Times New Roman" w:hAnsi="Times New Roman"/>
        </w:rPr>
        <w:t>The study examines how forecast skill can be attributed to a specific target axis and to a specific information layer; how multiple-testing control, power analysis, leakage protection, and sealed-set validation interact to produce claims that survive replication; how calibrated probabilistic forecasts and conformal prediction sets can be converted into risk limits with a measured probability of ruin; and how such evidence should be presented in a decision support interface so that the user can distinguish what the system measures from what it merely assumes.</w:t>
      </w:r>
    </w:p>
    <w:p>
      <w:pPr>
        <w:spacing w:before="200" w:after="100"/>
        <w:jc w:val="center"/>
      </w:pPr>
      <w:r>
        <w:rPr>
          <w:rFonts w:ascii="Times New Roman" w:hAnsi="Times New Roman"/>
          <w:b/>
          <w:sz w:val="26"/>
        </w:rPr>
        <w:t>Research Methodology</w:t>
      </w:r>
    </w:p>
    <w:p>
      <w:pPr>
        <w:jc w:val="both"/>
      </w:pPr>
      <w:r>
        <w:rPr>
          <w:rFonts w:ascii="Times New Roman" w:hAnsi="Times New Roman"/>
        </w:rPr>
        <w:t>The research is conducted through the following main activities.</w:t>
      </w:r>
    </w:p>
    <w:p>
      <w:pPr>
        <w:spacing w:before="200" w:after="100"/>
      </w:pPr>
      <w:r>
        <w:rPr>
          <w:rFonts w:ascii="Times New Roman" w:hAnsi="Times New Roman"/>
          <w:b/>
          <w:sz w:val="26"/>
        </w:rPr>
        <w:t>Literature Review</w:t>
      </w:r>
    </w:p>
    <w:p>
      <w:pPr>
        <w:pStyle w:val="ListBullet"/>
        <w:spacing w:after="60"/>
        <w:jc w:val="both"/>
      </w:pPr>
      <w:r>
        <w:rPr>
          <w:rFonts w:ascii="Times New Roman" w:hAnsi="Times New Roman"/>
        </w:rPr>
        <w:t>Review realized-volatility modelling, covering the HAR family and its measurement-error, jump, and semivariance extensions, and recent comparative evidence on machine learning and foundation models for volatility forecasting.</w:t>
      </w:r>
    </w:p>
    <w:p>
      <w:pPr>
        <w:pStyle w:val="ListBullet"/>
        <w:spacing w:after="60"/>
        <w:jc w:val="both"/>
      </w:pPr>
      <w:r>
        <w:rPr>
          <w:rFonts w:ascii="Times New Roman" w:hAnsi="Times New Roman"/>
        </w:rPr>
        <w:t>Review the evidence on FX directional predictability, including large-scale technical-rule studies with data-snooping control, and the momentum-factor explanation of residual rule profitability.</w:t>
      </w:r>
    </w:p>
    <w:p>
      <w:pPr>
        <w:pStyle w:val="ListBullet"/>
        <w:spacing w:after="60"/>
        <w:jc w:val="both"/>
      </w:pPr>
      <w:r>
        <w:rPr>
          <w:rFonts w:ascii="Times New Roman" w:hAnsi="Times New Roman"/>
        </w:rPr>
        <w:t>Review statistically sound pattern discovery, family-wise error control, superior predictive ability testing, and model confidence sets.</w:t>
      </w:r>
    </w:p>
    <w:p>
      <w:pPr>
        <w:pStyle w:val="ListBullet"/>
        <w:spacing w:after="60"/>
        <w:jc w:val="both"/>
      </w:pPr>
      <w:r>
        <w:rPr>
          <w:rFonts w:ascii="Times New Roman" w:hAnsi="Times New Roman"/>
        </w:rPr>
        <w:t>Review conformal prediction under distribution shift, proper scoring rules, and calibration diagnostics.</w:t>
      </w:r>
    </w:p>
    <w:p>
      <w:pPr>
        <w:pStyle w:val="ListBullet"/>
        <w:spacing w:after="60"/>
        <w:jc w:val="both"/>
      </w:pPr>
      <w:r>
        <w:rPr>
          <w:rFonts w:ascii="Times New Roman" w:hAnsi="Times New Roman"/>
        </w:rPr>
        <w:t>Review Value-at-Risk and Expected Shortfall backtesting, and growth-optimal position sizing under a ruin constraint.</w:t>
      </w:r>
    </w:p>
    <w:p>
      <w:pPr>
        <w:spacing w:before="200" w:after="100"/>
      </w:pPr>
      <w:r>
        <w:rPr>
          <w:rFonts w:ascii="Times New Roman" w:hAnsi="Times New Roman"/>
          <w:b/>
          <w:sz w:val="26"/>
        </w:rPr>
        <w:t>Data Preparation and Protocol Fixing</w:t>
      </w:r>
    </w:p>
    <w:p>
      <w:pPr>
        <w:pStyle w:val="ListBullet"/>
        <w:spacing w:after="60"/>
        <w:jc w:val="both"/>
      </w:pPr>
      <w:r>
        <w:rPr>
          <w:rFonts w:ascii="Times New Roman" w:hAnsi="Times New Roman"/>
        </w:rPr>
        <w:t>Construct daily bars and five-minute realized measures from one-minute source data; verify contiguity, session conventions, and time-zone handling.</w:t>
      </w:r>
    </w:p>
    <w:p>
      <w:pPr>
        <w:pStyle w:val="ListBullet"/>
        <w:spacing w:after="60"/>
        <w:jc w:val="both"/>
      </w:pPr>
      <w:r>
        <w:rPr>
          <w:rFonts w:ascii="Times New Roman" w:hAnsi="Times New Roman"/>
        </w:rPr>
        <w:t xml:space="preserve">Fix the temporal partition, the evaluation metrics per axis, the multiple-testing procedure, and the sealed-set policy in a written record </w:t>
      </w:r>
      <w:r>
        <w:rPr>
          <w:rFonts w:ascii="Times New Roman" w:hAnsi="Times New Roman"/>
          <w:b/>
        </w:rPr>
        <w:t>before</w:t>
      </w:r>
      <w:r>
        <w:rPr>
          <w:rFonts w:ascii="Times New Roman" w:hAnsi="Times New Roman"/>
        </w:rPr>
        <w:t xml:space="preserve"> any scoring, and record every configuration evaluated on the development sample.</w:t>
      </w:r>
    </w:p>
    <w:p>
      <w:pPr>
        <w:pStyle w:val="ListBullet"/>
        <w:spacing w:after="60"/>
        <w:jc w:val="both"/>
      </w:pPr>
      <w:r>
        <w:rPr>
          <w:rFonts w:ascii="Times New Roman" w:hAnsi="Times New Roman"/>
        </w:rPr>
        <w:t xml:space="preserve">Implement a permanent anti-leakage protocol: every derived feature must satisfy the self-test that truncating all information revealed after time </w:t>
      </w:r>
      <w:r>
        <w:rPr>
          <w:rFonts w:ascii="Times New Roman" w:hAnsi="Times New Roman"/>
          <w:i/>
        </w:rPr>
        <w:t>t</w:t>
      </w:r>
      <w:r>
        <w:rPr>
          <w:rFonts w:ascii="Times New Roman" w:hAnsi="Times New Roman"/>
        </w:rPr>
        <w:t xml:space="preserve"> leaves its value at </w:t>
      </w:r>
      <w:r>
        <w:rPr>
          <w:rFonts w:ascii="Times New Roman" w:hAnsi="Times New Roman"/>
          <w:i/>
        </w:rPr>
        <w:t>t</w:t>
      </w:r>
      <w:r>
        <w:rPr>
          <w:rFonts w:ascii="Times New Roman" w:hAnsi="Times New Roman"/>
        </w:rPr>
        <w:t xml:space="preserve"> unchanged.</w:t>
      </w:r>
    </w:p>
    <w:p>
      <w:pPr>
        <w:spacing w:before="200" w:after="100"/>
      </w:pPr>
      <w:r>
        <w:rPr>
          <w:rFonts w:ascii="Times New Roman" w:hAnsi="Times New Roman"/>
          <w:b/>
          <w:sz w:val="26"/>
        </w:rPr>
        <w:t>Baseline Establishment and Model Comparison</w:t>
      </w:r>
    </w:p>
    <w:p>
      <w:pPr>
        <w:pStyle w:val="ListBullet"/>
        <w:spacing w:after="60"/>
        <w:jc w:val="both"/>
      </w:pPr>
      <w:r>
        <w:rPr>
          <w:rFonts w:ascii="Times New Roman" w:hAnsi="Times New Roman"/>
        </w:rPr>
        <w:t>Establish the extended HAR specification as the production magnitude baseline and an online expert-combination layer [13] as the three-class probability baseline.</w:t>
      </w:r>
    </w:p>
    <w:p>
      <w:pPr>
        <w:pStyle w:val="ListBullet"/>
        <w:spacing w:after="60"/>
        <w:jc w:val="both"/>
      </w:pPr>
      <w:r>
        <w:rPr>
          <w:rFonts w:ascii="Times New Roman" w:hAnsi="Times New Roman"/>
        </w:rPr>
        <w:t>Compare against linear regularised models, gradient-boosted trees, recurrent and attention-based networks, a tabular foundation model [14], zero-shot time-series foundation models [11], and systematic forecast combinations, all under an identical information set, refit frequency, and variance-conversion procedure.</w:t>
      </w:r>
    </w:p>
    <w:p>
      <w:pPr>
        <w:pStyle w:val="ListBullet"/>
        <w:spacing w:after="60"/>
        <w:jc w:val="both"/>
      </w:pPr>
      <w:r>
        <w:rPr>
          <w:rFonts w:ascii="Times New Roman" w:hAnsi="Times New Roman"/>
        </w:rPr>
        <w:t>Evaluate with scale-invariant QLIKE [15], the continuous ranked probability score, and the logarithmic and Brier scores [16], and assess significance with Diebold–Mariano tests [17] and Model Confidence Sets [12].</w:t>
      </w:r>
    </w:p>
    <w:p>
      <w:pPr>
        <w:spacing w:before="200" w:after="100"/>
      </w:pPr>
      <w:r>
        <w:rPr>
          <w:rFonts w:ascii="Times New Roman" w:hAnsi="Times New Roman"/>
          <w:b/>
          <w:sz w:val="26"/>
        </w:rPr>
        <w:t>Pattern, Exogenous, and Causal Analysis</w:t>
      </w:r>
    </w:p>
    <w:p>
      <w:pPr>
        <w:pStyle w:val="ListBullet"/>
        <w:spacing w:after="60"/>
        <w:jc w:val="both"/>
      </w:pPr>
      <w:r>
        <w:rPr>
          <w:rFonts w:ascii="Times New Roman" w:hAnsi="Times New Roman"/>
        </w:rPr>
        <w:t>Enumerate the hypothesis space in advance for every discovery family — symbolic sequence patterns, motif and matrix-profile analysis, interpretable rule learning, regime models, textual central-bank features, exogenous macro and cross-asset variables, and daily candlestick geometry — and apply step-down max-</w:t>
      </w:r>
      <w:r>
        <w:rPr>
          <w:rFonts w:ascii="Times New Roman" w:hAnsi="Times New Roman"/>
          <w:i/>
        </w:rPr>
        <w:t>T</w:t>
      </w:r>
      <w:r>
        <w:rPr>
          <w:rFonts w:ascii="Times New Roman" w:hAnsi="Times New Roman"/>
        </w:rPr>
        <w:t xml:space="preserve"> resampling with block-preserving null models [4].</w:t>
      </w:r>
    </w:p>
    <w:p>
      <w:pPr>
        <w:pStyle w:val="ListBullet"/>
        <w:spacing w:after="60"/>
        <w:jc w:val="both"/>
      </w:pPr>
      <w:r>
        <w:rPr>
          <w:rFonts w:ascii="Times New Roman" w:hAnsi="Times New Roman"/>
        </w:rPr>
        <w:t>Condition every candidate on the strongest available null: the production volatility forecast for the magnitude axis, and time-series momentum for the direction axis [3].</w:t>
      </w:r>
    </w:p>
    <w:p>
      <w:pPr>
        <w:pStyle w:val="ListBullet"/>
        <w:spacing w:after="60"/>
        <w:jc w:val="both"/>
      </w:pPr>
      <w:r>
        <w:rPr>
          <w:rFonts w:ascii="Times New Roman" w:hAnsi="Times New Roman"/>
        </w:rPr>
        <w:t>For the exogenous layer, contrast three feature-selection regimes under an identical model class and parameter budget: all declared variables, validation-selected variables, and variables filtered by temporal-causal testing [18] with a cross-pair and cross-year stability screen, in order to isolate the contribution of causal filtering itself.</w:t>
      </w:r>
    </w:p>
    <w:p>
      <w:pPr>
        <w:pStyle w:val="ListBullet"/>
        <w:spacing w:after="60"/>
        <w:jc w:val="both"/>
      </w:pPr>
      <w:r>
        <w:rPr>
          <w:rFonts w:ascii="Times New Roman" w:hAnsi="Times New Roman"/>
        </w:rPr>
        <w:t>Screen surviving candidates for sign consistency across pairs and across years, and require leave-one-pair-out transfer before any candidate is admitted.</w:t>
      </w:r>
    </w:p>
    <w:p>
      <w:pPr>
        <w:spacing w:before="200" w:after="100"/>
      </w:pPr>
      <w:r>
        <w:rPr>
          <w:rFonts w:ascii="Times New Roman" w:hAnsi="Times New Roman"/>
          <w:b/>
          <w:sz w:val="26"/>
        </w:rPr>
        <w:t>Calibration, Risk, and Decision Layer</w:t>
      </w:r>
    </w:p>
    <w:p>
      <w:pPr>
        <w:pStyle w:val="ListBullet"/>
        <w:spacing w:after="60"/>
        <w:jc w:val="both"/>
      </w:pPr>
      <w:r>
        <w:rPr>
          <w:rFonts w:ascii="Times New Roman" w:hAnsi="Times New Roman"/>
        </w:rPr>
        <w:t>Implement adaptive conformal inference with Mondrian stratification by volatility regime [19], [20], and verify empirical coverage overall and conditional on regime.</w:t>
      </w:r>
    </w:p>
    <w:p>
      <w:pPr>
        <w:pStyle w:val="ListBullet"/>
        <w:spacing w:after="60"/>
        <w:jc w:val="both"/>
      </w:pPr>
      <w:r>
        <w:rPr>
          <w:rFonts w:ascii="Times New Roman" w:hAnsi="Times New Roman"/>
        </w:rPr>
        <w:t>Estimate Value-at-Risk and Expected Shortfall from empirical quantiles of standardised returns scaled by the volatility forecast, and backtest per pair using unconditional coverage [21], independence and conditional coverage [22], and dynamic quantile tests [23]; assess the joint (VaR, ES) pair with a strictly consistent scoring function [24].</w:t>
      </w:r>
    </w:p>
    <w:p>
      <w:pPr>
        <w:pStyle w:val="ListBullet"/>
        <w:spacing w:after="60"/>
        <w:jc w:val="both"/>
      </w:pPr>
      <w:r>
        <w:rPr>
          <w:rFonts w:ascii="Times New Roman" w:hAnsi="Times New Roman"/>
        </w:rPr>
        <w:t>Compute position size as the minimum of a growth-optimal fraction [25] and a ruin-constrained cap, adjusted by volatility regime, drawdown state, a portfolio correlation factor, and a slippage coefficient measured from observed stop-loss executions.</w:t>
      </w:r>
    </w:p>
    <w:p>
      <w:pPr>
        <w:spacing w:before="200" w:after="100"/>
      </w:pPr>
      <w:r>
        <w:rPr>
          <w:rFonts w:ascii="Times New Roman" w:hAnsi="Times New Roman"/>
          <w:b/>
          <w:sz w:val="26"/>
        </w:rPr>
        <w:t>Power Analysis and Sealed Validation</w:t>
      </w:r>
    </w:p>
    <w:p>
      <w:pPr>
        <w:pStyle w:val="ListBullet"/>
        <w:spacing w:after="60"/>
        <w:jc w:val="both"/>
      </w:pPr>
      <w:r>
        <w:rPr>
          <w:rFonts w:ascii="Times New Roman" w:hAnsi="Times New Roman"/>
        </w:rPr>
        <w:t>For every negative finding, inject synthetic effects of known magnitude through the actual testing funnel and report the effect size detected with 80% power, together with a negative control establishing the false-positive rate under pure noise.</w:t>
      </w:r>
    </w:p>
    <w:p>
      <w:pPr>
        <w:pStyle w:val="ListBullet"/>
        <w:spacing w:after="60"/>
        <w:jc w:val="both"/>
      </w:pPr>
      <w:r>
        <w:rPr>
          <w:rFonts w:ascii="Times New Roman" w:hAnsi="Times New Roman"/>
        </w:rPr>
        <w:t>Freeze the final configuration in writing, then open the sealed evaluation set exactly once and report the resulting numbers without modification.</w:t>
      </w:r>
    </w:p>
    <w:p>
      <w:pPr>
        <w:spacing w:before="200" w:after="100"/>
      </w:pPr>
      <w:r>
        <w:rPr>
          <w:rFonts w:ascii="Times New Roman" w:hAnsi="Times New Roman"/>
          <w:b/>
          <w:sz w:val="26"/>
        </w:rPr>
        <w:t>System Implementation and Analysis</w:t>
      </w:r>
    </w:p>
    <w:p>
      <w:pPr>
        <w:pStyle w:val="ListBullet"/>
        <w:spacing w:after="60"/>
        <w:jc w:val="both"/>
      </w:pPr>
      <w:r>
        <w:rPr>
          <w:rFonts w:ascii="Times New Roman" w:hAnsi="Times New Roman"/>
        </w:rPr>
        <w:t>Implement the system as a web application with a computation layer, a versioned forecast-artefact interface, and a user interface that presents per-axis skill, conformal prediction sets, the event calendar with measured historical responses, and the risk decision record with full provenance.</w:t>
      </w:r>
    </w:p>
    <w:p>
      <w:pPr>
        <w:pStyle w:val="ListBullet"/>
        <w:spacing w:after="60"/>
        <w:jc w:val="both"/>
      </w:pPr>
      <w:r>
        <w:rPr>
          <w:rFonts w:ascii="Times New Roman" w:hAnsi="Times New Roman"/>
        </w:rPr>
        <w:t>Analyse failure cases and limitations, including pairs that fail tail backtests and horizons at which calibration degrades, and report them within the interface rather than omitting them.</w:t>
      </w:r>
    </w:p>
    <w:p>
      <w:pPr>
        <w:spacing w:before="200" w:after="100"/>
        <w:jc w:val="center"/>
      </w:pPr>
      <w:r>
        <w:rPr>
          <w:rFonts w:ascii="Times New Roman" w:hAnsi="Times New Roman"/>
          <w:b/>
          <w:sz w:val="26"/>
        </w:rPr>
        <w:t>Expected Results and Contributions</w:t>
      </w:r>
    </w:p>
    <w:p>
      <w:pPr>
        <w:jc w:val="both"/>
      </w:pPr>
      <w:r>
        <w:rPr>
          <w:rFonts w:ascii="Times New Roman" w:hAnsi="Times New Roman"/>
        </w:rPr>
        <w:t>The expected outcomes of this research include:</w:t>
      </w:r>
    </w:p>
    <w:p>
      <w:pPr>
        <w:pStyle w:val="ListBullet"/>
        <w:spacing w:after="60"/>
        <w:jc w:val="both"/>
      </w:pPr>
      <w:r>
        <w:rPr>
          <w:rFonts w:ascii="Times New Roman" w:hAnsi="Times New Roman"/>
          <w:b/>
        </w:rPr>
        <w:t>A validated decision support system for FX</w:t>
      </w:r>
      <w:r>
        <w:rPr>
          <w:rFonts w:ascii="Times New Roman" w:hAnsi="Times New Roman"/>
        </w:rPr>
        <w:t xml:space="preserve"> that issues, for each session and each pair, a volatility forecast, a calibrated three-class probability distribution with a conformal prediction set, an event-risk assessment, and a ruin-constrained position-sizing recommendation, with every displayed quantity traceable to a specific measurement.</w:t>
      </w:r>
    </w:p>
    <w:p>
      <w:pPr>
        <w:pStyle w:val="ListBullet"/>
        <w:spacing w:after="60"/>
        <w:jc w:val="both"/>
      </w:pPr>
      <w:r>
        <w:rPr>
          <w:rFonts w:ascii="Times New Roman" w:hAnsi="Times New Roman"/>
          <w:b/>
        </w:rPr>
        <w:t>An axis-resolved characterisation of daily FX predictability</w:t>
      </w:r>
      <w:r>
        <w:rPr>
          <w:rFonts w:ascii="Times New Roman" w:hAnsi="Times New Roman"/>
        </w:rPr>
        <w:t>, establishing where skill exists and where it does not, under a single protocol applied uniformly across all information layers. Preliminary results indicate positive and statistically significant skill on the magnitude axis and no detectable skill on the direction axis across twelve independent discovery branches; the thesis will complete this analysis at the remaining horizons and validate it on sealed data.</w:t>
      </w:r>
    </w:p>
    <w:p>
      <w:pPr>
        <w:pStyle w:val="ListBullet"/>
        <w:spacing w:after="60"/>
        <w:jc w:val="both"/>
      </w:pPr>
      <w:r>
        <w:rPr>
          <w:rFonts w:ascii="Times New Roman" w:hAnsi="Times New Roman"/>
          <w:b/>
        </w:rPr>
        <w:t>A systematic benchmark of model complexity for FX volatility forecasting</w:t>
      </w:r>
      <w:r>
        <w:rPr>
          <w:rFonts w:ascii="Times New Roman" w:hAnsi="Times New Roman"/>
        </w:rPr>
        <w:t>, covering linear, tree-based, recurrent, attention-based, tabular-foundation and time-series-foundation models, together with exhaustive forecast combinations, evaluated with proper scoring rules and model confidence sets.</w:t>
      </w:r>
    </w:p>
    <w:p>
      <w:pPr>
        <w:pStyle w:val="ListBullet"/>
        <w:spacing w:after="60"/>
        <w:jc w:val="both"/>
      </w:pPr>
      <w:r>
        <w:rPr>
          <w:rFonts w:ascii="Times New Roman" w:hAnsi="Times New Roman"/>
          <w:b/>
        </w:rPr>
        <w:t>An empirical comparison of causal filtering against ordinary feature selection.</w:t>
      </w:r>
      <w:r>
        <w:rPr>
          <w:rFonts w:ascii="Times New Roman" w:hAnsi="Times New Roman"/>
        </w:rPr>
        <w:t xml:space="preserve"> Preliminary results show that variables filtered by temporal-causal testing with a stability screen degrade substantially less out of sample than variables selected by validation performance, with the mechanism identified and measured as distribution drift in the selected macroeconomic variables. This result is, to our knowledge, not documented in the FX forecasting literature.</w:t>
      </w:r>
    </w:p>
    <w:p>
      <w:pPr>
        <w:pStyle w:val="ListBullet"/>
        <w:spacing w:after="60"/>
        <w:jc w:val="both"/>
      </w:pPr>
      <w:r>
        <w:rPr>
          <w:rFonts w:ascii="Times New Roman" w:hAnsi="Times New Roman"/>
          <w:b/>
        </w:rPr>
        <w:t>Power-bounded negative evidence.</w:t>
      </w:r>
      <w:r>
        <w:rPr>
          <w:rFonts w:ascii="Times New Roman" w:hAnsi="Times New Roman"/>
        </w:rPr>
        <w:t xml:space="preserve"> Each negative finding will be reported together with the minimum effect size detectable by the corresponding procedure, converting statements of the form "no relationship was found" into bounded claims of the form "no relationship stronger than </w:t>
      </w:r>
      <w:r>
        <w:rPr>
          <w:rFonts w:ascii="Times New Roman" w:hAnsi="Times New Roman"/>
          <w:i/>
        </w:rPr>
        <w:t>X</w:t>
      </w:r>
      <w:r>
        <w:rPr>
          <w:rFonts w:ascii="Times New Roman" w:hAnsi="Times New Roman"/>
        </w:rPr>
        <w:t xml:space="preserve"> exists in these data".</w:t>
      </w:r>
    </w:p>
    <w:p>
      <w:pPr>
        <w:pStyle w:val="ListBullet"/>
        <w:spacing w:after="60"/>
        <w:jc w:val="both"/>
      </w:pPr>
      <w:r>
        <w:rPr>
          <w:rFonts w:ascii="Times New Roman" w:hAnsi="Times New Roman"/>
          <w:b/>
        </w:rPr>
        <w:t>Three applied contributions to risk-aware decision support</w:t>
      </w:r>
      <w:r>
        <w:rPr>
          <w:rFonts w:ascii="Times New Roman" w:hAnsi="Times New Roman"/>
        </w:rPr>
        <w:t>: a portfolio correlation factor for ruin-constrained sizing, quantifying the gap between the nominal and the realised probability of ruin when multiple correlated positions are opened simultaneously; a holding-horizon table on the decision record, addressing the systematic misreading of single-session stop-out probabilities; and a slippage coefficient estimated from observed stop-loss executions rather than assumed.</w:t>
      </w:r>
    </w:p>
    <w:p>
      <w:pPr>
        <w:pStyle w:val="ListBullet"/>
        <w:spacing w:after="60"/>
        <w:jc w:val="both"/>
      </w:pPr>
      <w:r>
        <w:rPr>
          <w:rFonts w:ascii="Times New Roman" w:hAnsi="Times New Roman"/>
          <w:b/>
        </w:rPr>
        <w:t>A reproducible research record</w:t>
      </w:r>
      <w:r>
        <w:rPr>
          <w:rFonts w:ascii="Times New Roman" w:hAnsi="Times New Roman"/>
        </w:rPr>
        <w:t xml:space="preserve"> containing the full data dictionary, the sealed-set protocol, the registry of every model configuration and hypothesis evaluated, and reproduction commands for every reported number, including all negative results.</w:t>
      </w:r>
    </w:p>
    <w:p>
      <w:pPr>
        <w:spacing w:before="200" w:after="100"/>
        <w:jc w:val="center"/>
      </w:pPr>
      <w:r>
        <w:rPr>
          <w:rFonts w:ascii="Times New Roman" w:hAnsi="Times New Roman"/>
          <w:b/>
          <w:sz w:val="26"/>
        </w:rPr>
        <w:t>References</w:t>
      </w:r>
    </w:p>
    <w:p>
      <w:pPr>
        <w:jc w:val="both"/>
      </w:pPr>
      <w:r>
        <w:rPr>
          <w:rFonts w:ascii="Times New Roman" w:hAnsi="Times New Roman"/>
        </w:rPr>
        <w:t xml:space="preserve">[1] R. A. Meese and K. Rogoff, "Empirical exchange rate models of the seventies: Do they fit out of sample?," </w:t>
      </w:r>
      <w:r>
        <w:rPr>
          <w:rFonts w:ascii="Times New Roman" w:hAnsi="Times New Roman"/>
          <w:i/>
        </w:rPr>
        <w:t>Journal of International Economics</w:t>
      </w:r>
      <w:r>
        <w:rPr>
          <w:rFonts w:ascii="Times New Roman" w:hAnsi="Times New Roman"/>
        </w:rPr>
        <w:t>, vol. 14, no. 1–2, pp. 3–24, 1983, doi: 10.1016/0022-1996(83)90017-X.</w:t>
      </w:r>
    </w:p>
    <w:p>
      <w:pPr>
        <w:jc w:val="both"/>
      </w:pPr>
      <w:r>
        <w:rPr>
          <w:rFonts w:ascii="Times New Roman" w:hAnsi="Times New Roman"/>
        </w:rPr>
        <w:t xml:space="preserve">[2] P.-H. Hsu, M. P. Taylor, and Z. Wang, "Technical trading: Is it still beating the foreign exchange market?," </w:t>
      </w:r>
      <w:r>
        <w:rPr>
          <w:rFonts w:ascii="Times New Roman" w:hAnsi="Times New Roman"/>
          <w:i/>
        </w:rPr>
        <w:t>Journal of International Economics</w:t>
      </w:r>
      <w:r>
        <w:rPr>
          <w:rFonts w:ascii="Times New Roman" w:hAnsi="Times New Roman"/>
        </w:rPr>
        <w:t>, vol. 102, pp. 188–208, 2016, doi: 10.1016/j.jinteco.2016.03.012.</w:t>
      </w:r>
    </w:p>
    <w:p>
      <w:pPr>
        <w:jc w:val="both"/>
      </w:pPr>
      <w:r>
        <w:rPr>
          <w:rFonts w:ascii="Times New Roman" w:hAnsi="Times New Roman"/>
        </w:rPr>
        <w:t xml:space="preserve">[3] M. C. Hutchinson, P. Kyziropoulos, J. O'Brien, F. O'Reilly, and T. Sharma, "Technical trading rule profitability in currencies: It's all about momentum," </w:t>
      </w:r>
      <w:r>
        <w:rPr>
          <w:rFonts w:ascii="Times New Roman" w:hAnsi="Times New Roman"/>
          <w:i/>
        </w:rPr>
        <w:t>Research in International Business and Finance</w:t>
      </w:r>
      <w:r>
        <w:rPr>
          <w:rFonts w:ascii="Times New Roman" w:hAnsi="Times New Roman"/>
        </w:rPr>
        <w:t>, vol. 61, art. no. 101779, 2022, doi: 10.1016/j.ribaf.2022.101779.</w:t>
      </w:r>
    </w:p>
    <w:p>
      <w:pPr>
        <w:jc w:val="both"/>
      </w:pPr>
      <w:r>
        <w:rPr>
          <w:rFonts w:ascii="Times New Roman" w:hAnsi="Times New Roman"/>
        </w:rPr>
        <w:t xml:space="preserve">[4] P. H. Westfall and S. S. Young, </w:t>
      </w:r>
      <w:r>
        <w:rPr>
          <w:rFonts w:ascii="Times New Roman" w:hAnsi="Times New Roman"/>
          <w:i/>
        </w:rPr>
        <w:t>Resampling-Based Multiple Testing: Examples and Methods for p-Value Adjustment</w:t>
      </w:r>
      <w:r>
        <w:rPr>
          <w:rFonts w:ascii="Times New Roman" w:hAnsi="Times New Roman"/>
        </w:rPr>
        <w:t>. New York, NY, USA: Wiley, 1993.</w:t>
      </w:r>
    </w:p>
    <w:p>
      <w:pPr>
        <w:jc w:val="both"/>
      </w:pPr>
      <w:r>
        <w:rPr>
          <w:rFonts w:ascii="Times New Roman" w:hAnsi="Times New Roman"/>
        </w:rPr>
        <w:t xml:space="preserve">[5] P. R. Hansen, "A test for superior predictive ability," </w:t>
      </w:r>
      <w:r>
        <w:rPr>
          <w:rFonts w:ascii="Times New Roman" w:hAnsi="Times New Roman"/>
          <w:i/>
        </w:rPr>
        <w:t>Journal of Business &amp; Economic Statistics</w:t>
      </w:r>
      <w:r>
        <w:rPr>
          <w:rFonts w:ascii="Times New Roman" w:hAnsi="Times New Roman"/>
        </w:rPr>
        <w:t>, vol. 23, no. 4, pp. 365–380, 2005, doi: 10.1198/073500105000000063.</w:t>
      </w:r>
    </w:p>
    <w:p>
      <w:pPr>
        <w:jc w:val="both"/>
      </w:pPr>
      <w:r>
        <w:rPr>
          <w:rFonts w:ascii="Times New Roman" w:hAnsi="Times New Roman"/>
        </w:rPr>
        <w:t xml:space="preserve">[6] W. Hämäläinen and G. I. Webb, "A tutorial on statistically sound pattern discovery," </w:t>
      </w:r>
      <w:r>
        <w:rPr>
          <w:rFonts w:ascii="Times New Roman" w:hAnsi="Times New Roman"/>
          <w:i/>
        </w:rPr>
        <w:t>Data Mining and Knowledge Discovery</w:t>
      </w:r>
      <w:r>
        <w:rPr>
          <w:rFonts w:ascii="Times New Roman" w:hAnsi="Times New Roman"/>
        </w:rPr>
        <w:t>, vol. 33, no. 2, pp. 325–377, 2019, doi: 10.1007/s10618-018-0590-x.</w:t>
      </w:r>
    </w:p>
    <w:p>
      <w:pPr>
        <w:jc w:val="both"/>
      </w:pPr>
      <w:r>
        <w:rPr>
          <w:rFonts w:ascii="Times New Roman" w:hAnsi="Times New Roman"/>
        </w:rPr>
        <w:t xml:space="preserve">[7] F. Corsi, "A simple approximate long-memory model of realized volatility," </w:t>
      </w:r>
      <w:r>
        <w:rPr>
          <w:rFonts w:ascii="Times New Roman" w:hAnsi="Times New Roman"/>
          <w:i/>
        </w:rPr>
        <w:t>Journal of Financial Econometrics</w:t>
      </w:r>
      <w:r>
        <w:rPr>
          <w:rFonts w:ascii="Times New Roman" w:hAnsi="Times New Roman"/>
        </w:rPr>
        <w:t>, vol. 7, no. 2, pp. 174–196, 2009, doi: 10.1093/jjfinec/nbp001.</w:t>
      </w:r>
    </w:p>
    <w:p>
      <w:pPr>
        <w:jc w:val="both"/>
      </w:pPr>
      <w:r>
        <w:rPr>
          <w:rFonts w:ascii="Times New Roman" w:hAnsi="Times New Roman"/>
        </w:rPr>
        <w:t xml:space="preserve">[8] T. Bollerslev, A. J. Patton, and R. Quaedvlieg, "Exploiting the errors: A simple approach for improved volatility forecasting," </w:t>
      </w:r>
      <w:r>
        <w:rPr>
          <w:rFonts w:ascii="Times New Roman" w:hAnsi="Times New Roman"/>
          <w:i/>
        </w:rPr>
        <w:t>Journal of Econometrics</w:t>
      </w:r>
      <w:r>
        <w:rPr>
          <w:rFonts w:ascii="Times New Roman" w:hAnsi="Times New Roman"/>
        </w:rPr>
        <w:t>, vol. 192, no. 1, pp. 1–18, 2016, doi: 10.1016/j.jeconom.2015.10.007.</w:t>
      </w:r>
    </w:p>
    <w:p>
      <w:pPr>
        <w:jc w:val="both"/>
      </w:pPr>
      <w:r>
        <w:rPr>
          <w:rFonts w:ascii="Times New Roman" w:hAnsi="Times New Roman"/>
        </w:rPr>
        <w:t xml:space="preserve">[9] O. E. Barndorff-Nielsen and N. Shephard, "Power and bipower variation with stochastic volatility and jumps," </w:t>
      </w:r>
      <w:r>
        <w:rPr>
          <w:rFonts w:ascii="Times New Roman" w:hAnsi="Times New Roman"/>
          <w:i/>
        </w:rPr>
        <w:t>Journal of Financial Econometrics</w:t>
      </w:r>
      <w:r>
        <w:rPr>
          <w:rFonts w:ascii="Times New Roman" w:hAnsi="Times New Roman"/>
        </w:rPr>
        <w:t>, vol. 2, no. 1, pp. 1–37, 2004, doi: 10.1093/jjfinec/nbh001.</w:t>
      </w:r>
    </w:p>
    <w:p>
      <w:pPr>
        <w:jc w:val="both"/>
      </w:pPr>
      <w:r>
        <w:rPr>
          <w:rFonts w:ascii="Times New Roman" w:hAnsi="Times New Roman"/>
        </w:rPr>
        <w:t xml:space="preserve">[10] R. R. Branco, A. Rubesam, and M. Zevallos, "Forecasting realized volatility: Does anything beat linear models?," </w:t>
      </w:r>
      <w:r>
        <w:rPr>
          <w:rFonts w:ascii="Times New Roman" w:hAnsi="Times New Roman"/>
          <w:i/>
        </w:rPr>
        <w:t>Journal of Empirical Finance</w:t>
      </w:r>
      <w:r>
        <w:rPr>
          <w:rFonts w:ascii="Times New Roman" w:hAnsi="Times New Roman"/>
        </w:rPr>
        <w:t>, vol. 78, art. no. 101524, 2024, doi: 10.1016/j.jempfin.2024.101524.</w:t>
      </w:r>
    </w:p>
    <w:p>
      <w:pPr>
        <w:jc w:val="both"/>
      </w:pPr>
      <w:r>
        <w:rPr>
          <w:rFonts w:ascii="Times New Roman" w:hAnsi="Times New Roman"/>
        </w:rPr>
        <w:t>[11] A. Brini, "Forecasting realized volatility with time series foundation models: A comparison with econometric benchmarks," arXiv:2607.05291, 2026.</w:t>
      </w:r>
    </w:p>
    <w:p>
      <w:pPr>
        <w:jc w:val="both"/>
      </w:pPr>
      <w:r>
        <w:rPr>
          <w:rFonts w:ascii="Times New Roman" w:hAnsi="Times New Roman"/>
        </w:rPr>
        <w:t xml:space="preserve">[12] P. R. Hansen, A. Lunde, and J. M. Nason, "The model confidence set," </w:t>
      </w:r>
      <w:r>
        <w:rPr>
          <w:rFonts w:ascii="Times New Roman" w:hAnsi="Times New Roman"/>
          <w:i/>
        </w:rPr>
        <w:t>Econometrica</w:t>
      </w:r>
      <w:r>
        <w:rPr>
          <w:rFonts w:ascii="Times New Roman" w:hAnsi="Times New Roman"/>
        </w:rPr>
        <w:t>, vol. 79, no. 2, pp. 453–497, 2011, doi: 10.3982/ECTA5771.</w:t>
      </w:r>
    </w:p>
    <w:p>
      <w:pPr>
        <w:jc w:val="both"/>
      </w:pPr>
      <w:r>
        <w:rPr>
          <w:rFonts w:ascii="Times New Roman" w:hAnsi="Times New Roman"/>
        </w:rPr>
        <w:t xml:space="preserve">[13] Y. Freund and R. E. Schapire, "A decision-theoretic generalization of on-line learning and an application to boosting," </w:t>
      </w:r>
      <w:r>
        <w:rPr>
          <w:rFonts w:ascii="Times New Roman" w:hAnsi="Times New Roman"/>
          <w:i/>
        </w:rPr>
        <w:t>Journal of Computer and System Sciences</w:t>
      </w:r>
      <w:r>
        <w:rPr>
          <w:rFonts w:ascii="Times New Roman" w:hAnsi="Times New Roman"/>
        </w:rPr>
        <w:t>, vol. 55, no. 1, pp. 119–139, 1997, doi: 10.1006/jcss.1997.1504.</w:t>
      </w:r>
    </w:p>
    <w:p>
      <w:pPr>
        <w:jc w:val="both"/>
      </w:pPr>
      <w:r>
        <w:rPr>
          <w:rFonts w:ascii="Times New Roman" w:hAnsi="Times New Roman"/>
        </w:rPr>
        <w:t xml:space="preserve">[14] N. Hollmann, S. Müller, L. Purucker, A. Krishnakumar, M. Körfer, S. B. Hoo, R. T. Schirrmeister, and F. Hutter, "Accurate predictions on small data with a tabular foundation model," </w:t>
      </w:r>
      <w:r>
        <w:rPr>
          <w:rFonts w:ascii="Times New Roman" w:hAnsi="Times New Roman"/>
          <w:i/>
        </w:rPr>
        <w:t>Nature</w:t>
      </w:r>
      <w:r>
        <w:rPr>
          <w:rFonts w:ascii="Times New Roman" w:hAnsi="Times New Roman"/>
        </w:rPr>
        <w:t>, vol. 637, pp. 319–326, 2025, doi: 10.1038/s41586-024-08328-6.</w:t>
      </w:r>
    </w:p>
    <w:p>
      <w:pPr>
        <w:jc w:val="both"/>
      </w:pPr>
      <w:r>
        <w:rPr>
          <w:rFonts w:ascii="Times New Roman" w:hAnsi="Times New Roman"/>
        </w:rPr>
        <w:t xml:space="preserve">[15] A. J. Patton, "Volatility forecast comparison using imperfect volatility proxies," </w:t>
      </w:r>
      <w:r>
        <w:rPr>
          <w:rFonts w:ascii="Times New Roman" w:hAnsi="Times New Roman"/>
          <w:i/>
        </w:rPr>
        <w:t>Journal of Econometrics</w:t>
      </w:r>
      <w:r>
        <w:rPr>
          <w:rFonts w:ascii="Times New Roman" w:hAnsi="Times New Roman"/>
        </w:rPr>
        <w:t>, vol. 160, no. 1, pp. 246–256, 2011, doi: 10.1016/j.jeconom.2010.03.034.</w:t>
      </w:r>
    </w:p>
    <w:p>
      <w:pPr>
        <w:jc w:val="both"/>
      </w:pPr>
      <w:r>
        <w:rPr>
          <w:rFonts w:ascii="Times New Roman" w:hAnsi="Times New Roman"/>
        </w:rPr>
        <w:t xml:space="preserve">[16] T. Gneiting and A. E. Raftery, "Strictly proper scoring rules, prediction, and estimation," </w:t>
      </w:r>
      <w:r>
        <w:rPr>
          <w:rFonts w:ascii="Times New Roman" w:hAnsi="Times New Roman"/>
          <w:i/>
        </w:rPr>
        <w:t>Journal of the American Statistical Association</w:t>
      </w:r>
      <w:r>
        <w:rPr>
          <w:rFonts w:ascii="Times New Roman" w:hAnsi="Times New Roman"/>
        </w:rPr>
        <w:t>, vol. 102, no. 477, pp. 359–378, 2007, doi: 10.1198/016214506000001437.</w:t>
      </w:r>
    </w:p>
    <w:p>
      <w:pPr>
        <w:jc w:val="both"/>
      </w:pPr>
      <w:r>
        <w:rPr>
          <w:rFonts w:ascii="Times New Roman" w:hAnsi="Times New Roman"/>
        </w:rPr>
        <w:t xml:space="preserve">[17] F. X. Diebold and R. S. Mariano, "Comparing predictive accuracy," </w:t>
      </w:r>
      <w:r>
        <w:rPr>
          <w:rFonts w:ascii="Times New Roman" w:hAnsi="Times New Roman"/>
          <w:i/>
        </w:rPr>
        <w:t>Journal of Business &amp; Economic Statistics</w:t>
      </w:r>
      <w:r>
        <w:rPr>
          <w:rFonts w:ascii="Times New Roman" w:hAnsi="Times New Roman"/>
        </w:rPr>
        <w:t>, vol. 13, no. 3, pp. 253–263, 1995, doi: 10.1080/07350015.1995.10524599.</w:t>
      </w:r>
    </w:p>
    <w:p>
      <w:pPr>
        <w:jc w:val="both"/>
      </w:pPr>
      <w:r>
        <w:rPr>
          <w:rFonts w:ascii="Times New Roman" w:hAnsi="Times New Roman"/>
        </w:rPr>
        <w:t xml:space="preserve">[18] J. Runge, P. Nowack, M. Kretschmer, S. Flaxman, and D. Sejdinovic, "Detecting and quantifying causal associations in large nonlinear time series datasets," </w:t>
      </w:r>
      <w:r>
        <w:rPr>
          <w:rFonts w:ascii="Times New Roman" w:hAnsi="Times New Roman"/>
          <w:i/>
        </w:rPr>
        <w:t>Science Advances</w:t>
      </w:r>
      <w:r>
        <w:rPr>
          <w:rFonts w:ascii="Times New Roman" w:hAnsi="Times New Roman"/>
        </w:rPr>
        <w:t>, vol. 5, no. 11, art. no. eaau4996, 2019, doi: 10.1126/sciadv.aau4996.</w:t>
      </w:r>
    </w:p>
    <w:p>
      <w:pPr>
        <w:jc w:val="both"/>
      </w:pPr>
      <w:r>
        <w:rPr>
          <w:rFonts w:ascii="Times New Roman" w:hAnsi="Times New Roman"/>
        </w:rPr>
        <w:t xml:space="preserve">[19] I. Gibbs and E. Candès, "Adaptive conformal inference under distribution shift," in </w:t>
      </w:r>
      <w:r>
        <w:rPr>
          <w:rFonts w:ascii="Times New Roman" w:hAnsi="Times New Roman"/>
          <w:i/>
        </w:rPr>
        <w:t>Advances in Neural Information Processing Systems (NeurIPS)</w:t>
      </w:r>
      <w:r>
        <w:rPr>
          <w:rFonts w:ascii="Times New Roman" w:hAnsi="Times New Roman"/>
        </w:rPr>
        <w:t>, vol. 34, 2021, pp. 1660–1672.</w:t>
      </w:r>
    </w:p>
    <w:p>
      <w:pPr>
        <w:jc w:val="both"/>
      </w:pPr>
      <w:r>
        <w:rPr>
          <w:rFonts w:ascii="Times New Roman" w:hAnsi="Times New Roman"/>
        </w:rPr>
        <w:t xml:space="preserve">[20] A. N. Angelopoulos and S. Bates, "Conformal prediction: A gentle introduction," </w:t>
      </w:r>
      <w:r>
        <w:rPr>
          <w:rFonts w:ascii="Times New Roman" w:hAnsi="Times New Roman"/>
          <w:i/>
        </w:rPr>
        <w:t>Foundations and Trends in Machine Learning</w:t>
      </w:r>
      <w:r>
        <w:rPr>
          <w:rFonts w:ascii="Times New Roman" w:hAnsi="Times New Roman"/>
        </w:rPr>
        <w:t>, vol. 16, no. 4, pp. 494–591, 2023, doi: 10.1561/2200000101.</w:t>
      </w:r>
    </w:p>
    <w:p>
      <w:pPr>
        <w:jc w:val="both"/>
      </w:pPr>
      <w:r>
        <w:rPr>
          <w:rFonts w:ascii="Times New Roman" w:hAnsi="Times New Roman"/>
        </w:rPr>
        <w:t xml:space="preserve">[21] P. H. Kupiec, "Techniques for verifying the accuracy of risk measurement models," </w:t>
      </w:r>
      <w:r>
        <w:rPr>
          <w:rFonts w:ascii="Times New Roman" w:hAnsi="Times New Roman"/>
          <w:i/>
        </w:rPr>
        <w:t>The Journal of Derivatives</w:t>
      </w:r>
      <w:r>
        <w:rPr>
          <w:rFonts w:ascii="Times New Roman" w:hAnsi="Times New Roman"/>
        </w:rPr>
        <w:t>, vol. 3, no. 2, pp. 73–84, 1995, doi: 10.3905/jod.1995.407942.</w:t>
      </w:r>
    </w:p>
    <w:p>
      <w:pPr>
        <w:jc w:val="both"/>
      </w:pPr>
      <w:r>
        <w:rPr>
          <w:rFonts w:ascii="Times New Roman" w:hAnsi="Times New Roman"/>
        </w:rPr>
        <w:t xml:space="preserve">[22] P. F. Christoffersen, "Evaluating interval forecasts," </w:t>
      </w:r>
      <w:r>
        <w:rPr>
          <w:rFonts w:ascii="Times New Roman" w:hAnsi="Times New Roman"/>
          <w:i/>
        </w:rPr>
        <w:t>International Economic Review</w:t>
      </w:r>
      <w:r>
        <w:rPr>
          <w:rFonts w:ascii="Times New Roman" w:hAnsi="Times New Roman"/>
        </w:rPr>
        <w:t>, vol. 39, no. 4, pp. 841–862, 1998, doi: 10.2307/2527341.</w:t>
      </w:r>
    </w:p>
    <w:p>
      <w:pPr>
        <w:jc w:val="both"/>
      </w:pPr>
      <w:r>
        <w:rPr>
          <w:rFonts w:ascii="Times New Roman" w:hAnsi="Times New Roman"/>
        </w:rPr>
        <w:t xml:space="preserve">[23] R. F. Engle and S. Manganelli, "CAViaR: Conditional autoregressive value at risk by regression quantiles," </w:t>
      </w:r>
      <w:r>
        <w:rPr>
          <w:rFonts w:ascii="Times New Roman" w:hAnsi="Times New Roman"/>
          <w:i/>
        </w:rPr>
        <w:t>Journal of Business &amp; Economic Statistics</w:t>
      </w:r>
      <w:r>
        <w:rPr>
          <w:rFonts w:ascii="Times New Roman" w:hAnsi="Times New Roman"/>
        </w:rPr>
        <w:t>, vol. 22, no. 4, pp. 367–381, 2004, doi: 10.1198/073500104000000370.</w:t>
      </w:r>
    </w:p>
    <w:p>
      <w:pPr>
        <w:jc w:val="both"/>
      </w:pPr>
      <w:r>
        <w:rPr>
          <w:rFonts w:ascii="Times New Roman" w:hAnsi="Times New Roman"/>
        </w:rPr>
        <w:t xml:space="preserve">[24] A. J. Patton, J. F. Ziegel, and R. Chen, "Dynamic semiparametric models for expected shortfall (and value-at-risk)," </w:t>
      </w:r>
      <w:r>
        <w:rPr>
          <w:rFonts w:ascii="Times New Roman" w:hAnsi="Times New Roman"/>
          <w:i/>
        </w:rPr>
        <w:t>Journal of Econometrics</w:t>
      </w:r>
      <w:r>
        <w:rPr>
          <w:rFonts w:ascii="Times New Roman" w:hAnsi="Times New Roman"/>
        </w:rPr>
        <w:t>, vol. 211, no. 2, pp. 388–413, 2019, doi: 10.1016/j.jeconom.2018.10.008.</w:t>
      </w:r>
    </w:p>
    <w:p>
      <w:pPr>
        <w:jc w:val="both"/>
      </w:pPr>
      <w:r>
        <w:rPr>
          <w:rFonts w:ascii="Times New Roman" w:hAnsi="Times New Roman"/>
        </w:rPr>
        <w:t xml:space="preserve">[25] J. L. Kelly, "A new interpretation of information rate," </w:t>
      </w:r>
      <w:r>
        <w:rPr>
          <w:rFonts w:ascii="Times New Roman" w:hAnsi="Times New Roman"/>
          <w:i/>
        </w:rPr>
        <w:t>The Bell System Technical Journal</w:t>
      </w:r>
      <w:r>
        <w:rPr>
          <w:rFonts w:ascii="Times New Roman" w:hAnsi="Times New Roman"/>
        </w:rPr>
        <w:t>, vol. 35, no. 4, pp. 917–926, 1956, doi: 10.1002/j.1538-7305.1956.tb03809.x.</w:t>
      </w:r>
    </w:p>
    <w:p>
      <w:pPr>
        <w:jc w:val="both"/>
      </w:pPr>
      <w:r>
        <w:rPr>
          <w:rFonts w:ascii="Times New Roman" w:hAnsi="Times New Roman"/>
        </w:rPr>
        <w:t xml:space="preserve">[26] I. Orquín-Serrano, "Predictive power of adaptive candlestick patterns in Forex market. EURUSD case," </w:t>
      </w:r>
      <w:r>
        <w:rPr>
          <w:rFonts w:ascii="Times New Roman" w:hAnsi="Times New Roman"/>
          <w:i/>
        </w:rPr>
        <w:t>Mathematics</w:t>
      </w:r>
      <w:r>
        <w:rPr>
          <w:rFonts w:ascii="Times New Roman" w:hAnsi="Times New Roman"/>
        </w:rPr>
        <w:t>, vol. 8, no. 5, art. no. 802, 2020, doi: 10.3390/math8050802.</w:t>
      </w:r>
    </w:p>
    <w:p>
      <w:pPr>
        <w:jc w:val="both"/>
      </w:pPr>
      <w:r>
        <w:rPr>
          <w:rFonts w:ascii="Times New Roman" w:hAnsi="Times New Roman"/>
        </w:rPr>
        <w:t xml:space="preserve">[27] D. Arnott and G. Pervan, "A critical analysis of decision support systems research," </w:t>
      </w:r>
      <w:r>
        <w:rPr>
          <w:rFonts w:ascii="Times New Roman" w:hAnsi="Times New Roman"/>
          <w:i/>
        </w:rPr>
        <w:t>Journal of Information Technology</w:t>
      </w:r>
      <w:r>
        <w:rPr>
          <w:rFonts w:ascii="Times New Roman" w:hAnsi="Times New Roman"/>
        </w:rPr>
        <w:t>, vol. 20, no. 2, pp. 67–87, 2005, doi: 10.1057/palgrave.jit.2000035.</w:t>
      </w:r>
    </w:p>
    <w:p>
      <w:pPr>
        <w:spacing w:before="200" w:after="100"/>
        <w:jc w:val="center"/>
      </w:pPr>
      <w:r>
        <w:rPr>
          <w:rFonts w:ascii="Times New Roman" w:hAnsi="Times New Roman"/>
          <w:b/>
          <w:sz w:val="26"/>
        </w:rPr>
        <w:t>Research Plan and Timeline</w:t>
      </w:r>
    </w:p>
    <w:p>
      <w:pPr>
        <w:jc w:val="both"/>
      </w:pPr>
      <w:r>
        <w:rPr>
          <w:rFonts w:ascii="Times New Roman" w:hAnsi="Times New Roman"/>
        </w:rPr>
        <w:t>Research timeline: 16 weeks.</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230"/>
        <w:gridCol w:w="3230"/>
        <w:gridCol w:w="3230"/>
      </w:tblGrid>
      <w:tr>
        <w:tc>
          <w:tcPr>
            <w:tcW w:type="dxa" w:w="3230"/>
          </w:tcPr>
          <w:p>
            <w:pPr>
              <w:spacing w:after="40"/>
            </w:pPr>
            <w:r>
              <w:rPr>
                <w:b/>
                <w:sz w:val="22"/>
              </w:rPr>
            </w:r>
            <w:r>
              <w:rPr>
                <w:rFonts w:ascii="Times New Roman" w:hAnsi="Times New Roman"/>
                <w:b/>
                <w:sz w:val="22"/>
              </w:rPr>
              <w:t>No.</w:t>
            </w:r>
          </w:p>
        </w:tc>
        <w:tc>
          <w:tcPr>
            <w:tcW w:type="dxa" w:w="3230"/>
          </w:tcPr>
          <w:p>
            <w:pPr>
              <w:spacing w:after="40"/>
            </w:pPr>
            <w:r>
              <w:rPr>
                <w:b/>
                <w:sz w:val="22"/>
              </w:rPr>
            </w:r>
            <w:r>
              <w:rPr>
                <w:rFonts w:ascii="Times New Roman" w:hAnsi="Times New Roman"/>
                <w:b/>
                <w:sz w:val="22"/>
              </w:rPr>
              <w:t>Assignments</w:t>
            </w:r>
          </w:p>
        </w:tc>
        <w:tc>
          <w:tcPr>
            <w:tcW w:type="dxa" w:w="3230"/>
          </w:tcPr>
          <w:p>
            <w:pPr>
              <w:spacing w:after="40"/>
            </w:pPr>
            <w:r>
              <w:rPr>
                <w:b/>
                <w:sz w:val="22"/>
              </w:rPr>
            </w:r>
            <w:r>
              <w:rPr>
                <w:rFonts w:ascii="Times New Roman" w:hAnsi="Times New Roman"/>
                <w:b/>
                <w:sz w:val="22"/>
              </w:rPr>
              <w:t>Timeline</w:t>
            </w:r>
          </w:p>
        </w:tc>
      </w:tr>
      <w:tr>
        <w:tc>
          <w:tcPr>
            <w:tcW w:type="dxa" w:w="3230"/>
          </w:tcPr>
          <w:p>
            <w:pPr>
              <w:spacing w:after="40"/>
            </w:pPr>
            <w:r>
              <w:rPr>
                <w:sz w:val="22"/>
              </w:rPr>
            </w:r>
            <w:r>
              <w:rPr>
                <w:rFonts w:ascii="Times New Roman" w:hAnsi="Times New Roman"/>
                <w:sz w:val="22"/>
              </w:rPr>
              <w:t>1</w:t>
            </w:r>
          </w:p>
        </w:tc>
        <w:tc>
          <w:tcPr>
            <w:tcW w:type="dxa" w:w="3230"/>
          </w:tcPr>
          <w:p>
            <w:pPr>
              <w:spacing w:after="40"/>
            </w:pPr>
            <w:r>
              <w:rPr>
                <w:sz w:val="22"/>
              </w:rPr>
            </w:r>
            <w:r>
              <w:rPr>
                <w:rFonts w:ascii="Times New Roman" w:hAnsi="Times New Roman"/>
                <w:sz w:val="22"/>
              </w:rPr>
              <w:t>– Consolidate the data pipeline and verify contiguity, session conventions and time-zone handling.</w:t>
            </w:r>
          </w:p>
          <w:p>
            <w:pPr>
              <w:spacing w:after="40"/>
            </w:pPr>
            <w:r>
              <w:rPr>
                <w:rFonts w:ascii="Times New Roman" w:hAnsi="Times New Roman"/>
                <w:sz w:val="22"/>
              </w:rPr>
              <w:t>– Fix the evaluation protocol: temporal partition, per-axis metrics, multiple-testing procedure, and sealed-set policy.</w:t>
            </w:r>
          </w:p>
          <w:p>
            <w:pPr>
              <w:spacing w:after="40"/>
            </w:pPr>
            <w:r>
              <w:rPr>
                <w:rFonts w:ascii="Times New Roman" w:hAnsi="Times New Roman"/>
                <w:sz w:val="22"/>
              </w:rPr>
              <w:t>– Reproduce all baseline results from a clean checkout.</w:t>
            </w:r>
          </w:p>
        </w:tc>
        <w:tc>
          <w:tcPr>
            <w:tcW w:type="dxa" w:w="3230"/>
          </w:tcPr>
          <w:p>
            <w:pPr>
              <w:spacing w:after="40"/>
            </w:pPr>
            <w:r>
              <w:rPr>
                <w:sz w:val="22"/>
              </w:rPr>
            </w:r>
            <w:r>
              <w:rPr>
                <w:rFonts w:ascii="Times New Roman" w:hAnsi="Times New Roman"/>
                <w:sz w:val="22"/>
              </w:rPr>
              <w:t>Week 1–2</w:t>
            </w:r>
          </w:p>
        </w:tc>
      </w:tr>
      <w:tr>
        <w:tc>
          <w:tcPr>
            <w:tcW w:type="dxa" w:w="3230"/>
          </w:tcPr>
          <w:p>
            <w:pPr>
              <w:spacing w:after="40"/>
            </w:pPr>
            <w:r>
              <w:rPr>
                <w:sz w:val="22"/>
              </w:rPr>
            </w:r>
            <w:r>
              <w:rPr>
                <w:rFonts w:ascii="Times New Roman" w:hAnsi="Times New Roman"/>
                <w:sz w:val="22"/>
              </w:rPr>
              <w:t>2</w:t>
            </w:r>
          </w:p>
        </w:tc>
        <w:tc>
          <w:tcPr>
            <w:tcW w:type="dxa" w:w="3230"/>
          </w:tcPr>
          <w:p>
            <w:pPr>
              <w:spacing w:after="40"/>
            </w:pPr>
            <w:r>
              <w:rPr>
                <w:sz w:val="22"/>
              </w:rPr>
            </w:r>
            <w:r>
              <w:rPr>
                <w:rFonts w:ascii="Times New Roman" w:hAnsi="Times New Roman"/>
                <w:sz w:val="22"/>
              </w:rPr>
              <w:t>– Complete the pattern-discovery families remaining at the five- and twenty-session horizons.</w:t>
            </w:r>
          </w:p>
          <w:p>
            <w:pPr>
              <w:spacing w:after="40"/>
            </w:pPr>
            <w:r>
              <w:rPr>
                <w:rFonts w:ascii="Times New Roman" w:hAnsi="Times New Roman"/>
                <w:sz w:val="22"/>
              </w:rPr>
              <w:t>– Apply superior predictive ability testing at the family level across all discovery branches.</w:t>
            </w:r>
          </w:p>
          <w:p>
            <w:pPr>
              <w:spacing w:after="40"/>
            </w:pPr>
            <w:r>
              <w:rPr>
                <w:rFonts w:ascii="Times New Roman" w:hAnsi="Times New Roman"/>
                <w:sz w:val="22"/>
              </w:rPr>
              <w:t>– Document the enumerated hypothesis space in full.</w:t>
            </w:r>
          </w:p>
        </w:tc>
        <w:tc>
          <w:tcPr>
            <w:tcW w:type="dxa" w:w="3230"/>
          </w:tcPr>
          <w:p>
            <w:pPr>
              <w:spacing w:after="40"/>
            </w:pPr>
            <w:r>
              <w:rPr>
                <w:sz w:val="22"/>
              </w:rPr>
            </w:r>
            <w:r>
              <w:rPr>
                <w:rFonts w:ascii="Times New Roman" w:hAnsi="Times New Roman"/>
                <w:sz w:val="22"/>
              </w:rPr>
              <w:t>Week 3–4</w:t>
            </w:r>
          </w:p>
        </w:tc>
      </w:tr>
      <w:tr>
        <w:tc>
          <w:tcPr>
            <w:tcW w:type="dxa" w:w="3230"/>
          </w:tcPr>
          <w:p>
            <w:pPr>
              <w:spacing w:after="40"/>
            </w:pPr>
            <w:r>
              <w:rPr>
                <w:sz w:val="22"/>
              </w:rPr>
            </w:r>
            <w:r>
              <w:rPr>
                <w:rFonts w:ascii="Times New Roman" w:hAnsi="Times New Roman"/>
                <w:sz w:val="22"/>
              </w:rPr>
              <w:t>3</w:t>
            </w:r>
          </w:p>
        </w:tc>
        <w:tc>
          <w:tcPr>
            <w:tcW w:type="dxa" w:w="3230"/>
          </w:tcPr>
          <w:p>
            <w:pPr>
              <w:spacing w:after="40"/>
            </w:pPr>
            <w:r>
              <w:rPr>
                <w:sz w:val="22"/>
              </w:rPr>
            </w:r>
            <w:r>
              <w:rPr>
                <w:rFonts w:ascii="Times New Roman" w:hAnsi="Times New Roman"/>
                <w:sz w:val="22"/>
              </w:rPr>
              <w:t>– Conduct minimum detectable effect size analysis for every negative finding.</w:t>
            </w:r>
          </w:p>
          <w:p>
            <w:pPr>
              <w:spacing w:after="40"/>
            </w:pPr>
            <w:r>
              <w:rPr>
                <w:rFonts w:ascii="Times New Roman" w:hAnsi="Times New Roman"/>
                <w:sz w:val="22"/>
              </w:rPr>
              <w:t>– Validate the discovery funnel with negative controls and known-effect injection.</w:t>
            </w:r>
          </w:p>
          <w:p>
            <w:pPr>
              <w:spacing w:after="40"/>
            </w:pPr>
            <w:r>
              <w:rPr>
                <w:rFonts w:ascii="Times New Roman" w:hAnsi="Times New Roman"/>
                <w:sz w:val="22"/>
              </w:rPr>
              <w:t>– Formalise the reporting template for power-bounded negative claims.</w:t>
            </w:r>
          </w:p>
        </w:tc>
        <w:tc>
          <w:tcPr>
            <w:tcW w:type="dxa" w:w="3230"/>
          </w:tcPr>
          <w:p>
            <w:pPr>
              <w:spacing w:after="40"/>
            </w:pPr>
            <w:r>
              <w:rPr>
                <w:sz w:val="22"/>
              </w:rPr>
            </w:r>
            <w:r>
              <w:rPr>
                <w:rFonts w:ascii="Times New Roman" w:hAnsi="Times New Roman"/>
                <w:sz w:val="22"/>
              </w:rPr>
              <w:t>Week 5–6</w:t>
            </w:r>
          </w:p>
        </w:tc>
      </w:tr>
      <w:tr>
        <w:tc>
          <w:tcPr>
            <w:tcW w:type="dxa" w:w="3230"/>
          </w:tcPr>
          <w:p>
            <w:pPr>
              <w:spacing w:after="40"/>
            </w:pPr>
            <w:r>
              <w:rPr>
                <w:sz w:val="22"/>
              </w:rPr>
            </w:r>
            <w:r>
              <w:rPr>
                <w:rFonts w:ascii="Times New Roman" w:hAnsi="Times New Roman"/>
                <w:sz w:val="22"/>
              </w:rPr>
              <w:t>4</w:t>
            </w:r>
          </w:p>
        </w:tc>
        <w:tc>
          <w:tcPr>
            <w:tcW w:type="dxa" w:w="3230"/>
          </w:tcPr>
          <w:p>
            <w:pPr>
              <w:spacing w:after="40"/>
            </w:pPr>
            <w:r>
              <w:rPr>
                <w:sz w:val="22"/>
              </w:rPr>
            </w:r>
            <w:r>
              <w:rPr>
                <w:rFonts w:ascii="Times New Roman" w:hAnsi="Times New Roman"/>
                <w:sz w:val="22"/>
              </w:rPr>
              <w:t>– Address tail-risk failures for the two pairs that do not pass Value-at-Risk and Expected Shortfall backtests at the 99% level, using conditional and extreme-value approaches.</w:t>
            </w:r>
          </w:p>
          <w:p>
            <w:pPr>
              <w:spacing w:after="40"/>
            </w:pPr>
            <w:r>
              <w:rPr>
                <w:rFonts w:ascii="Times New Roman" w:hAnsi="Times New Roman"/>
                <w:sz w:val="22"/>
              </w:rPr>
              <w:t>– Recalibrate the twenty-session horizon and re-measure calibration error.</w:t>
            </w:r>
          </w:p>
        </w:tc>
        <w:tc>
          <w:tcPr>
            <w:tcW w:type="dxa" w:w="3230"/>
          </w:tcPr>
          <w:p>
            <w:pPr>
              <w:spacing w:after="40"/>
            </w:pPr>
            <w:r>
              <w:rPr>
                <w:sz w:val="22"/>
              </w:rPr>
            </w:r>
            <w:r>
              <w:rPr>
                <w:rFonts w:ascii="Times New Roman" w:hAnsi="Times New Roman"/>
                <w:sz w:val="22"/>
              </w:rPr>
              <w:t>Week 7–8</w:t>
            </w:r>
          </w:p>
        </w:tc>
      </w:tr>
      <w:tr>
        <w:tc>
          <w:tcPr>
            <w:tcW w:type="dxa" w:w="3230"/>
          </w:tcPr>
          <w:p>
            <w:pPr>
              <w:spacing w:after="40"/>
            </w:pPr>
            <w:r>
              <w:rPr>
                <w:sz w:val="22"/>
              </w:rPr>
            </w:r>
            <w:r>
              <w:rPr>
                <w:rFonts w:ascii="Times New Roman" w:hAnsi="Times New Roman"/>
                <w:sz w:val="22"/>
              </w:rPr>
              <w:t>5</w:t>
            </w:r>
          </w:p>
        </w:tc>
        <w:tc>
          <w:tcPr>
            <w:tcW w:type="dxa" w:w="3230"/>
          </w:tcPr>
          <w:p>
            <w:pPr>
              <w:spacing w:after="40"/>
            </w:pPr>
            <w:r>
              <w:rPr>
                <w:sz w:val="22"/>
              </w:rPr>
            </w:r>
            <w:r>
              <w:rPr>
                <w:rFonts w:ascii="Times New Roman" w:hAnsi="Times New Roman"/>
                <w:sz w:val="22"/>
              </w:rPr>
              <w:t>– Complete the exogenous and causal information layer: all-variable, validation-selected and causally-filtered ablation under an identical parameter budget.</w:t>
            </w:r>
          </w:p>
          <w:p>
            <w:pPr>
              <w:spacing w:after="40"/>
            </w:pPr>
            <w:r>
              <w:rPr>
                <w:rFonts w:ascii="Times New Roman" w:hAnsi="Times New Roman"/>
                <w:sz w:val="22"/>
              </w:rPr>
              <w:t>– Report results separately on the direction, magnitude and risk axes.</w:t>
            </w:r>
          </w:p>
          <w:p>
            <w:pPr>
              <w:spacing w:after="40"/>
            </w:pPr>
            <w:r>
              <w:rPr>
                <w:rFonts w:ascii="Times New Roman" w:hAnsi="Times New Roman"/>
                <w:sz w:val="22"/>
              </w:rPr>
              <w:t>– Screen candidates for cross-pair and cross-year stability.</w:t>
            </w:r>
          </w:p>
        </w:tc>
        <w:tc>
          <w:tcPr>
            <w:tcW w:type="dxa" w:w="3230"/>
          </w:tcPr>
          <w:p>
            <w:pPr>
              <w:spacing w:after="40"/>
            </w:pPr>
            <w:r>
              <w:rPr>
                <w:sz w:val="22"/>
              </w:rPr>
            </w:r>
            <w:r>
              <w:rPr>
                <w:rFonts w:ascii="Times New Roman" w:hAnsi="Times New Roman"/>
                <w:sz w:val="22"/>
              </w:rPr>
              <w:t>Week 9–10</w:t>
            </w:r>
          </w:p>
        </w:tc>
      </w:tr>
      <w:tr>
        <w:tc>
          <w:tcPr>
            <w:tcW w:type="dxa" w:w="3230"/>
          </w:tcPr>
          <w:p>
            <w:pPr>
              <w:spacing w:after="40"/>
            </w:pPr>
            <w:r>
              <w:rPr>
                <w:sz w:val="22"/>
              </w:rPr>
            </w:r>
            <w:r>
              <w:rPr>
                <w:rFonts w:ascii="Times New Roman" w:hAnsi="Times New Roman"/>
                <w:sz w:val="22"/>
              </w:rPr>
              <w:t>6</w:t>
            </w:r>
          </w:p>
        </w:tc>
        <w:tc>
          <w:tcPr>
            <w:tcW w:type="dxa" w:w="3230"/>
          </w:tcPr>
          <w:p>
            <w:pPr>
              <w:spacing w:after="40"/>
            </w:pPr>
            <w:r>
              <w:rPr>
                <w:sz w:val="22"/>
              </w:rPr>
            </w:r>
            <w:r>
              <w:rPr>
                <w:rFonts w:ascii="Times New Roman" w:hAnsi="Times New Roman"/>
                <w:sz w:val="22"/>
              </w:rPr>
              <w:t>– Evaluate the end-to-end economic result after measured transaction costs and slippage.</w:t>
            </w:r>
          </w:p>
          <w:p>
            <w:pPr>
              <w:spacing w:after="40"/>
            </w:pPr>
            <w:r>
              <w:rPr>
                <w:rFonts w:ascii="Times New Roman" w:hAnsi="Times New Roman"/>
                <w:sz w:val="22"/>
              </w:rPr>
              <w:t>– Accumulate the forecast journal and compute rolling calibration on issued forecasts.</w:t>
            </w:r>
          </w:p>
        </w:tc>
        <w:tc>
          <w:tcPr>
            <w:tcW w:type="dxa" w:w="3230"/>
          </w:tcPr>
          <w:p>
            <w:pPr>
              <w:spacing w:after="40"/>
            </w:pPr>
            <w:r>
              <w:rPr>
                <w:sz w:val="22"/>
              </w:rPr>
            </w:r>
            <w:r>
              <w:rPr>
                <w:rFonts w:ascii="Times New Roman" w:hAnsi="Times New Roman"/>
                <w:sz w:val="22"/>
              </w:rPr>
              <w:t>Week 11</w:t>
            </w:r>
          </w:p>
        </w:tc>
      </w:tr>
      <w:tr>
        <w:tc>
          <w:tcPr>
            <w:tcW w:type="dxa" w:w="3230"/>
          </w:tcPr>
          <w:p>
            <w:pPr>
              <w:spacing w:after="40"/>
            </w:pPr>
            <w:r>
              <w:rPr>
                <w:sz w:val="22"/>
              </w:rPr>
            </w:r>
            <w:r>
              <w:rPr>
                <w:rFonts w:ascii="Times New Roman" w:hAnsi="Times New Roman"/>
                <w:sz w:val="22"/>
              </w:rPr>
              <w:t>7</w:t>
            </w:r>
          </w:p>
        </w:tc>
        <w:tc>
          <w:tcPr>
            <w:tcW w:type="dxa" w:w="3230"/>
          </w:tcPr>
          <w:p>
            <w:pPr>
              <w:spacing w:after="40"/>
            </w:pPr>
            <w:r>
              <w:rPr>
                <w:sz w:val="22"/>
              </w:rPr>
            </w:r>
            <w:r>
              <w:rPr>
                <w:rFonts w:ascii="Times New Roman" w:hAnsi="Times New Roman"/>
                <w:sz w:val="22"/>
              </w:rPr>
              <w:t>– Freeze the final configuration in writing, including variables, selection method, models, metrics and decision rules.</w:t>
            </w:r>
          </w:p>
          <w:p>
            <w:pPr>
              <w:spacing w:after="40"/>
            </w:pPr>
            <w:r>
              <w:rPr>
                <w:rFonts w:ascii="Times New Roman" w:hAnsi="Times New Roman"/>
                <w:sz w:val="22"/>
              </w:rPr>
              <w:t>– Prepare the sealed-set evaluation record.</w:t>
            </w:r>
          </w:p>
        </w:tc>
        <w:tc>
          <w:tcPr>
            <w:tcW w:type="dxa" w:w="3230"/>
          </w:tcPr>
          <w:p>
            <w:pPr>
              <w:spacing w:after="40"/>
            </w:pPr>
            <w:r>
              <w:rPr>
                <w:sz w:val="22"/>
              </w:rPr>
            </w:r>
            <w:r>
              <w:rPr>
                <w:rFonts w:ascii="Times New Roman" w:hAnsi="Times New Roman"/>
                <w:sz w:val="22"/>
              </w:rPr>
              <w:t>Week 12</w:t>
            </w:r>
          </w:p>
        </w:tc>
      </w:tr>
      <w:tr>
        <w:tc>
          <w:tcPr>
            <w:tcW w:type="dxa" w:w="3230"/>
          </w:tcPr>
          <w:p>
            <w:pPr>
              <w:spacing w:after="40"/>
            </w:pPr>
            <w:r>
              <w:rPr>
                <w:sz w:val="22"/>
              </w:rPr>
            </w:r>
            <w:r>
              <w:rPr>
                <w:rFonts w:ascii="Times New Roman" w:hAnsi="Times New Roman"/>
                <w:sz w:val="22"/>
              </w:rPr>
              <w:t>8</w:t>
            </w:r>
          </w:p>
        </w:tc>
        <w:tc>
          <w:tcPr>
            <w:tcW w:type="dxa" w:w="3230"/>
          </w:tcPr>
          <w:p>
            <w:pPr>
              <w:spacing w:after="40"/>
            </w:pPr>
            <w:r>
              <w:rPr>
                <w:sz w:val="22"/>
              </w:rPr>
            </w:r>
            <w:r>
              <w:rPr>
                <w:rFonts w:ascii="Times New Roman" w:hAnsi="Times New Roman"/>
                <w:sz w:val="22"/>
              </w:rPr>
              <w:t>– Open the sealed evaluation set exactly once and score the frozen configuration.</w:t>
            </w:r>
          </w:p>
          <w:p>
            <w:pPr>
              <w:spacing w:after="40"/>
            </w:pPr>
            <w:r>
              <w:rPr>
                <w:rFonts w:ascii="Times New Roman" w:hAnsi="Times New Roman"/>
                <w:sz w:val="22"/>
              </w:rPr>
              <w:t>– Report results without modification and without retuning.</w:t>
            </w:r>
          </w:p>
        </w:tc>
        <w:tc>
          <w:tcPr>
            <w:tcW w:type="dxa" w:w="3230"/>
          </w:tcPr>
          <w:p>
            <w:pPr>
              <w:spacing w:after="40"/>
            </w:pPr>
            <w:r>
              <w:rPr>
                <w:sz w:val="22"/>
              </w:rPr>
            </w:r>
            <w:r>
              <w:rPr>
                <w:rFonts w:ascii="Times New Roman" w:hAnsi="Times New Roman"/>
                <w:sz w:val="22"/>
              </w:rPr>
              <w:t>Week 13</w:t>
            </w:r>
          </w:p>
        </w:tc>
      </w:tr>
      <w:tr>
        <w:tc>
          <w:tcPr>
            <w:tcW w:type="dxa" w:w="3230"/>
          </w:tcPr>
          <w:p>
            <w:pPr>
              <w:spacing w:after="40"/>
            </w:pPr>
            <w:r>
              <w:rPr>
                <w:sz w:val="22"/>
              </w:rPr>
            </w:r>
            <w:r>
              <w:rPr>
                <w:rFonts w:ascii="Times New Roman" w:hAnsi="Times New Roman"/>
                <w:sz w:val="22"/>
              </w:rPr>
              <w:t>9</w:t>
            </w:r>
          </w:p>
        </w:tc>
        <w:tc>
          <w:tcPr>
            <w:tcW w:type="dxa" w:w="3230"/>
          </w:tcPr>
          <w:p>
            <w:pPr>
              <w:spacing w:after="40"/>
            </w:pPr>
            <w:r>
              <w:rPr>
                <w:sz w:val="22"/>
              </w:rPr>
            </w:r>
            <w:r>
              <w:rPr>
                <w:rFonts w:ascii="Times New Roman" w:hAnsi="Times New Roman"/>
                <w:sz w:val="22"/>
              </w:rPr>
              <w:t>– Complete the system: computation layer, versioned forecast artefacts, application programming interface, and user interface with full provenance for every displayed quantity.</w:t>
            </w:r>
          </w:p>
          <w:p>
            <w:pPr>
              <w:spacing w:after="40"/>
            </w:pPr>
            <w:r>
              <w:rPr>
                <w:rFonts w:ascii="Times New Roman" w:hAnsi="Times New Roman"/>
                <w:sz w:val="22"/>
              </w:rPr>
              <w:t>– Verify continuous daily operation.</w:t>
            </w:r>
          </w:p>
        </w:tc>
        <w:tc>
          <w:tcPr>
            <w:tcW w:type="dxa" w:w="3230"/>
          </w:tcPr>
          <w:p>
            <w:pPr>
              <w:spacing w:after="40"/>
            </w:pPr>
            <w:r>
              <w:rPr>
                <w:sz w:val="22"/>
              </w:rPr>
            </w:r>
            <w:r>
              <w:rPr>
                <w:rFonts w:ascii="Times New Roman" w:hAnsi="Times New Roman"/>
                <w:sz w:val="22"/>
              </w:rPr>
              <w:t>Week 14</w:t>
            </w:r>
          </w:p>
        </w:tc>
      </w:tr>
      <w:tr>
        <w:tc>
          <w:tcPr>
            <w:tcW w:type="dxa" w:w="3230"/>
          </w:tcPr>
          <w:p>
            <w:pPr>
              <w:spacing w:after="40"/>
            </w:pPr>
            <w:r>
              <w:rPr>
                <w:sz w:val="22"/>
              </w:rPr>
            </w:r>
            <w:r>
              <w:rPr>
                <w:rFonts w:ascii="Times New Roman" w:hAnsi="Times New Roman"/>
                <w:sz w:val="22"/>
              </w:rPr>
              <w:t>10</w:t>
            </w:r>
          </w:p>
        </w:tc>
        <w:tc>
          <w:tcPr>
            <w:tcW w:type="dxa" w:w="3230"/>
          </w:tcPr>
          <w:p>
            <w:pPr>
              <w:spacing w:after="40"/>
            </w:pPr>
            <w:r>
              <w:rPr>
                <w:sz w:val="22"/>
              </w:rPr>
            </w:r>
            <w:r>
              <w:rPr>
                <w:rFonts w:ascii="Times New Roman" w:hAnsi="Times New Roman"/>
                <w:sz w:val="22"/>
              </w:rPr>
              <w:t>– Analyse model behaviour by volatility regime, by pair and by year.</w:t>
            </w:r>
          </w:p>
          <w:p>
            <w:pPr>
              <w:spacing w:after="40"/>
            </w:pPr>
            <w:r>
              <w:rPr>
                <w:rFonts w:ascii="Times New Roman" w:hAnsi="Times New Roman"/>
                <w:sz w:val="22"/>
              </w:rPr>
              <w:t>– Examine representative failure cases and document limitations.</w:t>
            </w:r>
          </w:p>
        </w:tc>
        <w:tc>
          <w:tcPr>
            <w:tcW w:type="dxa" w:w="3230"/>
          </w:tcPr>
          <w:p>
            <w:pPr>
              <w:spacing w:after="40"/>
            </w:pPr>
            <w:r>
              <w:rPr>
                <w:sz w:val="22"/>
              </w:rPr>
            </w:r>
            <w:r>
              <w:rPr>
                <w:rFonts w:ascii="Times New Roman" w:hAnsi="Times New Roman"/>
                <w:sz w:val="22"/>
              </w:rPr>
              <w:t>Week 15</w:t>
            </w:r>
          </w:p>
        </w:tc>
      </w:tr>
      <w:tr>
        <w:tc>
          <w:tcPr>
            <w:tcW w:type="dxa" w:w="3230"/>
          </w:tcPr>
          <w:p>
            <w:pPr>
              <w:spacing w:after="40"/>
            </w:pPr>
            <w:r>
              <w:rPr>
                <w:sz w:val="22"/>
              </w:rPr>
            </w:r>
            <w:r>
              <w:rPr>
                <w:rFonts w:ascii="Times New Roman" w:hAnsi="Times New Roman"/>
                <w:sz w:val="22"/>
              </w:rPr>
              <w:t>11</w:t>
            </w:r>
          </w:p>
        </w:tc>
        <w:tc>
          <w:tcPr>
            <w:tcW w:type="dxa" w:w="3230"/>
          </w:tcPr>
          <w:p>
            <w:pPr>
              <w:spacing w:after="40"/>
            </w:pPr>
            <w:r>
              <w:rPr>
                <w:sz w:val="22"/>
              </w:rPr>
            </w:r>
            <w:r>
              <w:rPr>
                <w:rFonts w:ascii="Times New Roman" w:hAnsi="Times New Roman"/>
                <w:sz w:val="22"/>
              </w:rPr>
              <w:t>– Complete the thesis report.</w:t>
            </w:r>
          </w:p>
          <w:p>
            <w:pPr>
              <w:spacing w:after="40"/>
            </w:pPr>
            <w:r>
              <w:rPr>
                <w:rFonts w:ascii="Times New Roman" w:hAnsi="Times New Roman"/>
                <w:sz w:val="22"/>
              </w:rPr>
              <w:t>– Revise content based on advisor feedback.</w:t>
            </w:r>
          </w:p>
          <w:p>
            <w:pPr>
              <w:spacing w:after="40"/>
            </w:pPr>
            <w:r>
              <w:rPr>
                <w:rFonts w:ascii="Times New Roman" w:hAnsi="Times New Roman"/>
                <w:sz w:val="22"/>
              </w:rPr>
              <w:t>– Prepare for the final defence.</w:t>
            </w:r>
          </w:p>
        </w:tc>
        <w:tc>
          <w:tcPr>
            <w:tcW w:type="dxa" w:w="3230"/>
          </w:tcPr>
          <w:p>
            <w:pPr>
              <w:spacing w:after="40"/>
            </w:pPr>
            <w:r>
              <w:rPr>
                <w:sz w:val="22"/>
              </w:rPr>
            </w:r>
            <w:r>
              <w:rPr>
                <w:rFonts w:ascii="Times New Roman" w:hAnsi="Times New Roman"/>
                <w:sz w:val="22"/>
              </w:rPr>
              <w:t>Week 16</w:t>
            </w:r>
          </w:p>
        </w:tc>
      </w:tr>
    </w:tbl>
    <w:p/>
    <w:p>
      <w:pPr>
        <w:spacing w:before="200" w:after="100"/>
        <w:jc w:val="center"/>
      </w:pPr>
      <w:r>
        <w:rPr>
          <w:rFonts w:ascii="Times New Roman" w:hAnsi="Times New Roman"/>
          <w:b/>
          <w:sz w:val="26"/>
        </w:rPr>
        <w:t>Work Assignment</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230"/>
        <w:gridCol w:w="3230"/>
        <w:gridCol w:w="3230"/>
      </w:tblGrid>
      <w:tr>
        <w:tc>
          <w:tcPr>
            <w:tcW w:type="dxa" w:w="3230"/>
          </w:tcPr>
          <w:p>
            <w:pPr>
              <w:spacing w:after="40"/>
            </w:pPr>
            <w:r>
              <w:rPr>
                <w:b/>
                <w:sz w:val="22"/>
              </w:rPr>
            </w:r>
            <w:r>
              <w:rPr>
                <w:rFonts w:ascii="Times New Roman" w:hAnsi="Times New Roman"/>
                <w:b/>
                <w:sz w:val="22"/>
              </w:rPr>
              <w:t>Assignments</w:t>
            </w:r>
          </w:p>
        </w:tc>
        <w:tc>
          <w:tcPr>
            <w:tcW w:type="dxa" w:w="3230"/>
          </w:tcPr>
          <w:p>
            <w:pPr>
              <w:spacing w:after="40"/>
            </w:pPr>
            <w:r>
              <w:rPr>
                <w:b/>
                <w:sz w:val="22"/>
              </w:rPr>
            </w:r>
            <w:r>
              <w:rPr>
                <w:rFonts w:ascii="Times New Roman" w:hAnsi="Times New Roman"/>
                <w:b/>
                <w:sz w:val="22"/>
              </w:rPr>
              <w:t>Member A</w:t>
            </w:r>
          </w:p>
        </w:tc>
        <w:tc>
          <w:tcPr>
            <w:tcW w:type="dxa" w:w="3230"/>
          </w:tcPr>
          <w:p>
            <w:pPr>
              <w:spacing w:after="40"/>
            </w:pPr>
            <w:r>
              <w:rPr>
                <w:b/>
                <w:sz w:val="22"/>
              </w:rPr>
            </w:r>
            <w:r>
              <w:rPr>
                <w:rFonts w:ascii="Times New Roman" w:hAnsi="Times New Roman"/>
                <w:b/>
                <w:sz w:val="22"/>
              </w:rPr>
              <w:t>Member B</w:t>
            </w:r>
          </w:p>
        </w:tc>
      </w:tr>
      <w:tr>
        <w:tc>
          <w:tcPr>
            <w:tcW w:type="dxa" w:w="3230"/>
          </w:tcPr>
          <w:p>
            <w:pPr>
              <w:spacing w:after="40"/>
            </w:pPr>
            <w:r>
              <w:rPr>
                <w:sz w:val="22"/>
              </w:rPr>
            </w:r>
            <w:r>
              <w:rPr>
                <w:rFonts w:ascii="Times New Roman" w:hAnsi="Times New Roman"/>
                <w:sz w:val="22"/>
              </w:rPr>
              <w:t>Review literature and define research scope</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Construct the data pipeline and realized measures</w:t>
            </w:r>
          </w:p>
        </w:tc>
        <w:tc>
          <w:tcPr>
            <w:tcW w:type="dxa" w:w="3230"/>
          </w:tcPr>
          <w:p>
            <w:pPr>
              <w:spacing w:after="40"/>
            </w:pPr>
            <w:r>
              <w:rPr>
                <w:sz w:val="22"/>
              </w:rPr>
            </w:r>
            <w:r>
              <w:rPr>
                <w:rFonts w:ascii="Times New Roman" w:hAnsi="Times New Roman"/>
                <w:sz w:val="22"/>
              </w:rPr>
              <w:t>60%</w:t>
            </w:r>
          </w:p>
        </w:tc>
        <w:tc>
          <w:tcPr>
            <w:tcW w:type="dxa" w:w="3230"/>
          </w:tcPr>
          <w:p>
            <w:pPr>
              <w:spacing w:after="40"/>
            </w:pPr>
            <w:r>
              <w:rPr>
                <w:sz w:val="22"/>
              </w:rPr>
            </w:r>
            <w:r>
              <w:rPr>
                <w:rFonts w:ascii="Times New Roman" w:hAnsi="Times New Roman"/>
                <w:sz w:val="22"/>
              </w:rPr>
              <w:t>40%</w:t>
            </w:r>
          </w:p>
        </w:tc>
      </w:tr>
      <w:tr>
        <w:tc>
          <w:tcPr>
            <w:tcW w:type="dxa" w:w="3230"/>
          </w:tcPr>
          <w:p>
            <w:pPr>
              <w:spacing w:after="40"/>
            </w:pPr>
            <w:r>
              <w:rPr>
                <w:sz w:val="22"/>
              </w:rPr>
            </w:r>
            <w:r>
              <w:rPr>
                <w:rFonts w:ascii="Times New Roman" w:hAnsi="Times New Roman"/>
                <w:sz w:val="22"/>
              </w:rPr>
              <w:t>Fix the evaluation protocol and sealed-set policy</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Develop and benchmark the volatility forecasting layer</w:t>
            </w:r>
          </w:p>
        </w:tc>
        <w:tc>
          <w:tcPr>
            <w:tcW w:type="dxa" w:w="3230"/>
          </w:tcPr>
          <w:p>
            <w:pPr>
              <w:spacing w:after="40"/>
            </w:pPr>
            <w:r>
              <w:rPr>
                <w:sz w:val="22"/>
              </w:rPr>
            </w:r>
            <w:r>
              <w:rPr>
                <w:rFonts w:ascii="Times New Roman" w:hAnsi="Times New Roman"/>
                <w:sz w:val="22"/>
              </w:rPr>
              <w:t>70%</w:t>
            </w:r>
          </w:p>
        </w:tc>
        <w:tc>
          <w:tcPr>
            <w:tcW w:type="dxa" w:w="3230"/>
          </w:tcPr>
          <w:p>
            <w:pPr>
              <w:spacing w:after="40"/>
            </w:pPr>
            <w:r>
              <w:rPr>
                <w:sz w:val="22"/>
              </w:rPr>
            </w:r>
            <w:r>
              <w:rPr>
                <w:rFonts w:ascii="Times New Roman" w:hAnsi="Times New Roman"/>
                <w:sz w:val="22"/>
              </w:rPr>
              <w:t>30%</w:t>
            </w:r>
          </w:p>
        </w:tc>
      </w:tr>
      <w:tr>
        <w:tc>
          <w:tcPr>
            <w:tcW w:type="dxa" w:w="3230"/>
          </w:tcPr>
          <w:p>
            <w:pPr>
              <w:spacing w:after="40"/>
            </w:pPr>
            <w:r>
              <w:rPr>
                <w:sz w:val="22"/>
              </w:rPr>
            </w:r>
            <w:r>
              <w:rPr>
                <w:rFonts w:ascii="Times New Roman" w:hAnsi="Times New Roman"/>
                <w:sz w:val="22"/>
              </w:rPr>
              <w:t>Develop the pattern-discovery and symbolic-representation branch</w:t>
            </w:r>
          </w:p>
        </w:tc>
        <w:tc>
          <w:tcPr>
            <w:tcW w:type="dxa" w:w="3230"/>
          </w:tcPr>
          <w:p>
            <w:pPr>
              <w:spacing w:after="40"/>
            </w:pPr>
            <w:r>
              <w:rPr>
                <w:sz w:val="22"/>
              </w:rPr>
            </w:r>
            <w:r>
              <w:rPr>
                <w:rFonts w:ascii="Times New Roman" w:hAnsi="Times New Roman"/>
                <w:sz w:val="22"/>
              </w:rPr>
              <w:t>30%</w:t>
            </w:r>
          </w:p>
        </w:tc>
        <w:tc>
          <w:tcPr>
            <w:tcW w:type="dxa" w:w="3230"/>
          </w:tcPr>
          <w:p>
            <w:pPr>
              <w:spacing w:after="40"/>
            </w:pPr>
            <w:r>
              <w:rPr>
                <w:sz w:val="22"/>
              </w:rPr>
            </w:r>
            <w:r>
              <w:rPr>
                <w:rFonts w:ascii="Times New Roman" w:hAnsi="Times New Roman"/>
                <w:sz w:val="22"/>
              </w:rPr>
              <w:t>70%</w:t>
            </w:r>
          </w:p>
        </w:tc>
      </w:tr>
      <w:tr>
        <w:tc>
          <w:tcPr>
            <w:tcW w:type="dxa" w:w="3230"/>
          </w:tcPr>
          <w:p>
            <w:pPr>
              <w:spacing w:after="40"/>
            </w:pPr>
            <w:r>
              <w:rPr>
                <w:sz w:val="22"/>
              </w:rPr>
            </w:r>
            <w:r>
              <w:rPr>
                <w:rFonts w:ascii="Times New Roman" w:hAnsi="Times New Roman"/>
                <w:sz w:val="22"/>
              </w:rPr>
              <w:t>Implement multiple-testing control and stability screening</w:t>
            </w:r>
          </w:p>
        </w:tc>
        <w:tc>
          <w:tcPr>
            <w:tcW w:type="dxa" w:w="3230"/>
          </w:tcPr>
          <w:p>
            <w:pPr>
              <w:spacing w:after="40"/>
            </w:pPr>
            <w:r>
              <w:rPr>
                <w:sz w:val="22"/>
              </w:rPr>
            </w:r>
            <w:r>
              <w:rPr>
                <w:rFonts w:ascii="Times New Roman" w:hAnsi="Times New Roman"/>
                <w:sz w:val="22"/>
              </w:rPr>
              <w:t>40%</w:t>
            </w:r>
          </w:p>
        </w:tc>
        <w:tc>
          <w:tcPr>
            <w:tcW w:type="dxa" w:w="3230"/>
          </w:tcPr>
          <w:p>
            <w:pPr>
              <w:spacing w:after="40"/>
            </w:pPr>
            <w:r>
              <w:rPr>
                <w:sz w:val="22"/>
              </w:rPr>
            </w:r>
            <w:r>
              <w:rPr>
                <w:rFonts w:ascii="Times New Roman" w:hAnsi="Times New Roman"/>
                <w:sz w:val="22"/>
              </w:rPr>
              <w:t>60%</w:t>
            </w:r>
          </w:p>
        </w:tc>
      </w:tr>
      <w:tr>
        <w:tc>
          <w:tcPr>
            <w:tcW w:type="dxa" w:w="3230"/>
          </w:tcPr>
          <w:p>
            <w:pPr>
              <w:spacing w:after="40"/>
            </w:pPr>
            <w:r>
              <w:rPr>
                <w:sz w:val="22"/>
              </w:rPr>
            </w:r>
            <w:r>
              <w:rPr>
                <w:rFonts w:ascii="Times New Roman" w:hAnsi="Times New Roman"/>
                <w:sz w:val="22"/>
              </w:rPr>
              <w:t>Conduct minimum detectable effect size and power analysis</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Develop the exogenous, textual and causal information layers</w:t>
            </w:r>
          </w:p>
        </w:tc>
        <w:tc>
          <w:tcPr>
            <w:tcW w:type="dxa" w:w="3230"/>
          </w:tcPr>
          <w:p>
            <w:pPr>
              <w:spacing w:after="40"/>
            </w:pPr>
            <w:r>
              <w:rPr>
                <w:sz w:val="22"/>
              </w:rPr>
            </w:r>
            <w:r>
              <w:rPr>
                <w:rFonts w:ascii="Times New Roman" w:hAnsi="Times New Roman"/>
                <w:sz w:val="22"/>
              </w:rPr>
              <w:t>30%</w:t>
            </w:r>
          </w:p>
        </w:tc>
        <w:tc>
          <w:tcPr>
            <w:tcW w:type="dxa" w:w="3230"/>
          </w:tcPr>
          <w:p>
            <w:pPr>
              <w:spacing w:after="40"/>
            </w:pPr>
            <w:r>
              <w:rPr>
                <w:sz w:val="22"/>
              </w:rPr>
            </w:r>
            <w:r>
              <w:rPr>
                <w:rFonts w:ascii="Times New Roman" w:hAnsi="Times New Roman"/>
                <w:sz w:val="22"/>
              </w:rPr>
              <w:t>70%</w:t>
            </w:r>
          </w:p>
        </w:tc>
      </w:tr>
      <w:tr>
        <w:tc>
          <w:tcPr>
            <w:tcW w:type="dxa" w:w="3230"/>
          </w:tcPr>
          <w:p>
            <w:pPr>
              <w:spacing w:after="40"/>
            </w:pPr>
            <w:r>
              <w:rPr>
                <w:sz w:val="22"/>
              </w:rPr>
            </w:r>
            <w:r>
              <w:rPr>
                <w:rFonts w:ascii="Times New Roman" w:hAnsi="Times New Roman"/>
                <w:sz w:val="22"/>
              </w:rPr>
              <w:t>Implement conformal prediction and calibration diagnostics</w:t>
            </w:r>
          </w:p>
        </w:tc>
        <w:tc>
          <w:tcPr>
            <w:tcW w:type="dxa" w:w="3230"/>
          </w:tcPr>
          <w:p>
            <w:pPr>
              <w:spacing w:after="40"/>
            </w:pPr>
            <w:r>
              <w:rPr>
                <w:sz w:val="22"/>
              </w:rPr>
            </w:r>
            <w:r>
              <w:rPr>
                <w:rFonts w:ascii="Times New Roman" w:hAnsi="Times New Roman"/>
                <w:sz w:val="22"/>
              </w:rPr>
              <w:t>65%</w:t>
            </w:r>
          </w:p>
        </w:tc>
        <w:tc>
          <w:tcPr>
            <w:tcW w:type="dxa" w:w="3230"/>
          </w:tcPr>
          <w:p>
            <w:pPr>
              <w:spacing w:after="40"/>
            </w:pPr>
            <w:r>
              <w:rPr>
                <w:sz w:val="22"/>
              </w:rPr>
            </w:r>
            <w:r>
              <w:rPr>
                <w:rFonts w:ascii="Times New Roman" w:hAnsi="Times New Roman"/>
                <w:sz w:val="22"/>
              </w:rPr>
              <w:t>35%</w:t>
            </w:r>
          </w:p>
        </w:tc>
      </w:tr>
      <w:tr>
        <w:tc>
          <w:tcPr>
            <w:tcW w:type="dxa" w:w="3230"/>
          </w:tcPr>
          <w:p>
            <w:pPr>
              <w:spacing w:after="40"/>
            </w:pPr>
            <w:r>
              <w:rPr>
                <w:sz w:val="22"/>
              </w:rPr>
            </w:r>
            <w:r>
              <w:rPr>
                <w:rFonts w:ascii="Times New Roman" w:hAnsi="Times New Roman"/>
                <w:sz w:val="22"/>
              </w:rPr>
              <w:t>Develop the risk layer: VaR/ES backtesting and position sizing</w:t>
            </w:r>
          </w:p>
        </w:tc>
        <w:tc>
          <w:tcPr>
            <w:tcW w:type="dxa" w:w="3230"/>
          </w:tcPr>
          <w:p>
            <w:pPr>
              <w:spacing w:after="40"/>
            </w:pPr>
            <w:r>
              <w:rPr>
                <w:sz w:val="22"/>
              </w:rPr>
            </w:r>
            <w:r>
              <w:rPr>
                <w:rFonts w:ascii="Times New Roman" w:hAnsi="Times New Roman"/>
                <w:sz w:val="22"/>
              </w:rPr>
              <w:t>70%</w:t>
            </w:r>
          </w:p>
        </w:tc>
        <w:tc>
          <w:tcPr>
            <w:tcW w:type="dxa" w:w="3230"/>
          </w:tcPr>
          <w:p>
            <w:pPr>
              <w:spacing w:after="40"/>
            </w:pPr>
            <w:r>
              <w:rPr>
                <w:sz w:val="22"/>
              </w:rPr>
            </w:r>
            <w:r>
              <w:rPr>
                <w:rFonts w:ascii="Times New Roman" w:hAnsi="Times New Roman"/>
                <w:sz w:val="22"/>
              </w:rPr>
              <w:t>30%</w:t>
            </w:r>
          </w:p>
        </w:tc>
      </w:tr>
      <w:tr>
        <w:tc>
          <w:tcPr>
            <w:tcW w:type="dxa" w:w="3230"/>
          </w:tcPr>
          <w:p>
            <w:pPr>
              <w:spacing w:after="40"/>
            </w:pPr>
            <w:r>
              <w:rPr>
                <w:sz w:val="22"/>
              </w:rPr>
            </w:r>
            <w:r>
              <w:rPr>
                <w:rFonts w:ascii="Times New Roman" w:hAnsi="Times New Roman"/>
                <w:sz w:val="22"/>
              </w:rPr>
              <w:t>Conduct the end-to-end economic evaluation</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Execute the sealed-set validation</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Implement the application programming interface and user interface</w:t>
            </w:r>
          </w:p>
        </w:tc>
        <w:tc>
          <w:tcPr>
            <w:tcW w:type="dxa" w:w="3230"/>
          </w:tcPr>
          <w:p>
            <w:pPr>
              <w:spacing w:after="40"/>
            </w:pPr>
            <w:r>
              <w:rPr>
                <w:sz w:val="22"/>
              </w:rPr>
            </w:r>
            <w:r>
              <w:rPr>
                <w:rFonts w:ascii="Times New Roman" w:hAnsi="Times New Roman"/>
                <w:sz w:val="22"/>
              </w:rPr>
              <w:t>75%</w:t>
            </w:r>
          </w:p>
        </w:tc>
        <w:tc>
          <w:tcPr>
            <w:tcW w:type="dxa" w:w="3230"/>
          </w:tcPr>
          <w:p>
            <w:pPr>
              <w:spacing w:after="40"/>
            </w:pPr>
            <w:r>
              <w:rPr>
                <w:sz w:val="22"/>
              </w:rPr>
            </w:r>
            <w:r>
              <w:rPr>
                <w:rFonts w:ascii="Times New Roman" w:hAnsi="Times New Roman"/>
                <w:sz w:val="22"/>
              </w:rPr>
              <w:t>25%</w:t>
            </w:r>
          </w:p>
        </w:tc>
      </w:tr>
      <w:tr>
        <w:tc>
          <w:tcPr>
            <w:tcW w:type="dxa" w:w="3230"/>
          </w:tcPr>
          <w:p>
            <w:pPr>
              <w:spacing w:after="40"/>
            </w:pPr>
            <w:r>
              <w:rPr>
                <w:sz w:val="22"/>
              </w:rPr>
            </w:r>
            <w:r>
              <w:rPr>
                <w:rFonts w:ascii="Times New Roman" w:hAnsi="Times New Roman"/>
                <w:sz w:val="22"/>
              </w:rPr>
              <w:t>Analyse failure cases and document limitations</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Write and revise the thesis report</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r>
        <w:tc>
          <w:tcPr>
            <w:tcW w:type="dxa" w:w="3230"/>
          </w:tcPr>
          <w:p>
            <w:pPr>
              <w:spacing w:after="40"/>
            </w:pPr>
            <w:r>
              <w:rPr>
                <w:sz w:val="22"/>
              </w:rPr>
            </w:r>
            <w:r>
              <w:rPr>
                <w:rFonts w:ascii="Times New Roman" w:hAnsi="Times New Roman"/>
                <w:sz w:val="22"/>
              </w:rPr>
              <w:t>Prepare for the final defence</w:t>
            </w:r>
          </w:p>
        </w:tc>
        <w:tc>
          <w:tcPr>
            <w:tcW w:type="dxa" w:w="3230"/>
          </w:tcPr>
          <w:p>
            <w:pPr>
              <w:spacing w:after="40"/>
            </w:pPr>
            <w:r>
              <w:rPr>
                <w:sz w:val="22"/>
              </w:rPr>
            </w:r>
            <w:r>
              <w:rPr>
                <w:rFonts w:ascii="Times New Roman" w:hAnsi="Times New Roman"/>
                <w:sz w:val="22"/>
              </w:rPr>
              <w:t>50%</w:t>
            </w:r>
          </w:p>
        </w:tc>
        <w:tc>
          <w:tcPr>
            <w:tcW w:type="dxa" w:w="3230"/>
          </w:tcPr>
          <w:p>
            <w:pPr>
              <w:spacing w:after="40"/>
            </w:pPr>
            <w:r>
              <w:rPr>
                <w:sz w:val="22"/>
              </w:rPr>
            </w:r>
            <w:r>
              <w:rPr>
                <w:rFonts w:ascii="Times New Roman" w:hAnsi="Times New Roman"/>
                <w:sz w:val="22"/>
              </w:rPr>
              <w:t>50%</w:t>
            </w:r>
          </w:p>
        </w:tc>
      </w:tr>
    </w:tbl>
    <w:p/>
    <w:p>
      <w:pPr>
        <w:jc w:val="both"/>
      </w:pPr>
      <w:r>
        <w:rPr>
          <w:rFonts w:ascii="Times New Roman" w:hAnsi="Times New Roman"/>
        </w:rPr>
        <w:t>Member A is NGUYEN QUOC HUY and Member B is HUYNH TRAN QUOC HUY. The division reflects the two principal workstreams of the project — the forecasting, calibration and risk pipeline together with system implementation, and the pattern-discovery, exogenous-information and statistical-validation branch — while the protocol, power analysis, sealed validation and written report remain the joint responsibility of both members.</w:t>
      </w:r>
    </w:p>
    <w:p>
      <w:pPr>
        <w:jc w:val="both"/>
      </w:pPr>
      <w:r>
        <w:rPr>
          <w:rFonts w:ascii="Times New Roman" w:hAnsi="Times New Roman"/>
        </w:rPr>
        <w:t>Advisor's approval            Ho Chi Minh City, ... /... /...</w:t>
      </w:r>
    </w:p>
    <w:p>
      <w:pPr>
        <w:jc w:val="both"/>
      </w:pPr>
      <w:r>
        <w:rPr>
          <w:rFonts w:ascii="Times New Roman" w:hAnsi="Times New Roman"/>
        </w:rPr>
        <w:t>(Signature and full name)          Students</w:t>
      </w:r>
    </w:p>
    <w:p>
      <w:pPr>
        <w:jc w:val="both"/>
      </w:pPr>
      <w:r>
        <w:rPr>
          <w:rFonts w:ascii="Times New Roman" w:hAnsi="Times New Roman"/>
        </w:rPr>
        <w:t xml:space="preserve">                                   (Signatures and full names)</w:t>
      </w:r>
    </w:p>
    <w:p>
      <w:pPr>
        <w:jc w:val="both"/>
      </w:pPr>
      <w:r>
        <w:rPr>
          <w:rFonts w:ascii="Times New Roman" w:hAnsi="Times New Roman"/>
        </w:rPr>
        <w:t>NGUYEN DINH THUAN                 NGUYEN QUOC HUY</w:t>
      </w:r>
    </w:p>
    <w:p>
      <w:pPr>
        <w:jc w:val="both"/>
      </w:pPr>
      <w:r>
        <w:rPr>
          <w:rFonts w:ascii="Times New Roman" w:hAnsi="Times New Roman"/>
        </w:rPr>
        <w:t xml:space="preserve">                                              HUYNH TRAN QUOC HUY</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