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E3A5F"/>
          <w:sz w:val="52"/>
        </w:rPr>
        <w:t>ASPEE PHARMACEUTICALS</w:t>
      </w:r>
    </w:p>
    <w:p>
      <w:pPr>
        <w:jc w:val="center"/>
      </w:pPr>
      <w:r>
        <w:rPr>
          <w:b/>
          <w:color w:val="333333"/>
          <w:sz w:val="32"/>
        </w:rPr>
        <w:t>ERP SYSTEM</w:t>
      </w:r>
    </w:p>
    <w:p/>
    <w:p>
      <w:pPr>
        <w:jc w:val="center"/>
      </w:pPr>
      <w:r>
        <w:rPr>
          <w:b/>
          <w:color w:val="0369A1"/>
          <w:sz w:val="40"/>
        </w:rPr>
        <w:t>ACCOUNTING DEPARTMENT USER MANUAL</w:t>
      </w:r>
    </w:p>
    <w:p/>
    <w:p>
      <w:pPr>
        <w:jc w:val="center"/>
      </w:pPr>
      <w:r>
        <w:rPr>
          <w:b/>
          <w:color w:val="333333"/>
          <w:sz w:val="24"/>
        </w:rPr>
        <w:t>Version 2.0  |  April 2026</w:t>
      </w:r>
    </w:p>
    <w:p>
      <w:pPr>
        <w:jc w:val="center"/>
      </w:pPr>
      <w:r>
        <w:rPr>
          <w:b w:val="0"/>
          <w:color w:val="333333"/>
          <w:sz w:val="22"/>
        </w:rPr>
        <w:t>For: Accountant</w:t>
      </w:r>
    </w:p>
    <w:p>
      <w:pPr>
        <w:jc w:val="center"/>
      </w:pPr>
      <w:r>
        <w:rPr>
          <w:b w:val="0"/>
          <w:color w:val="333333"/>
          <w:sz w:val="20"/>
        </w:rPr>
        <w:t>Currency: Ghana Cedis (GH₵)</w:t>
      </w:r>
    </w:p>
    <w:p>
      <w:pPr>
        <w:jc w:val="center"/>
      </w:pPr>
      <w:r>
        <w:rPr>
          <w:b/>
          <w:color w:val="92400E"/>
          <w:sz w:val="18"/>
        </w:rPr>
        <w:t>CONFIDENTIAL — FOR INTERNAL USE ONLY</w:t>
      </w: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1.  Getting Started</w:t>
      </w:r>
    </w:p>
    <w:p>
      <w:pPr>
        <w:spacing w:before="200" w:after="60"/>
      </w:pPr>
      <w:r>
        <w:rPr>
          <w:b/>
          <w:color w:val="0F766E"/>
          <w:sz w:val="22"/>
        </w:rPr>
        <w:t>Accessing the System</w:t>
      </w:r>
    </w:p>
    <w:p>
      <w:pPr>
        <w:pStyle w:val="ListBullet"/>
        <w:spacing w:after="40"/>
        <w:ind w:left="360"/>
      </w:pPr>
      <w:r>
        <w:rPr>
          <w:sz w:val="20"/>
        </w:rPr>
        <w:t>Open Chrome or Edge and go to the ERP URL provided by your IT administrator.</w:t>
      </w:r>
    </w:p>
    <w:p>
      <w:pPr>
        <w:pStyle w:val="ListBullet"/>
        <w:spacing w:after="40"/>
        <w:ind w:left="360"/>
      </w:pPr>
      <w:r>
        <w:rPr>
          <w:sz w:val="20"/>
        </w:rPr>
        <w:t>Enter your company email address and password, then click Sign In.</w:t>
      </w:r>
    </w:p>
    <w:p>
      <w:pPr>
        <w:pStyle w:val="ListBullet"/>
        <w:spacing w:after="40"/>
        <w:ind w:left="360"/>
      </w:pPr>
      <w:r>
        <w:rPr>
          <w:sz w:val="20"/>
        </w:rPr>
        <w:t>If you forget your password, contact your Super Admin to reset it.</w:t>
      </w:r>
    </w:p>
    <w:p>
      <w:pPr>
        <w:spacing w:before="100" w:after="100"/>
        <w:ind w:left="216" w:right="216"/>
        <w:shd w:val="clear" w:color="auto" w:fill="FEF3C7"/>
      </w:pPr>
      <w:r>
        <w:rPr>
          <w:i/>
          <w:color w:val="92400E"/>
          <w:sz w:val="19"/>
        </w:rPr>
        <w:t xml:space="preserve">  Note: If your account does not yet exist, contact the Super Admin to add you under Settings → User Management.</w:t>
      </w:r>
    </w:p>
    <w:p>
      <w:pPr>
        <w:spacing w:before="200" w:after="60"/>
      </w:pPr>
      <w:r>
        <w:rPr>
          <w:b/>
          <w:color w:val="0F766E"/>
          <w:sz w:val="22"/>
        </w:rPr>
        <w:t>The Sidebar Navigation</w:t>
      </w:r>
    </w:p>
    <w:p>
      <w:pPr>
        <w:pStyle w:val="ListBullet"/>
        <w:spacing w:after="40"/>
        <w:ind w:left="360"/>
      </w:pPr>
      <w:r>
        <w:rPr>
          <w:sz w:val="20"/>
        </w:rPr>
        <w:t>Click any section heading in the left sidebar to expand its sub-menu.</w:t>
      </w:r>
    </w:p>
    <w:p>
      <w:pPr>
        <w:pStyle w:val="ListBullet"/>
        <w:spacing w:after="40"/>
        <w:ind w:left="360"/>
      </w:pPr>
      <w:r>
        <w:rPr>
          <w:sz w:val="20"/>
        </w:rPr>
        <w:t>The active page is highlighted in blue.</w:t>
      </w:r>
    </w:p>
    <w:p>
      <w:pPr>
        <w:pStyle w:val="ListBullet"/>
        <w:spacing w:after="40"/>
        <w:ind w:left="360"/>
      </w:pPr>
      <w:r>
        <w:rPr>
          <w:sz w:val="20"/>
        </w:rPr>
        <w:t>The sidebar shows only the sections your role is permitted to access.</w:t>
      </w:r>
    </w:p>
    <w:p>
      <w:pPr>
        <w:pStyle w:val="ListBullet"/>
        <w:spacing w:after="40"/>
        <w:ind w:left="360"/>
      </w:pPr>
      <w:r>
        <w:rPr>
          <w:sz w:val="20"/>
        </w:rPr>
        <w:t>Use the Collapse button at the bottom to hide labels and save screen space.</w:t>
      </w:r>
    </w:p>
    <w:p>
      <w:pPr>
        <w:spacing w:before="200" w:after="60"/>
      </w:pPr>
      <w:r>
        <w:rPr>
          <w:b/>
          <w:color w:val="0F766E"/>
          <w:sz w:val="22"/>
        </w:rPr>
        <w:t>Common Page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16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619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Page Header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Title, subtitle, and breadcrumb trail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Stat Cards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Key metrics at the top of each section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Data Table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Searchable list of all records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+ New / Create button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Opens the form to add a new record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Eye icon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Read-only detail view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Pencil icon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Edit the record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Trash icon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Delete the record (with confirmation)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Export button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Download data as CSV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Send Weekly Report button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Send a departmental summary to the MD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2.  Journal Entries</w:t>
      </w:r>
    </w:p>
    <w:p>
      <w:pPr>
        <w:spacing w:after="80"/>
      </w:pPr>
      <w:r>
        <w:rPr>
          <w:color w:val="333333"/>
          <w:sz w:val="20"/>
        </w:rPr>
        <w:t>Path: Accounting → Journal Entries</w:t>
      </w:r>
    </w:p>
    <w:p>
      <w:pPr>
        <w:spacing w:after="80"/>
      </w:pPr>
      <w:r>
        <w:rPr>
          <w:color w:val="333333"/>
          <w:sz w:val="20"/>
        </w:rPr>
        <w:t>Manual journal entries for transactions not automatically posted by the system. Most invoice and receipt transactions post automatically.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31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type="dxa" w:w="216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88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Normal Balance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Sales Revenue</w:t>
            </w:r>
          </w:p>
        </w:tc>
        <w:tc>
          <w:tcPr>
            <w:tcW w:type="dxa" w:w="216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Income</w:t>
            </w:r>
          </w:p>
        </w:tc>
        <w:tc>
          <w:tcPr>
            <w:tcW w:type="dxa" w:w="388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Credit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Accounts Receivable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Asset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Debit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Cash &amp; Bank</w:t>
            </w:r>
          </w:p>
        </w:tc>
        <w:tc>
          <w:tcPr>
            <w:tcW w:type="dxa" w:w="216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Asset</w:t>
            </w:r>
          </w:p>
        </w:tc>
        <w:tc>
          <w:tcPr>
            <w:tcW w:type="dxa" w:w="388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Debit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Inventory / Stock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Asset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Debit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Cost of Goods Sold</w:t>
            </w:r>
          </w:p>
        </w:tc>
        <w:tc>
          <w:tcPr>
            <w:tcW w:type="dxa" w:w="216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Expense</w:t>
            </w:r>
          </w:p>
        </w:tc>
        <w:tc>
          <w:tcPr>
            <w:tcW w:type="dxa" w:w="388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Debit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Accounts Payable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Liability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Credit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VAT Payable</w:t>
            </w:r>
          </w:p>
        </w:tc>
        <w:tc>
          <w:tcPr>
            <w:tcW w:type="dxa" w:w="216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Liability</w:t>
            </w:r>
          </w:p>
        </w:tc>
        <w:tc>
          <w:tcPr>
            <w:tcW w:type="dxa" w:w="388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Credit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3.  General Ledger</w:t>
      </w:r>
    </w:p>
    <w:p>
      <w:pPr>
        <w:spacing w:after="80"/>
      </w:pPr>
      <w:r>
        <w:rPr>
          <w:color w:val="333333"/>
          <w:sz w:val="20"/>
        </w:rPr>
        <w:t>Path: Accounting → General Ledger</w:t>
      </w:r>
    </w:p>
    <w:p>
      <w:pPr>
        <w:spacing w:after="80"/>
      </w:pPr>
      <w:r>
        <w:rPr>
          <w:color w:val="333333"/>
          <w:sz w:val="20"/>
        </w:rPr>
        <w:t>All posted journal entries organised by account. Use this to trace any transaction back to its origin.</w:t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4.  Trial Balance</w:t>
      </w:r>
    </w:p>
    <w:p>
      <w:pPr>
        <w:spacing w:after="80"/>
      </w:pPr>
      <w:r>
        <w:rPr>
          <w:color w:val="333333"/>
          <w:sz w:val="20"/>
        </w:rPr>
        <w:t>Path: Accounting → Trial Balance</w:t>
      </w:r>
    </w:p>
    <w:p>
      <w:pPr>
        <w:spacing w:after="80"/>
      </w:pPr>
      <w:r>
        <w:rPr>
          <w:color w:val="333333"/>
          <w:sz w:val="20"/>
        </w:rPr>
        <w:t>Summary of all account balances confirming total debits equal total credits. Run at month-end to verify book integrity before producing financial statements.</w:t>
      </w: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5.  Expenses</w:t>
      </w:r>
    </w:p>
    <w:p>
      <w:pPr>
        <w:spacing w:after="80"/>
      </w:pPr>
      <w:r>
        <w:rPr>
          <w:color w:val="333333"/>
          <w:sz w:val="20"/>
        </w:rPr>
        <w:t>Path: Accounting → Expenses</w:t>
      </w:r>
    </w:p>
    <w:p>
      <w:pPr>
        <w:spacing w:after="80"/>
      </w:pPr>
      <w:r>
        <w:rPr>
          <w:color w:val="333333"/>
          <w:sz w:val="20"/>
        </w:rPr>
        <w:t>Record and categorise all company operational expenses.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31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04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Category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Fuel &amp; Transport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Fuel for Van 1 delivery route — April 2026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Amount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GH₵ 850.00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Date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 April 2026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 Method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Cash (Petty Cash)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6.  Payroll</w:t>
      </w:r>
    </w:p>
    <w:p>
      <w:pPr>
        <w:spacing w:after="80"/>
      </w:pPr>
      <w:r>
        <w:rPr>
          <w:color w:val="333333"/>
          <w:sz w:val="20"/>
        </w:rPr>
        <w:t>Path: Accounting → Payroll</w:t>
      </w:r>
    </w:p>
    <w:p>
      <w:pPr>
        <w:spacing w:after="80"/>
      </w:pPr>
      <w:r>
        <w:rPr>
          <w:color w:val="333333"/>
          <w:sz w:val="20"/>
        </w:rPr>
        <w:t>Monthly payroll processing. Works with HR's payroll preparation data.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2736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Employee</w:t>
            </w:r>
          </w:p>
        </w:tc>
        <w:tc>
          <w:tcPr>
            <w:tcW w:type="dxa" w:w="144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Basic (GH₵)</w:t>
            </w:r>
          </w:p>
        </w:tc>
        <w:tc>
          <w:tcPr>
            <w:tcW w:type="dxa" w:w="144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Transport</w:t>
            </w:r>
          </w:p>
        </w:tc>
        <w:tc>
          <w:tcPr>
            <w:tcW w:type="dxa" w:w="1584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SSNIT 5.5%</w:t>
            </w:r>
          </w:p>
        </w:tc>
        <w:tc>
          <w:tcPr>
            <w:tcW w:type="dxa" w:w="1296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Tax</w:t>
            </w:r>
          </w:p>
        </w:tc>
        <w:tc>
          <w:tcPr>
            <w:tcW w:type="dxa" w:w="144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Net Pay</w:t>
            </w:r>
          </w:p>
        </w:tc>
      </w:tr>
      <w:tr>
        <w:tc>
          <w:tcPr>
            <w:tcW w:type="dxa" w:w="2736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Abena Mensah (QA)</w:t>
            </w:r>
          </w:p>
        </w:tc>
        <w:tc>
          <w:tcPr>
            <w:tcW w:type="dxa" w:w="144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3,800</w:t>
            </w:r>
          </w:p>
        </w:tc>
        <w:tc>
          <w:tcPr>
            <w:tcW w:type="dxa" w:w="144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400</w:t>
            </w:r>
          </w:p>
        </w:tc>
        <w:tc>
          <w:tcPr>
            <w:tcW w:type="dxa" w:w="1584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209.00</w:t>
            </w:r>
          </w:p>
        </w:tc>
        <w:tc>
          <w:tcPr>
            <w:tcW w:type="dxa" w:w="1296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312.00</w:t>
            </w:r>
          </w:p>
        </w:tc>
        <w:tc>
          <w:tcPr>
            <w:tcW w:type="dxa" w:w="144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3,679.00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Kwaku Asante (Van)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2,500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300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137.50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178.00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2,484.50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7.  Tax Periods</w:t>
      </w:r>
    </w:p>
    <w:p>
      <w:pPr>
        <w:spacing w:after="80"/>
      </w:pPr>
      <w:r>
        <w:rPr>
          <w:color w:val="333333"/>
          <w:sz w:val="20"/>
        </w:rPr>
        <w:t>Path: Accounting → Tax Periods</w:t>
      </w:r>
    </w:p>
    <w:p>
      <w:pPr>
        <w:spacing w:after="80"/>
      </w:pPr>
      <w:r>
        <w:rPr>
          <w:color w:val="333333"/>
          <w:sz w:val="20"/>
        </w:rPr>
        <w:t>Track VAT filing periods, corporate tax assessments, and PAYE submissions to GRA.</w:t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8.  Petty Cash</w:t>
      </w:r>
    </w:p>
    <w:p>
      <w:pPr>
        <w:spacing w:after="80"/>
      </w:pPr>
      <w:r>
        <w:rPr>
          <w:color w:val="333333"/>
          <w:sz w:val="20"/>
        </w:rPr>
        <w:t>Path: Accounting → Petty Cash</w:t>
      </w:r>
    </w:p>
    <w:p>
      <w:pPr>
        <w:spacing w:after="80"/>
      </w:pPr>
      <w:r>
        <w:rPr>
          <w:color w:val="333333"/>
          <w:sz w:val="20"/>
        </w:rPr>
        <w:t>Track small cash disbursements for day-to-day operational expenses.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016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60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Amount (GH₵)</w:t>
            </w:r>
          </w:p>
        </w:tc>
        <w:tc>
          <w:tcPr>
            <w:tcW w:type="dxa" w:w="216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Balance (GH₵)</w:t>
            </w:r>
          </w:p>
        </w:tc>
      </w:tr>
      <w:tr>
        <w:tc>
          <w:tcPr>
            <w:tcW w:type="dxa" w:w="2016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07 Apr 2026</w:t>
            </w:r>
          </w:p>
        </w:tc>
        <w:tc>
          <w:tcPr>
            <w:tcW w:type="dxa" w:w="360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Office stationery</w:t>
            </w:r>
          </w:p>
        </w:tc>
        <w:tc>
          <w:tcPr>
            <w:tcW w:type="dxa" w:w="216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85.00</w:t>
            </w:r>
          </w:p>
        </w:tc>
        <w:tc>
          <w:tcPr>
            <w:tcW w:type="dxa" w:w="216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415.00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08 Apr 2026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Factory floor refreshments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45.00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370.00</w:t>
            </w:r>
          </w:p>
        </w:tc>
      </w:tr>
      <w:tr>
        <w:tc>
          <w:tcPr>
            <w:tcW w:type="dxa" w:w="2016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 Apr 2026</w:t>
            </w:r>
          </w:p>
        </w:tc>
        <w:tc>
          <w:tcPr>
            <w:tcW w:type="dxa" w:w="360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Courier delivery fee</w:t>
            </w:r>
          </w:p>
        </w:tc>
        <w:tc>
          <w:tcPr>
            <w:tcW w:type="dxa" w:w="216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30.00</w:t>
            </w:r>
          </w:p>
        </w:tc>
        <w:tc>
          <w:tcPr>
            <w:tcW w:type="dxa" w:w="216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340.00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9.  Supplier Payments</w:t>
      </w:r>
    </w:p>
    <w:p>
      <w:pPr>
        <w:spacing w:after="80"/>
      </w:pPr>
      <w:r>
        <w:rPr>
          <w:color w:val="333333"/>
          <w:sz w:val="20"/>
        </w:rPr>
        <w:t>Path: Accounting → Supplier Payments</w:t>
      </w:r>
    </w:p>
    <w:p>
      <w:pPr>
        <w:spacing w:after="80"/>
      </w:pPr>
      <w:r>
        <w:rPr>
          <w:color w:val="333333"/>
          <w:sz w:val="20"/>
        </w:rPr>
        <w:t>Record all payments made to suppliers against outstanding Purchase Orders.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31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04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Supplier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Meridian Pharma Supplies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PO Reference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PO-2026-047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Invoice Amount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GH₵ 69,000.00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Amount Paid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GH₵ 34,500.00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Balance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GH₵ 34,500.00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Method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Bank Transfer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Bank Reference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GCB-TRF-20260408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10.  Collections</w:t>
      </w:r>
    </w:p>
    <w:p>
      <w:pPr>
        <w:spacing w:after="80"/>
      </w:pPr>
      <w:r>
        <w:rPr>
          <w:color w:val="333333"/>
          <w:sz w:val="20"/>
        </w:rPr>
        <w:t>Path: Accounting → Collections</w:t>
      </w:r>
    </w:p>
    <w:p>
      <w:pPr>
        <w:spacing w:after="80"/>
      </w:pPr>
      <w:r>
        <w:rPr>
          <w:color w:val="333333"/>
          <w:sz w:val="20"/>
        </w:rPr>
        <w:t>The accounting view of customer payments. Cross-references with Sales Receipts to confirm banking and reconcile cash received.</w:t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11.  A/R Aging Report</w:t>
      </w:r>
    </w:p>
    <w:p>
      <w:pPr>
        <w:spacing w:after="80"/>
      </w:pPr>
      <w:r>
        <w:rPr>
          <w:color w:val="333333"/>
          <w:sz w:val="20"/>
        </w:rPr>
        <w:t>Path: Accounting → A/R Aging</w:t>
      </w:r>
    </w:p>
    <w:p>
      <w:pPr>
        <w:spacing w:after="80"/>
      </w:pPr>
      <w:r>
        <w:rPr>
          <w:color w:val="333333"/>
          <w:sz w:val="20"/>
        </w:rPr>
        <w:t>Outstanding customer invoices grouped by how long they have been unpaid.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87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Bucket</w:t>
            </w:r>
          </w:p>
        </w:tc>
        <w:tc>
          <w:tcPr>
            <w:tcW w:type="dxa" w:w="288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460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Required Action</w:t>
            </w:r>
          </w:p>
        </w:tc>
      </w:tr>
      <w:tr>
        <w:tc>
          <w:tcPr>
            <w:tcW w:type="dxa" w:w="187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0–30 Days</w:t>
            </w:r>
          </w:p>
        </w:tc>
        <w:tc>
          <w:tcPr>
            <w:tcW w:type="dxa" w:w="28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Current</w:t>
            </w:r>
          </w:p>
        </w:tc>
        <w:tc>
          <w:tcPr>
            <w:tcW w:type="dxa" w:w="460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Monitor weekly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31–60 Days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Slightly overdue</w:t>
            </w:r>
          </w:p>
        </w:tc>
        <w:tc>
          <w:tcPr>
            <w:tcW w:type="dxa" w:w="460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Send payment reminder via Sales Manager</w:t>
            </w:r>
          </w:p>
        </w:tc>
      </w:tr>
      <w:tr>
        <w:tc>
          <w:tcPr>
            <w:tcW w:type="dxa" w:w="187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61–90 Days</w:t>
            </w:r>
          </w:p>
        </w:tc>
        <w:tc>
          <w:tcPr>
            <w:tcW w:type="dxa" w:w="28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Significantly overdue</w:t>
            </w:r>
          </w:p>
        </w:tc>
        <w:tc>
          <w:tcPr>
            <w:tcW w:type="dxa" w:w="460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Escalate to Sales Manager and MD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90+ Days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Seriously overdue</w:t>
            </w:r>
          </w:p>
        </w:tc>
        <w:tc>
          <w:tcPr>
            <w:tcW w:type="dxa" w:w="460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Legal / MD escalation — immediate action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12.  Bank Reconciliation</w:t>
      </w:r>
    </w:p>
    <w:p>
      <w:pPr>
        <w:spacing w:after="80"/>
      </w:pPr>
      <w:r>
        <w:rPr>
          <w:color w:val="333333"/>
          <w:sz w:val="20"/>
        </w:rPr>
        <w:t>Path: Accounting → Bank Reconciliation  —  NEW in v2.0</w:t>
      </w:r>
    </w:p>
    <w:p>
      <w:pPr>
        <w:spacing w:after="80"/>
      </w:pPr>
      <w:r>
        <w:rPr>
          <w:color w:val="333333"/>
          <w:sz w:val="20"/>
        </w:rPr>
        <w:t>Match bank statement transactions against journal entries in the ERP to confirm the company's cash book agrees with the bank.</w:t>
      </w:r>
    </w:p>
    <w:p>
      <w:pPr>
        <w:spacing w:before="200" w:after="60"/>
      </w:pPr>
      <w:r>
        <w:rPr>
          <w:b/>
          <w:color w:val="0F766E"/>
          <w:sz w:val="22"/>
        </w:rPr>
        <w:t>Process</w:t>
      </w:r>
    </w:p>
    <w:p>
      <w:pPr>
        <w:pStyle w:val="ListBullet"/>
        <w:spacing w:after="40"/>
        <w:ind w:left="360"/>
      </w:pPr>
      <w:r>
        <w:rPr>
          <w:sz w:val="20"/>
        </w:rPr>
        <w:t>1. Select the Bank Account from the dropdown.</w:t>
      </w:r>
    </w:p>
    <w:p>
      <w:pPr>
        <w:pStyle w:val="ListBullet"/>
        <w:spacing w:after="40"/>
        <w:ind w:left="360"/>
      </w:pPr>
      <w:r>
        <w:rPr>
          <w:sz w:val="20"/>
        </w:rPr>
        <w:t>2. Click Upload to import your bank statement (CSV format from your bank).</w:t>
      </w:r>
    </w:p>
    <w:p>
      <w:pPr>
        <w:pStyle w:val="ListBullet"/>
        <w:spacing w:after="40"/>
        <w:ind w:left="360"/>
      </w:pPr>
      <w:r>
        <w:rPr>
          <w:sz w:val="20"/>
        </w:rPr>
        <w:t>3. The system displays all transactions with a match status.</w:t>
      </w:r>
    </w:p>
    <w:p>
      <w:pPr>
        <w:pStyle w:val="ListBullet"/>
        <w:spacing w:after="40"/>
        <w:ind w:left="360"/>
      </w:pPr>
      <w:r>
        <w:rPr>
          <w:sz w:val="20"/>
        </w:rPr>
        <w:t>4. For Unmatched items, click Match to link to the corresponding journal entry.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87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Match Status</w:t>
            </w:r>
          </w:p>
        </w:tc>
        <w:tc>
          <w:tcPr>
            <w:tcW w:type="dxa" w:w="388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60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187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Matched</w:t>
            </w:r>
          </w:p>
        </w:tc>
        <w:tc>
          <w:tcPr>
            <w:tcW w:type="dxa" w:w="388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Bank transaction confirmed against ERP</w:t>
            </w:r>
          </w:p>
        </w:tc>
        <w:tc>
          <w:tcPr>
            <w:tcW w:type="dxa" w:w="360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 action needed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Unmatched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 corresponding ERP record found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Investigate immediately</w:t>
            </w:r>
          </w:p>
        </w:tc>
      </w:tr>
      <w:tr>
        <w:tc>
          <w:tcPr>
            <w:tcW w:type="dxa" w:w="187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Partial</w:t>
            </w:r>
          </w:p>
        </w:tc>
        <w:tc>
          <w:tcPr>
            <w:tcW w:type="dxa" w:w="388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Amounts do not fully agree</w:t>
            </w:r>
          </w:p>
        </w:tc>
        <w:tc>
          <w:tcPr>
            <w:tcW w:type="dxa" w:w="360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Review and correct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Disputed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Transaction queried — under review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Escalate to management</w:t>
            </w:r>
          </w:p>
        </w:tc>
      </w:tr>
    </w:tbl>
    <w:p>
      <w:pPr>
        <w:spacing w:after="80"/>
      </w:pPr>
    </w:p>
    <w:p>
      <w:pPr>
        <w:spacing w:before="100" w:after="100"/>
        <w:ind w:left="216" w:right="216"/>
        <w:shd w:val="clear" w:color="auto" w:fill="FEF3C7"/>
      </w:pPr>
      <w:r>
        <w:rPr>
          <w:i/>
          <w:color w:val="92400E"/>
          <w:sz w:val="19"/>
        </w:rPr>
        <w:t xml:space="preserve">  Note: Run bank reconciliation at least once per week. All Unmatched items must be resolved before month-end close.</w:t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13.  Financial Statements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60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576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Path</w:t>
            </w:r>
          </w:p>
        </w:tc>
      </w:tr>
      <w:tr>
        <w:tc>
          <w:tcPr>
            <w:tcW w:type="dxa" w:w="360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Comprehensive Income</w:t>
            </w:r>
          </w:p>
        </w:tc>
        <w:tc>
          <w:tcPr>
            <w:tcW w:type="dxa" w:w="576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Accounting → Comprehensive Income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Financial Position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Accounting → Financial Position</w:t>
            </w:r>
          </w:p>
        </w:tc>
      </w:tr>
      <w:tr>
        <w:tc>
          <w:tcPr>
            <w:tcW w:type="dxa" w:w="360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Equity Statement</w:t>
            </w:r>
          </w:p>
        </w:tc>
        <w:tc>
          <w:tcPr>
            <w:tcW w:type="dxa" w:w="576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Accounting → Equity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Cash Flow Statement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Accounting → Cash Flow</w:t>
            </w:r>
          </w:p>
        </w:tc>
      </w:tr>
      <w:tr>
        <w:tc>
          <w:tcPr>
            <w:tcW w:type="dxa" w:w="360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Accounting Notes</w:t>
            </w:r>
          </w:p>
        </w:tc>
        <w:tc>
          <w:tcPr>
            <w:tcW w:type="dxa" w:w="576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Accounting → Accounting Notes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14.  Quick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03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532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Path</w:t>
            </w:r>
          </w:p>
        </w:tc>
      </w:tr>
      <w:tr>
        <w:tc>
          <w:tcPr>
            <w:tcW w:type="dxa" w:w="403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Post a journal entry</w:t>
            </w:r>
          </w:p>
        </w:tc>
        <w:tc>
          <w:tcPr>
            <w:tcW w:type="dxa" w:w="532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Accounting → Journal Entries → + New Entry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View general ledger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Accounting → General Ledger</w:t>
            </w:r>
          </w:p>
        </w:tc>
      </w:tr>
      <w:tr>
        <w:tc>
          <w:tcPr>
            <w:tcW w:type="dxa" w:w="403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Run trial balance</w:t>
            </w:r>
          </w:p>
        </w:tc>
        <w:tc>
          <w:tcPr>
            <w:tcW w:type="dxa" w:w="532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Accounting → Trial Balance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Record an expense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Accounting → Expenses → + New Expense</w:t>
            </w:r>
          </w:p>
        </w:tc>
      </w:tr>
      <w:tr>
        <w:tc>
          <w:tcPr>
            <w:tcW w:type="dxa" w:w="403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Process payroll</w:t>
            </w:r>
          </w:p>
        </w:tc>
        <w:tc>
          <w:tcPr>
            <w:tcW w:type="dxa" w:w="532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Accounting → Payroll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File a tax period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Accounting → Tax Periods</w:t>
            </w:r>
          </w:p>
        </w:tc>
      </w:tr>
      <w:tr>
        <w:tc>
          <w:tcPr>
            <w:tcW w:type="dxa" w:w="403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Record petty cash</w:t>
            </w:r>
          </w:p>
        </w:tc>
        <w:tc>
          <w:tcPr>
            <w:tcW w:type="dxa" w:w="532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Accounting → Petty Cash → + New Entry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 a supplier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Accounting → Supplier Payments → + New</w:t>
            </w:r>
          </w:p>
        </w:tc>
      </w:tr>
      <w:tr>
        <w:tc>
          <w:tcPr>
            <w:tcW w:type="dxa" w:w="403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View A/R aging</w:t>
            </w:r>
          </w:p>
        </w:tc>
        <w:tc>
          <w:tcPr>
            <w:tcW w:type="dxa" w:w="532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Accounting → A/R Aging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Reconcile bank statement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Accounting → Bank Reconciliation → Upload</w:t>
            </w:r>
          </w:p>
        </w:tc>
      </w:tr>
      <w:tr>
        <w:tc>
          <w:tcPr>
            <w:tcW w:type="dxa" w:w="403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Generate financial reports</w:t>
            </w:r>
          </w:p>
        </w:tc>
        <w:tc>
          <w:tcPr>
            <w:tcW w:type="dxa" w:w="532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Accounting → Financial Reports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View financial statements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Accounting → (Comprehensive Income / Financial Position / etc.)</w:t>
            </w:r>
          </w:p>
        </w:tc>
      </w:tr>
      <w:tr>
        <w:tc>
          <w:tcPr>
            <w:tcW w:type="dxa" w:w="403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Send weekly report</w:t>
            </w:r>
          </w:p>
        </w:tc>
        <w:tc>
          <w:tcPr>
            <w:tcW w:type="dxa" w:w="532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A/R Aging page → Send Weekly Report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Important Reminders</w:t>
      </w:r>
    </w:p>
    <w:p>
      <w:pPr>
        <w:spacing w:before="80" w:after="40"/>
      </w:pPr>
      <w:r>
        <w:rPr>
          <w:b/>
          <w:color w:val="1E3A5F"/>
          <w:sz w:val="20"/>
        </w:rPr>
        <w:t xml:space="preserve">1.  Bank reconciliation is mandatory weekly.  </w:t>
      </w:r>
      <w:r>
        <w:rPr>
          <w:color w:val="333333"/>
          <w:sz w:val="20"/>
        </w:rPr>
        <w:t>Unmatched transactions must be resolved before month-end close. Do not carry them forward.</w:t>
      </w:r>
    </w:p>
    <w:p>
      <w:pPr>
        <w:spacing w:before="80" w:after="40"/>
      </w:pPr>
      <w:r>
        <w:rPr>
          <w:b/>
          <w:color w:val="1E3A5F"/>
          <w:sz w:val="20"/>
        </w:rPr>
        <w:t xml:space="preserve">2.  Invoices auto-post journals.  </w:t>
      </w:r>
      <w:r>
        <w:rPr>
          <w:color w:val="333333"/>
          <w:sz w:val="20"/>
        </w:rPr>
        <w:t>Do not manually re-post a journal for an already-issued invoice — this will create a duplicate entry.</w:t>
      </w:r>
    </w:p>
    <w:p>
      <w:pPr>
        <w:spacing w:before="80" w:after="40"/>
      </w:pPr>
      <w:r>
        <w:rPr>
          <w:b/>
          <w:color w:val="1E3A5F"/>
          <w:sz w:val="20"/>
        </w:rPr>
        <w:t xml:space="preserve">3.  Confirmed receipts cannot be reversed by deletion.  </w:t>
      </w:r>
      <w:r>
        <w:rPr>
          <w:color w:val="333333"/>
          <w:sz w:val="20"/>
        </w:rPr>
        <w:t>Contact the Super Admin to void a receipt recorded in error.</w:t>
      </w:r>
    </w:p>
    <w:p>
      <w:pPr>
        <w:spacing w:before="80" w:after="40"/>
      </w:pPr>
      <w:r>
        <w:rPr>
          <w:b/>
          <w:color w:val="1E3A5F"/>
          <w:sz w:val="20"/>
        </w:rPr>
        <w:t xml:space="preserve">4.  Month-end process order.  </w:t>
      </w:r>
      <w:r>
        <w:rPr>
          <w:color w:val="333333"/>
          <w:sz w:val="20"/>
        </w:rPr>
        <w:t>Reconcile bank → close petty cash → verify A/R aging → run trial balance → generate financial statements.</w:t>
      </w:r>
    </w:p>
    <w:p/>
    <w:p>
      <w:pPr>
        <w:jc w:val="center"/>
      </w:pPr>
      <w:r>
        <w:rPr>
          <w:i/>
          <w:color w:val="94A3B8"/>
          <w:sz w:val="18"/>
        </w:rPr>
        <w:t>Aspee Pharmaceuticals — Accounting Department User Manual  |  Version 2.0  |  April 2026  |  Confidential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