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00"/>
        <w:jc w:val="center"/>
      </w:pPr>
      <w:r>
        <w:rPr>
          <w:b/>
          <w:color w:val="1E3A5F"/>
          <w:sz w:val="52"/>
        </w:rPr>
        <w:t>ASPEE PHARMACEUTICALS</w:t>
      </w:r>
    </w:p>
    <w:p>
      <w:pPr>
        <w:jc w:val="center"/>
      </w:pPr>
      <w:r>
        <w:rPr>
          <w:b/>
          <w:color w:val="333333"/>
          <w:sz w:val="32"/>
        </w:rPr>
        <w:t>ERP SYSTEM</w:t>
      </w:r>
    </w:p>
    <w:p/>
    <w:p>
      <w:pPr>
        <w:jc w:val="center"/>
      </w:pPr>
      <w:r>
        <w:rPr>
          <w:b/>
          <w:color w:val="059669"/>
          <w:sz w:val="40"/>
        </w:rPr>
        <w:t>COMPLIANCE &amp; REGULATORS USER MANUAL</w:t>
      </w:r>
    </w:p>
    <w:p/>
    <w:p>
      <w:pPr>
        <w:jc w:val="center"/>
      </w:pPr>
      <w:r>
        <w:rPr>
          <w:b/>
          <w:color w:val="333333"/>
          <w:sz w:val="24"/>
        </w:rPr>
        <w:t>Version 2.0  |  April 2026</w:t>
      </w:r>
    </w:p>
    <w:p>
      <w:pPr>
        <w:jc w:val="center"/>
      </w:pPr>
      <w:r>
        <w:rPr>
          <w:b w:val="0"/>
          <w:color w:val="333333"/>
          <w:sz w:val="22"/>
        </w:rPr>
        <w:t>For: Quality Assurance Officer / Managing Director</w:t>
      </w:r>
    </w:p>
    <w:p>
      <w:pPr>
        <w:jc w:val="center"/>
      </w:pPr>
      <w:r>
        <w:rPr>
          <w:b w:val="0"/>
          <w:color w:val="333333"/>
          <w:sz w:val="20"/>
        </w:rPr>
        <w:t>Currency: Ghana Cedis (GH₵)</w:t>
      </w:r>
    </w:p>
    <w:p>
      <w:pPr>
        <w:jc w:val="center"/>
      </w:pPr>
      <w:r>
        <w:rPr>
          <w:b/>
          <w:color w:val="92400E"/>
          <w:sz w:val="18"/>
        </w:rPr>
        <w:t>CONFIDENTIAL — FOR INTERNAL USE ONLY</w:t>
      </w:r>
    </w:p>
    <w:p>
      <w:r>
        <w:br w:type="page"/>
      </w:r>
    </w:p>
    <w:p>
      <w:pPr>
        <w:spacing w:before="360" w:after="120"/>
        <w:pBdr>
          <w:bottom w:val="single" w:sz="12" w:space="1" w:color="1e3a5f"/>
        </w:pBdr>
      </w:pPr>
      <w:r>
        <w:rPr>
          <w:b/>
          <w:color w:val="1E3A5F"/>
          <w:sz w:val="28"/>
        </w:rPr>
        <w:t>1.  Getting Started</w:t>
      </w:r>
    </w:p>
    <w:p>
      <w:pPr>
        <w:spacing w:before="200" w:after="60"/>
      </w:pPr>
      <w:r>
        <w:rPr>
          <w:b/>
          <w:color w:val="0F766E"/>
          <w:sz w:val="22"/>
        </w:rPr>
        <w:t>Accessing the System</w:t>
      </w:r>
    </w:p>
    <w:p>
      <w:pPr>
        <w:pStyle w:val="ListBullet"/>
        <w:spacing w:after="40"/>
        <w:ind w:left="360"/>
      </w:pPr>
      <w:r>
        <w:rPr>
          <w:sz w:val="20"/>
        </w:rPr>
        <w:t>Open Chrome or Edge and go to the ERP URL provided by your IT administrator.</w:t>
      </w:r>
    </w:p>
    <w:p>
      <w:pPr>
        <w:pStyle w:val="ListBullet"/>
        <w:spacing w:after="40"/>
        <w:ind w:left="360"/>
      </w:pPr>
      <w:r>
        <w:rPr>
          <w:sz w:val="20"/>
        </w:rPr>
        <w:t>Enter your company email address and password, then click Sign In.</w:t>
      </w:r>
    </w:p>
    <w:p>
      <w:pPr>
        <w:pStyle w:val="ListBullet"/>
        <w:spacing w:after="40"/>
        <w:ind w:left="360"/>
      </w:pPr>
      <w:r>
        <w:rPr>
          <w:sz w:val="20"/>
        </w:rPr>
        <w:t>If you forget your password, contact your Super Admin to reset it.</w:t>
      </w:r>
    </w:p>
    <w:p>
      <w:pPr>
        <w:spacing w:before="100" w:after="100"/>
        <w:ind w:left="216" w:right="216"/>
        <w:shd w:val="clear" w:color="auto" w:fill="FEF3C7"/>
      </w:pPr>
      <w:r>
        <w:rPr>
          <w:i/>
          <w:color w:val="92400E"/>
          <w:sz w:val="19"/>
        </w:rPr>
        <w:t xml:space="preserve">  Note: If your account does not yet exist, contact the Super Admin to add you under Settings → User Management.</w:t>
      </w:r>
    </w:p>
    <w:p>
      <w:pPr>
        <w:spacing w:before="200" w:after="60"/>
      </w:pPr>
      <w:r>
        <w:rPr>
          <w:b/>
          <w:color w:val="0F766E"/>
          <w:sz w:val="22"/>
        </w:rPr>
        <w:t>The Sidebar Navigation</w:t>
      </w:r>
    </w:p>
    <w:p>
      <w:pPr>
        <w:pStyle w:val="ListBullet"/>
        <w:spacing w:after="40"/>
        <w:ind w:left="360"/>
      </w:pPr>
      <w:r>
        <w:rPr>
          <w:sz w:val="20"/>
        </w:rPr>
        <w:t>Click any section heading in the left sidebar to expand its sub-menu.</w:t>
      </w:r>
    </w:p>
    <w:p>
      <w:pPr>
        <w:pStyle w:val="ListBullet"/>
        <w:spacing w:after="40"/>
        <w:ind w:left="360"/>
      </w:pPr>
      <w:r>
        <w:rPr>
          <w:sz w:val="20"/>
        </w:rPr>
        <w:t>The active page is highlighted in blue.</w:t>
      </w:r>
    </w:p>
    <w:p>
      <w:pPr>
        <w:pStyle w:val="ListBullet"/>
        <w:spacing w:after="40"/>
        <w:ind w:left="360"/>
      </w:pPr>
      <w:r>
        <w:rPr>
          <w:sz w:val="20"/>
        </w:rPr>
        <w:t>The sidebar shows only the sections your role is permitted to access.</w:t>
      </w:r>
    </w:p>
    <w:p>
      <w:pPr>
        <w:pStyle w:val="ListBullet"/>
        <w:spacing w:after="40"/>
        <w:ind w:left="360"/>
      </w:pPr>
      <w:r>
        <w:rPr>
          <w:sz w:val="20"/>
        </w:rPr>
        <w:t>Use the Collapse button at the bottom to hide labels and save screen space.</w:t>
      </w:r>
    </w:p>
    <w:p>
      <w:pPr>
        <w:spacing w:before="200" w:after="60"/>
      </w:pPr>
      <w:r>
        <w:rPr>
          <w:b/>
          <w:color w:val="0F766E"/>
          <w:sz w:val="22"/>
        </w:rPr>
        <w:t>Common Page Actions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3168"/>
            <w:shd w:val="clear" w:color="auto" w:fill="1e3a5f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Element</w:t>
            </w:r>
          </w:p>
        </w:tc>
        <w:tc>
          <w:tcPr>
            <w:tcW w:type="dxa" w:w="6192"/>
            <w:shd w:val="clear" w:color="auto" w:fill="1e3a5f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168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Page Header</w:t>
            </w:r>
          </w:p>
        </w:tc>
        <w:tc>
          <w:tcPr>
            <w:tcW w:type="dxa" w:w="6192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Title, subtitle, and breadcrumb trail</w:t>
            </w:r>
          </w:p>
        </w:tc>
      </w:tr>
      <w:tr>
        <w:tc>
          <w:tcPr>
            <w:tcW w:type="dxa" w:w="316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Stat Cards</w:t>
            </w:r>
          </w:p>
        </w:tc>
        <w:tc>
          <w:tcPr>
            <w:tcW w:type="dxa" w:w="619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Key metrics at the top of each section</w:t>
            </w:r>
          </w:p>
        </w:tc>
      </w:tr>
      <w:tr>
        <w:tc>
          <w:tcPr>
            <w:tcW w:type="dxa" w:w="3168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Data Table</w:t>
            </w:r>
          </w:p>
        </w:tc>
        <w:tc>
          <w:tcPr>
            <w:tcW w:type="dxa" w:w="6192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Searchable list of all records</w:t>
            </w:r>
          </w:p>
        </w:tc>
      </w:tr>
      <w:tr>
        <w:tc>
          <w:tcPr>
            <w:tcW w:type="dxa" w:w="316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+ New / Create button</w:t>
            </w:r>
          </w:p>
        </w:tc>
        <w:tc>
          <w:tcPr>
            <w:tcW w:type="dxa" w:w="619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Opens the form to add a new record</w:t>
            </w:r>
          </w:p>
        </w:tc>
      </w:tr>
      <w:tr>
        <w:tc>
          <w:tcPr>
            <w:tcW w:type="dxa" w:w="3168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Eye icon</w:t>
            </w:r>
          </w:p>
        </w:tc>
        <w:tc>
          <w:tcPr>
            <w:tcW w:type="dxa" w:w="6192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Read-only detail view</w:t>
            </w:r>
          </w:p>
        </w:tc>
      </w:tr>
      <w:tr>
        <w:tc>
          <w:tcPr>
            <w:tcW w:type="dxa" w:w="316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Pencil icon</w:t>
            </w:r>
          </w:p>
        </w:tc>
        <w:tc>
          <w:tcPr>
            <w:tcW w:type="dxa" w:w="619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Edit the record</w:t>
            </w:r>
          </w:p>
        </w:tc>
      </w:tr>
      <w:tr>
        <w:tc>
          <w:tcPr>
            <w:tcW w:type="dxa" w:w="3168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Trash icon</w:t>
            </w:r>
          </w:p>
        </w:tc>
        <w:tc>
          <w:tcPr>
            <w:tcW w:type="dxa" w:w="6192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Delete the record (with confirmation)</w:t>
            </w:r>
          </w:p>
        </w:tc>
      </w:tr>
      <w:tr>
        <w:tc>
          <w:tcPr>
            <w:tcW w:type="dxa" w:w="316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Export button</w:t>
            </w:r>
          </w:p>
        </w:tc>
        <w:tc>
          <w:tcPr>
            <w:tcW w:type="dxa" w:w="619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Download data as CSV</w:t>
            </w:r>
          </w:p>
        </w:tc>
      </w:tr>
      <w:tr>
        <w:tc>
          <w:tcPr>
            <w:tcW w:type="dxa" w:w="3168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Send Weekly Report button</w:t>
            </w:r>
          </w:p>
        </w:tc>
        <w:tc>
          <w:tcPr>
            <w:tcW w:type="dxa" w:w="6192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Send a departmental summary to the MD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360" w:after="120"/>
        <w:pBdr>
          <w:bottom w:val="single" w:sz="12" w:space="1" w:color="1e3a5f"/>
        </w:pBdr>
      </w:pPr>
      <w:r>
        <w:rPr>
          <w:b/>
          <w:color w:val="1E3A5F"/>
          <w:sz w:val="28"/>
        </w:rPr>
        <w:t>2.  Regulators &amp; Renewals</w:t>
      </w:r>
    </w:p>
    <w:p>
      <w:pPr>
        <w:spacing w:after="80"/>
      </w:pPr>
      <w:r>
        <w:rPr>
          <w:color w:val="333333"/>
          <w:sz w:val="20"/>
        </w:rPr>
        <w:t>Path: Compliance → Regulators &amp; Renewals</w:t>
      </w:r>
    </w:p>
    <w:p>
      <w:pPr>
        <w:spacing w:after="80"/>
      </w:pPr>
      <w:r>
        <w:rPr>
          <w:color w:val="333333"/>
          <w:sz w:val="20"/>
        </w:rPr>
        <w:t>Track all regulatory licences, certifications, and permit renewals to ensure Aspee Pharmaceuticals remains fully compliant with Ghana FDA and all other relevant bodies.</w:t>
      </w:r>
    </w:p>
    <w:p>
      <w:pPr>
        <w:spacing w:before="200" w:after="60"/>
      </w:pPr>
      <w:r>
        <w:rPr>
          <w:b/>
          <w:color w:val="0F766E"/>
          <w:sz w:val="22"/>
        </w:rPr>
        <w:t>Fields to maintain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2592"/>
            <w:shd w:val="clear" w:color="auto" w:fill="1e3a5f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3168"/>
            <w:shd w:val="clear" w:color="auto" w:fill="1e3a5f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3600"/>
            <w:shd w:val="clear" w:color="auto" w:fill="1e3a5f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Example</w:t>
            </w:r>
          </w:p>
        </w:tc>
      </w:tr>
      <w:tr>
        <w:tc>
          <w:tcPr>
            <w:tcW w:type="dxa" w:w="2592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Regulator</w:t>
            </w:r>
          </w:p>
        </w:tc>
        <w:tc>
          <w:tcPr>
            <w:tcW w:type="dxa" w:w="3168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Name of the regulatory authority</w:t>
            </w:r>
          </w:p>
        </w:tc>
        <w:tc>
          <w:tcPr>
            <w:tcW w:type="dxa" w:w="3600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FDA Ghana</w:t>
            </w:r>
          </w:p>
        </w:tc>
      </w:tr>
      <w:tr>
        <w:tc>
          <w:tcPr>
            <w:tcW w:type="dxa" w:w="259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Licence Type</w:t>
            </w:r>
          </w:p>
        </w:tc>
        <w:tc>
          <w:tcPr>
            <w:tcW w:type="dxa" w:w="316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Type of permit or certification</w:t>
            </w:r>
          </w:p>
        </w:tc>
        <w:tc>
          <w:tcPr>
            <w:tcW w:type="dxa" w:w="360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Manufacturer's Licence</w:t>
            </w:r>
          </w:p>
        </w:tc>
      </w:tr>
      <w:tr>
        <w:tc>
          <w:tcPr>
            <w:tcW w:type="dxa" w:w="2592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Licence Number</w:t>
            </w:r>
          </w:p>
        </w:tc>
        <w:tc>
          <w:tcPr>
            <w:tcW w:type="dxa" w:w="3168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Official licence/permit reference</w:t>
            </w:r>
          </w:p>
        </w:tc>
        <w:tc>
          <w:tcPr>
            <w:tcW w:type="dxa" w:w="3600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MFR-GH-2024-0089</w:t>
            </w:r>
          </w:p>
        </w:tc>
      </w:tr>
      <w:tr>
        <w:tc>
          <w:tcPr>
            <w:tcW w:type="dxa" w:w="259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Issue Date</w:t>
            </w:r>
          </w:p>
        </w:tc>
        <w:tc>
          <w:tcPr>
            <w:tcW w:type="dxa" w:w="316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Date the licence was granted</w:t>
            </w:r>
          </w:p>
        </w:tc>
        <w:tc>
          <w:tcPr>
            <w:tcW w:type="dxa" w:w="360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01 Jan 2024</w:t>
            </w:r>
          </w:p>
        </w:tc>
      </w:tr>
      <w:tr>
        <w:tc>
          <w:tcPr>
            <w:tcW w:type="dxa" w:w="2592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Expiry Date</w:t>
            </w:r>
          </w:p>
        </w:tc>
        <w:tc>
          <w:tcPr>
            <w:tcW w:type="dxa" w:w="3168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Date the licence expires</w:t>
            </w:r>
          </w:p>
        </w:tc>
        <w:tc>
          <w:tcPr>
            <w:tcW w:type="dxa" w:w="3600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31 Dec 2026</w:t>
            </w:r>
          </w:p>
        </w:tc>
      </w:tr>
      <w:tr>
        <w:tc>
          <w:tcPr>
            <w:tcW w:type="dxa" w:w="259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Renewal Status</w:t>
            </w:r>
          </w:p>
        </w:tc>
        <w:tc>
          <w:tcPr>
            <w:tcW w:type="dxa" w:w="316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Current renewal state</w:t>
            </w:r>
          </w:p>
        </w:tc>
        <w:tc>
          <w:tcPr>
            <w:tcW w:type="dxa" w:w="360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Active / Due for Renewal / Expired</w:t>
            </w:r>
          </w:p>
        </w:tc>
      </w:tr>
    </w:tbl>
    <w:p>
      <w:pPr>
        <w:spacing w:after="80"/>
      </w:pPr>
    </w:p>
    <w:p>
      <w:pPr>
        <w:spacing w:before="120" w:after="40"/>
      </w:pPr>
      <w:r>
        <w:rPr>
          <w:b/>
          <w:color w:val="333333"/>
          <w:sz w:val="20"/>
        </w:rPr>
        <w:t>Current Licence Register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06"/>
        <w:gridCol w:w="1806"/>
        <w:gridCol w:w="1806"/>
        <w:gridCol w:w="1806"/>
        <w:gridCol w:w="1806"/>
      </w:tblGrid>
      <w:tr>
        <w:tc>
          <w:tcPr>
            <w:tcW w:type="dxa" w:w="2016"/>
            <w:shd w:val="clear" w:color="auto" w:fill="1e3a5f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Regulator</w:t>
            </w:r>
          </w:p>
        </w:tc>
        <w:tc>
          <w:tcPr>
            <w:tcW w:type="dxa" w:w="2592"/>
            <w:shd w:val="clear" w:color="auto" w:fill="1e3a5f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Licence Type</w:t>
            </w:r>
          </w:p>
        </w:tc>
        <w:tc>
          <w:tcPr>
            <w:tcW w:type="dxa" w:w="2448"/>
            <w:shd w:val="clear" w:color="auto" w:fill="1e3a5f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Number</w:t>
            </w:r>
          </w:p>
        </w:tc>
        <w:tc>
          <w:tcPr>
            <w:tcW w:type="dxa" w:w="1872"/>
            <w:shd w:val="clear" w:color="auto" w:fill="1e3a5f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Expiry</w:t>
            </w:r>
          </w:p>
        </w:tc>
        <w:tc>
          <w:tcPr>
            <w:tcW w:type="dxa" w:w="1872"/>
            <w:shd w:val="clear" w:color="auto" w:fill="1e3a5f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016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FDA Ghana</w:t>
            </w:r>
          </w:p>
        </w:tc>
        <w:tc>
          <w:tcPr>
            <w:tcW w:type="dxa" w:w="2592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Manufacturer's Licence</w:t>
            </w:r>
          </w:p>
        </w:tc>
        <w:tc>
          <w:tcPr>
            <w:tcW w:type="dxa" w:w="2448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MFR-GH-2024-0089</w:t>
            </w:r>
          </w:p>
        </w:tc>
        <w:tc>
          <w:tcPr>
            <w:tcW w:type="dxa" w:w="1872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31 Dec 2026</w:t>
            </w:r>
          </w:p>
        </w:tc>
        <w:tc>
          <w:tcPr>
            <w:tcW w:type="dxa" w:w="1872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Active</w:t>
            </w:r>
          </w:p>
        </w:tc>
      </w:tr>
      <w:tr>
        <w:tc>
          <w:tcPr>
            <w:tcW w:type="dxa" w:w="2016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EPA</w:t>
            </w:r>
          </w:p>
        </w:tc>
        <w:tc>
          <w:tcPr>
            <w:tcW w:type="dxa" w:w="259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Factory Registration</w:t>
            </w:r>
          </w:p>
        </w:tc>
        <w:tc>
          <w:tcPr>
            <w:tcW w:type="dxa" w:w="244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EPA-2023-FAC-1102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30 Jun 2026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Due for Renewal</w:t>
            </w:r>
          </w:p>
        </w:tc>
      </w:tr>
      <w:tr>
        <w:tc>
          <w:tcPr>
            <w:tcW w:type="dxa" w:w="2016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GSS</w:t>
            </w:r>
          </w:p>
        </w:tc>
        <w:tc>
          <w:tcPr>
            <w:tcW w:type="dxa" w:w="2592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Business Registration</w:t>
            </w:r>
          </w:p>
        </w:tc>
        <w:tc>
          <w:tcPr>
            <w:tcW w:type="dxa" w:w="2448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GSS-REG-20190</w:t>
            </w:r>
          </w:p>
        </w:tc>
        <w:tc>
          <w:tcPr>
            <w:tcW w:type="dxa" w:w="1872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Permanent</w:t>
            </w:r>
          </w:p>
        </w:tc>
        <w:tc>
          <w:tcPr>
            <w:tcW w:type="dxa" w:w="1872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Active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360" w:after="120"/>
        <w:pBdr>
          <w:bottom w:val="single" w:sz="12" w:space="1" w:color="1e3a5f"/>
        </w:pBdr>
      </w:pPr>
      <w:r>
        <w:rPr>
          <w:b/>
          <w:color w:val="1E3A5F"/>
          <w:sz w:val="28"/>
        </w:rPr>
        <w:t>3.  Renewal Management Process</w:t>
      </w:r>
    </w:p>
    <w:p>
      <w:pPr>
        <w:spacing w:before="200" w:after="60"/>
      </w:pPr>
      <w:r>
        <w:rPr>
          <w:b/>
          <w:color w:val="0F766E"/>
          <w:sz w:val="22"/>
        </w:rPr>
        <w:t>Recommended renewal timeline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2160"/>
            <w:shd w:val="clear" w:color="auto" w:fill="1e3a5f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Days Before Expiry</w:t>
            </w:r>
          </w:p>
        </w:tc>
        <w:tc>
          <w:tcPr>
            <w:tcW w:type="dxa" w:w="7200"/>
            <w:shd w:val="clear" w:color="auto" w:fill="1e3a5f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Action</w:t>
            </w:r>
          </w:p>
        </w:tc>
      </w:tr>
      <w:tr>
        <w:tc>
          <w:tcPr>
            <w:tcW w:type="dxa" w:w="2160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90 days</w:t>
            </w:r>
          </w:p>
        </w:tc>
        <w:tc>
          <w:tcPr>
            <w:tcW w:type="dxa" w:w="7200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Initiate contact with the regulatory authority. Begin assembling required documents.</w:t>
            </w:r>
          </w:p>
        </w:tc>
      </w:tr>
      <w:tr>
        <w:tc>
          <w:tcPr>
            <w:tcW w:type="dxa" w:w="216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60 days</w:t>
            </w:r>
          </w:p>
        </w:tc>
        <w:tc>
          <w:tcPr>
            <w:tcW w:type="dxa" w:w="720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Submit renewal application with all supporting documents.</w:t>
            </w:r>
          </w:p>
        </w:tc>
      </w:tr>
      <w:tr>
        <w:tc>
          <w:tcPr>
            <w:tcW w:type="dxa" w:w="2160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30 days</w:t>
            </w:r>
          </w:p>
        </w:tc>
        <w:tc>
          <w:tcPr>
            <w:tcW w:type="dxa" w:w="7200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Follow up on application status. Escalate if not acknowledged.</w:t>
            </w:r>
          </w:p>
        </w:tc>
      </w:tr>
      <w:tr>
        <w:tc>
          <w:tcPr>
            <w:tcW w:type="dxa" w:w="216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0 days</w:t>
            </w:r>
          </w:p>
        </w:tc>
        <w:tc>
          <w:tcPr>
            <w:tcW w:type="dxa" w:w="720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Licence expires. Operations may be suspended. Immediate escalation to MD required.</w:t>
            </w:r>
          </w:p>
        </w:tc>
      </w:tr>
    </w:tbl>
    <w:p>
      <w:pPr>
        <w:spacing w:after="80"/>
      </w:pPr>
    </w:p>
    <w:p>
      <w:pPr>
        <w:spacing w:before="100" w:after="100"/>
        <w:ind w:left="216" w:right="216"/>
        <w:shd w:val="clear" w:color="auto" w:fill="FEE2E2"/>
      </w:pPr>
      <w:r>
        <w:rPr>
          <w:b/>
          <w:color w:val="B91C1C"/>
          <w:sz w:val="19"/>
        </w:rPr>
        <w:t xml:space="preserve">  Important: An expired Manufacturer's Licence from FDA Ghana means Aspee Pharmaceuticals cannot legally manufacture or sell pharmaceutical products. This is a critical risk — never let this lapse.</w:t>
      </w:r>
    </w:p>
    <w:p>
      <w:pPr>
        <w:spacing w:before="360" w:after="120"/>
        <w:pBdr>
          <w:bottom w:val="single" w:sz="12" w:space="1" w:color="1e3a5f"/>
        </w:pBdr>
      </w:pPr>
      <w:r>
        <w:rPr>
          <w:b/>
          <w:color w:val="1E3A5F"/>
          <w:sz w:val="28"/>
        </w:rPr>
        <w:t>4.  Non-Conformances Related to Compliance</w:t>
      </w:r>
    </w:p>
    <w:p>
      <w:pPr>
        <w:spacing w:after="80"/>
      </w:pPr>
      <w:r>
        <w:rPr>
          <w:color w:val="333333"/>
          <w:sz w:val="20"/>
        </w:rPr>
        <w:t>If a regulatory inspection finds a compliance issue, log a Non-Conformance in the Internal Audit module immediately.</w:t>
      </w:r>
    </w:p>
    <w:p>
      <w:pPr>
        <w:pStyle w:val="ListBullet"/>
        <w:spacing w:after="40"/>
        <w:ind w:left="360"/>
      </w:pPr>
      <w:r>
        <w:rPr>
          <w:sz w:val="20"/>
        </w:rPr>
        <w:t>Path: Internal Audit → Non-Conformances → + New NC</w:t>
      </w:r>
    </w:p>
    <w:p>
      <w:pPr>
        <w:pStyle w:val="ListBullet"/>
        <w:spacing w:after="40"/>
        <w:ind w:left="360"/>
      </w:pPr>
      <w:r>
        <w:rPr>
          <w:sz w:val="20"/>
        </w:rPr>
        <w:t>Set severity to Major or Critical as appropriate.</w:t>
      </w:r>
    </w:p>
    <w:p>
      <w:pPr>
        <w:pStyle w:val="ListBullet"/>
        <w:spacing w:after="40"/>
        <w:ind w:left="360"/>
      </w:pPr>
      <w:r>
        <w:rPr>
          <w:sz w:val="20"/>
        </w:rPr>
        <w:t>Assign a corrective action with a target resolution date.</w:t>
      </w:r>
    </w:p>
    <w:p>
      <w:pPr>
        <w:pStyle w:val="ListBullet"/>
        <w:spacing w:after="40"/>
        <w:ind w:left="360"/>
      </w:pPr>
      <w:r>
        <w:rPr>
          <w:sz w:val="20"/>
        </w:rPr>
        <w:t>Update the NC record as each corrective action is completed.</w:t>
      </w:r>
    </w:p>
    <w:p>
      <w:pPr>
        <w:spacing w:before="360" w:after="120"/>
        <w:pBdr>
          <w:bottom w:val="single" w:sz="12" w:space="1" w:color="1e3a5f"/>
        </w:pBdr>
      </w:pPr>
      <w:r>
        <w:rPr>
          <w:b/>
          <w:color w:val="1E3A5F"/>
          <w:sz w:val="28"/>
        </w:rPr>
        <w:t>5.  Quick Reference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032"/>
            <w:shd w:val="clear" w:color="auto" w:fill="1e3a5f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Task</w:t>
            </w:r>
          </w:p>
        </w:tc>
        <w:tc>
          <w:tcPr>
            <w:tcW w:type="dxa" w:w="5328"/>
            <w:shd w:val="clear" w:color="auto" w:fill="1e3a5f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Path</w:t>
            </w:r>
          </w:p>
        </w:tc>
      </w:tr>
      <w:tr>
        <w:tc>
          <w:tcPr>
            <w:tcW w:type="dxa" w:w="4032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View all licences</w:t>
            </w:r>
          </w:p>
        </w:tc>
        <w:tc>
          <w:tcPr>
            <w:tcW w:type="dxa" w:w="5328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Compliance → Regulators &amp; Renewals</w:t>
            </w:r>
          </w:p>
        </w:tc>
      </w:tr>
      <w:tr>
        <w:tc>
          <w:tcPr>
            <w:tcW w:type="dxa" w:w="403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Add a new licence record</w:t>
            </w:r>
          </w:p>
        </w:tc>
        <w:tc>
          <w:tcPr>
            <w:tcW w:type="dxa" w:w="532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Compliance → Regulators &amp; Renewals → + New</w:t>
            </w:r>
          </w:p>
        </w:tc>
      </w:tr>
      <w:tr>
        <w:tc>
          <w:tcPr>
            <w:tcW w:type="dxa" w:w="4032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Update renewal status</w:t>
            </w:r>
          </w:p>
        </w:tc>
        <w:tc>
          <w:tcPr>
            <w:tcW w:type="dxa" w:w="5328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Compliance → Regulators &amp; Renewals → Edit row</w:t>
            </w:r>
          </w:p>
        </w:tc>
      </w:tr>
      <w:tr>
        <w:tc>
          <w:tcPr>
            <w:tcW w:type="dxa" w:w="403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Log a compliance NC</w:t>
            </w:r>
          </w:p>
        </w:tc>
        <w:tc>
          <w:tcPr>
            <w:tcW w:type="dxa" w:w="532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Internal Audit → Non-Conformances → + New NC</w:t>
            </w:r>
          </w:p>
        </w:tc>
      </w:tr>
    </w:tbl>
    <w:p>
      <w:pPr>
        <w:spacing w:after="80"/>
      </w:pPr>
    </w:p>
    <w:p>
      <w:pPr>
        <w:spacing w:before="360" w:after="120"/>
        <w:pBdr>
          <w:bottom w:val="single" w:sz="12" w:space="1" w:color="1e3a5f"/>
        </w:pBdr>
      </w:pPr>
      <w:r>
        <w:rPr>
          <w:b/>
          <w:color w:val="1E3A5F"/>
          <w:sz w:val="28"/>
        </w:rPr>
        <w:t>Important Reminders</w:t>
      </w:r>
    </w:p>
    <w:p>
      <w:pPr>
        <w:spacing w:before="80" w:after="40"/>
      </w:pPr>
      <w:r>
        <w:rPr>
          <w:b/>
          <w:color w:val="1E3A5F"/>
          <w:sz w:val="20"/>
        </w:rPr>
        <w:t xml:space="preserve">1.  90-day rule.  </w:t>
      </w:r>
      <w:r>
        <w:rPr>
          <w:color w:val="333333"/>
          <w:sz w:val="20"/>
        </w:rPr>
        <w:t>Start every renewal at least 90 days before expiry. Regulatory bodies in Ghana can have slow processing times.</w:t>
      </w:r>
    </w:p>
    <w:p>
      <w:pPr>
        <w:spacing w:before="80" w:after="40"/>
      </w:pPr>
      <w:r>
        <w:rPr>
          <w:b/>
          <w:color w:val="1E3A5F"/>
          <w:sz w:val="20"/>
        </w:rPr>
        <w:t xml:space="preserve">2.  Expired licences must be escalated to the MD immediately.  </w:t>
      </w:r>
      <w:r>
        <w:rPr>
          <w:color w:val="333333"/>
          <w:sz w:val="20"/>
        </w:rPr>
        <w:t>Do not attempt to continue operations under an expired licence.</w:t>
      </w:r>
    </w:p>
    <w:p>
      <w:pPr>
        <w:spacing w:before="80" w:after="40"/>
      </w:pPr>
      <w:r>
        <w:rPr>
          <w:b/>
          <w:color w:val="1E3A5F"/>
          <w:sz w:val="20"/>
        </w:rPr>
        <w:t xml:space="preserve">3.  Keep supporting documents attached.  </w:t>
      </w:r>
      <w:r>
        <w:rPr>
          <w:color w:val="333333"/>
          <w:sz w:val="20"/>
        </w:rPr>
        <w:t>Attach the actual licence document to each record so it is accessible during inspections.</w:t>
      </w:r>
    </w:p>
    <w:p>
      <w:pPr>
        <w:spacing w:before="80" w:after="40"/>
      </w:pPr>
      <w:r>
        <w:rPr>
          <w:b/>
          <w:color w:val="1E3A5F"/>
          <w:sz w:val="20"/>
        </w:rPr>
        <w:t xml:space="preserve">4.  All changes are logged.  </w:t>
      </w:r>
      <w:r>
        <w:rPr>
          <w:color w:val="333333"/>
          <w:sz w:val="20"/>
        </w:rPr>
        <w:t>Every update to the compliance register is recorded in the Audit Trail.</w:t>
      </w:r>
    </w:p>
    <w:p/>
    <w:p>
      <w:pPr>
        <w:jc w:val="center"/>
      </w:pPr>
      <w:r>
        <w:rPr>
          <w:i/>
          <w:color w:val="94A3B8"/>
          <w:sz w:val="18"/>
        </w:rPr>
        <w:t>Aspee Pharmaceuticals — Compliance &amp; Regulators User Manual  |  Version 2.0  |  April 2026  |  Confidential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