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C8553D"/>
          <w:spacing w:val="60"/>
          <w:sz w:val="18"/>
          <w:szCs w:val="18"/>
        </w:rPr>
        <w:t xml:space="preserve">SLEEK CONNECT</w:t>
      </w:r>
    </w:p>
    <w:p>
      <w:pPr>
        <w:pBdr>
          <w:bottom w:val="single" w:color="C8553D" w:sz="10" w:space="3"/>
        </w:pBdr>
        <w:spacing w:after="40"/>
      </w:pPr>
      <w:r>
        <w:rPr>
          <w:b/>
          <w:bCs/>
          <w:color w:val="0F5C63"/>
          <w:sz w:val="32"/>
          <w:szCs w:val="32"/>
        </w:rPr>
        <w:t xml:space="preserve">Business Requirements Document – One-Page Summary</w:t>
      </w:r>
      <w:r>
        <w:rPr>
          <w:color w:val="777777"/>
          <w:sz w:val="16"/>
          <w:szCs w:val="16"/>
        </w:rPr>
        <w:t xml:space="preserve">   v0.1 Draft | 12 Oct 2026</w:t>
      </w:r>
    </w:p>
    <w:p>
      <w:pPr>
        <w:keepNext/>
        <w:spacing w:after="40" w:before="90"/>
      </w:pPr>
      <w:r>
        <w:rPr>
          <w:b/>
          <w:bCs/>
          <w:color w:val="0F5C63"/>
          <w:sz w:val="21"/>
          <w:szCs w:val="21"/>
        </w:rPr>
        <w:t xml:space="preserve">1. Purpose and context</w:t>
      </w:r>
    </w:p>
    <w:p>
      <w:pPr>
        <w:spacing w:after="30"/>
      </w:pPr>
      <w:r>
        <w:rPr>
          <w:sz w:val="17"/>
          <w:szCs w:val="17"/>
        </w:rPr>
        <w:t xml:space="preserve">Sleek Connect is a proposed e-commerce app for cosmetics and children’s products (Confirmed). Ghana is the likely launch market (Assumption A-01). Need: a trusted single place to buy authentic, age-appropriate products with local payment and dependable delivery. Tags: Confirmed = from the brief; Assumption (A-xx) = to validate; Q-xx = open question. No financial or market figures are stated; targets are “to be set”.</w:t>
      </w:r>
    </w:p>
    <w:p>
      <w:pPr>
        <w:keepNext/>
        <w:spacing w:after="40" w:before="90"/>
      </w:pPr>
      <w:r>
        <w:rPr>
          <w:b/>
          <w:bCs/>
          <w:color w:val="0F5C63"/>
          <w:sz w:val="21"/>
          <w:szCs w:val="21"/>
        </w:rPr>
        <w:t xml:space="preserve">2. Objectives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 (target to be set after pilot)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Build a trusted brand for authentic cosmetics and children’s products</w:t>
            </w:r>
          </w:p>
        </w:tc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Authenticity complaints; repeat-purchase rate; satisfaction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Easy purchase with familiar local payments (mobile money, cards)</w:t>
            </w:r>
          </w:p>
        </w:tc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Checkout completion; payment success rate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Reliable delivery in launch zone</w:t>
            </w:r>
          </w:p>
        </w:tc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On-time and failed-delivery rates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Operate lawfully, protect data, run lean with a small team</w:t>
            </w:r>
          </w:p>
        </w:tc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Compliance gaps closed; privacy incidents; orders per operator hour</w:t>
            </w:r>
          </w:p>
        </w:tc>
      </w:tr>
    </w:tbl>
    <w:p>
      <w:pPr>
        <w:keepNext/>
        <w:spacing w:after="40" w:before="90"/>
      </w:pPr>
      <w:r>
        <w:rPr>
          <w:b/>
          <w:bCs/>
          <w:color w:val="0F5C63"/>
          <w:sz w:val="21"/>
          <w:szCs w:val="21"/>
        </w:rPr>
        <w:t xml:space="preserve">3. Scope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scope (MVP)</w:t>
            </w:r>
          </w:p>
        </w:tc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 of scope (MVP)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Mobile app (Android/iOS): browse, search, checkout,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Curated catalogue with ingredients, age range, safety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Mobile money and card payments; one delivery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Returns/refunds, support, basic promotions, gifting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Web admin console and reporting</w:t>
            </w:r>
          </w:p>
        </w:tc>
        <w:tc>
          <w:tcPr>
            <w:tcW w:type="dxa" w:w="5103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Multi-vendor marketplace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Reviews, loyalty, subscriptions (Phase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Web storefront, other countries/languages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Child accounts or data collection from children</w:t>
            </w:r>
          </w:p>
        </w:tc>
      </w:tr>
    </w:tbl>
    <w:p>
      <w:pPr>
        <w:keepNext/>
        <w:spacing w:after="40" w:before="90"/>
      </w:pPr>
      <w:r>
        <w:rPr>
          <w:b/>
          <w:bCs/>
          <w:color w:val="0F5C63"/>
          <w:sz w:val="21"/>
          <w:szCs w:val="21"/>
        </w:rPr>
        <w:t xml:space="preserve">4. Key business requirements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2"/>
        <w:gridCol w:w="7732"/>
        <w:gridCol w:w="1082"/>
      </w:tblGrid>
      <w:tr>
        <w:trPr>
          <w:cantSplit/>
          <w:tblHeader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BR-01/02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Discover and buy products; catalogue carries trust attributes and an authenticity promise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D6EFD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BR-04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Pay with mobile money and cards; reconcile payments and refunds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D6EFD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BR-05/06/07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Delivery with tracking; auditable order workflow; accurate stock and expiry/batch control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D6EFD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BR-08/12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Returns and refunds process; accessible customer support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D6EFD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BR-10/11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Meet product regulation (cosmetics, children’s products) and data-protection obligations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D6EFD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BR-14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Operational dashboards and reports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D6EFD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BR-15/16/17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Promotions, gifting, shop by child age band (no child identities stored)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BR-22/23/24</w:t>
            </w:r>
          </w:p>
        </w:tc>
        <w:tc>
          <w:tcPr>
            <w:tcW w:type="dxa" w:w="773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Reviews, loyalty, marketplace</w:t>
            </w:r>
          </w:p>
        </w:tc>
        <w:tc>
          <w:tcPr>
            <w:tcW w:type="dxa" w:w="108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EC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2933"/>
                <w:sz w:val="18"/>
                <w:szCs w:val="18"/>
              </w:rPr>
              <w:t xml:space="preserve">Later</w:t>
            </w:r>
          </w:p>
        </w:tc>
      </w:tr>
    </w:tbl>
    <w:p>
      <w:pPr>
        <w:keepNext/>
        <w:spacing w:after="40" w:before="90"/>
      </w:pPr>
      <w:r>
        <w:rPr>
          <w:b/>
          <w:bCs/>
          <w:color w:val="0F5C63"/>
          <w:sz w:val="21"/>
          <w:szCs w:val="21"/>
        </w:rPr>
        <w:t xml:space="preserve">5. Stakeholders, phasing and risks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7"/>
        <w:gridCol w:w="3572"/>
        <w:gridCol w:w="3317"/>
      </w:tblGrid>
      <w:tr>
        <w:trPr>
          <w:cantSplit/>
          <w:tblHeader/>
        </w:trPr>
        <w:tc>
          <w:tcPr>
            <w:tcW w:type="dxa" w:w="3317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357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Phasing</w:t>
            </w:r>
          </w:p>
        </w:tc>
        <w:tc>
          <w:tcPr>
            <w:tcW w:type="dxa" w:w="3317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shd w:fill="0F5C6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 risks</w:t>
            </w:r>
          </w:p>
        </w:tc>
      </w:tr>
      <w:tr>
        <w:trPr>
          <w:cantSplit/>
        </w:trPr>
        <w:tc>
          <w:tcPr>
            <w:tcW w:type="dxa" w:w="3317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Sponsor (approver); customers (parents, gift buyers, beauty shoppers); operations; finance; legal/regulatory; suppliers; couriers; payment provider</w:t>
            </w:r>
          </w:p>
        </w:tc>
        <w:tc>
          <w:tcPr>
            <w:tcW w:type="dxa" w:w="3572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Phase 0: validate assumptions, partners, regulation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Phase 1: closed pilot, then public launch in one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Phase 2: engage (reviews, loyalty)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Phase 3: scale (marketplace, web)</w:t>
            </w:r>
          </w:p>
        </w:tc>
        <w:tc>
          <w:tcPr>
            <w:tcW w:type="dxa" w:w="3317"/>
            <w:tcBorders>
              <w:top w:val="single" w:color="BFC8CC" w:sz="4"/>
              <w:left w:val="single" w:color="BFC8CC" w:sz="4"/>
              <w:bottom w:val="single" w:color="BFC8CC" w:sz="4"/>
              <w:right w:val="single" w:color="BFC8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Counterfeit/non-compliant goods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Delivery and address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Payment integration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Data-protection breach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Unproven demand</w:t>
            </w:r>
          </w:p>
        </w:tc>
      </w:tr>
    </w:tbl>
    <w:p>
      <w:pPr>
        <w:keepNext/>
        <w:spacing w:after="40" w:before="90"/>
      </w:pPr>
      <w:r>
        <w:rPr>
          <w:b/>
          <w:bCs/>
          <w:color w:val="0F5C63"/>
          <w:sz w:val="21"/>
          <w:szCs w:val="21"/>
        </w:rPr>
        <w:t xml:space="preserve">6. Key assumptions and decisions needed</w:t>
      </w:r>
    </w:p>
    <w:p>
      <w:pPr>
        <w:spacing w:after="30"/>
      </w:pPr>
      <w:r>
        <w:rPr>
          <w:sz w:val="17"/>
          <w:szCs w:val="17"/>
        </w:rPr>
        <w:t xml:space="preserve">Assumed: single retailer with curated catalogue (A-02); mobile first (A-03); adults 18+ only (A-04); mobile money and cards (A-05); one metro delivery zone (A-06). Decisions needed from sponsor: confirm Ghana (Q-01); retailer vs marketplace (Q-02); launch categories and suppliers (Q-04, Q-08); payment and courier partners (Q-05, Q-07); regulatory path (Q-09); budget and timeline (Q-16). See the full BRD for all 22 questions.</w:t>
      </w:r>
    </w:p>
    <w:sectPr>
      <w:pgSz w:w="11906" w:h="16838" w:orient="portrait"/>
      <w:pgMar w:top="624" w:right="850" w:bottom="567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2026-10-12T20:46:01.505Z</dcterms:created>
  <dcterms:modified xsi:type="dcterms:W3CDTF">2026-10-12T20:46:01.505Z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