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3.3-multi-agent-environment-report-v1"/>
    <w:p>
      <w:pPr>
        <w:pStyle w:val="Heading1"/>
      </w:pPr>
      <w:r>
        <w:t xml:space="preserve">D3.3 Multi-Agent Environment Report (v1)</w:t>
      </w:r>
    </w:p>
    <w:p>
      <w:pPr>
        <w:pStyle w:val="FirstParagraph"/>
      </w:pPr>
      <w:hyperlink w:anchor="executive-summary">
        <w:r>
          <w:rPr>
            <w:rStyle w:val="Hyperlink"/>
            <w:b/>
            <w:bCs/>
          </w:rPr>
          <w:t xml:space="preserve">Executive Summary 2</w:t>
        </w:r>
      </w:hyperlink>
    </w:p>
    <w:p>
      <w:pPr>
        <w:pStyle w:val="BodyText"/>
      </w:pPr>
      <w:hyperlink w:anchor="design-rationale">
        <w:r>
          <w:rPr>
            <w:rStyle w:val="Hyperlink"/>
            <w:b/>
            <w:bCs/>
          </w:rPr>
          <w:t xml:space="preserve">I. Design Rationale 4</w:t>
        </w:r>
      </w:hyperlink>
    </w:p>
    <w:p>
      <w:pPr>
        <w:pStyle w:val="BodyText"/>
      </w:pPr>
      <w:hyperlink w:anchor="principles">
        <w:r>
          <w:rPr>
            <w:rStyle w:val="Hyperlink"/>
          </w:rPr>
          <w:t xml:space="preserve">Principles 4</w:t>
        </w:r>
      </w:hyperlink>
    </w:p>
    <w:p>
      <w:pPr>
        <w:pStyle w:val="BodyText"/>
      </w:pPr>
      <w:hyperlink w:anchor="agents-taxonomy">
        <w:r>
          <w:rPr>
            <w:rStyle w:val="Hyperlink"/>
          </w:rPr>
          <w:t xml:space="preserve">Agents Taxonomy 7</w:t>
        </w:r>
      </w:hyperlink>
    </w:p>
    <w:p>
      <w:pPr>
        <w:pStyle w:val="BodyText"/>
      </w:pPr>
      <w:hyperlink w:anchor="architecture-and-components">
        <w:r>
          <w:rPr>
            <w:rStyle w:val="Hyperlink"/>
            <w:b/>
            <w:bCs/>
          </w:rPr>
          <w:t xml:space="preserve">II. Architecture And Components 11</w:t>
        </w:r>
      </w:hyperlink>
    </w:p>
    <w:p>
      <w:pPr>
        <w:pStyle w:val="BodyText"/>
      </w:pPr>
      <w:hyperlink w:anchor="software-stack">
        <w:r>
          <w:rPr>
            <w:rStyle w:val="Hyperlink"/>
          </w:rPr>
          <w:t xml:space="preserve">Software Stack 11</w:t>
        </w:r>
      </w:hyperlink>
    </w:p>
    <w:p>
      <w:pPr>
        <w:pStyle w:val="BodyText"/>
      </w:pPr>
      <w:hyperlink w:anchor="agentic-paradigms:-loops-and-skills">
        <w:r>
          <w:rPr>
            <w:rStyle w:val="Hyperlink"/>
          </w:rPr>
          <w:t xml:space="preserve">Agentic Paradigms: Loops and Skills 13</w:t>
        </w:r>
      </w:hyperlink>
    </w:p>
    <w:p>
      <w:pPr>
        <w:pStyle w:val="BodyText"/>
      </w:pPr>
      <w:hyperlink w:anchor="the-code-mirroring-pattern">
        <w:r>
          <w:rPr>
            <w:rStyle w:val="Hyperlink"/>
          </w:rPr>
          <w:t xml:space="preserve">The Code Mirroring Pattern 14</w:t>
        </w:r>
      </w:hyperlink>
    </w:p>
    <w:p>
      <w:pPr>
        <w:pStyle w:val="BodyText"/>
      </w:pPr>
      <w:hyperlink w:anchor="ploinky-agents">
        <w:r>
          <w:rPr>
            <w:rStyle w:val="Hyperlink"/>
          </w:rPr>
          <w:t xml:space="preserve">Ploinky Agents 15</w:t>
        </w:r>
      </w:hyperlink>
    </w:p>
    <w:p>
      <w:pPr>
        <w:pStyle w:val="BodyText"/>
      </w:pPr>
      <w:hyperlink w:anchor="architecture">
        <w:r>
          <w:rPr>
            <w:rStyle w:val="Hyperlink"/>
          </w:rPr>
          <w:t xml:space="preserve">Architecture 18</w:t>
        </w:r>
      </w:hyperlink>
    </w:p>
    <w:p>
      <w:pPr>
        <w:pStyle w:val="BodyText"/>
      </w:pPr>
      <w:hyperlink w:anchor="features">
        <w:r>
          <w:rPr>
            <w:rStyle w:val="Hyperlink"/>
          </w:rPr>
          <w:t xml:space="preserve">Features 18</w:t>
        </w:r>
      </w:hyperlink>
    </w:p>
    <w:p>
      <w:pPr>
        <w:pStyle w:val="BodyText"/>
      </w:pPr>
      <w:hyperlink w:anchor="sandboxing-mechanisms">
        <w:r>
          <w:rPr>
            <w:rStyle w:val="Hyperlink"/>
          </w:rPr>
          <w:t xml:space="preserve">Sandboxing Mechanisms 18</w:t>
        </w:r>
      </w:hyperlink>
    </w:p>
    <w:p>
      <w:pPr>
        <w:pStyle w:val="BodyText"/>
      </w:pPr>
      <w:hyperlink w:anchor="llm-proxy-component">
        <w:r>
          <w:rPr>
            <w:rStyle w:val="Hyperlink"/>
          </w:rPr>
          <w:t xml:space="preserve">LLM Proxy Component 20</w:t>
        </w:r>
      </w:hyperlink>
    </w:p>
    <w:p>
      <w:pPr>
        <w:pStyle w:val="BodyText"/>
      </w:pPr>
      <w:hyperlink w:anchor="architecture-1">
        <w:r>
          <w:rPr>
            <w:rStyle w:val="Hyperlink"/>
          </w:rPr>
          <w:t xml:space="preserve">Architecture 20</w:t>
        </w:r>
      </w:hyperlink>
    </w:p>
    <w:p>
      <w:pPr>
        <w:pStyle w:val="BodyText"/>
      </w:pPr>
      <w:hyperlink w:anchor="features-1">
        <w:r>
          <w:rPr>
            <w:rStyle w:val="Hyperlink"/>
          </w:rPr>
          <w:t xml:space="preserve">Features 20</w:t>
        </w:r>
      </w:hyperlink>
    </w:p>
    <w:p>
      <w:pPr>
        <w:pStyle w:val="BodyText"/>
      </w:pPr>
      <w:hyperlink w:anchor="achillesagentlib">
        <w:r>
          <w:rPr>
            <w:rStyle w:val="Hyperlink"/>
          </w:rPr>
          <w:t xml:space="preserve">AchillesAgentLib 20</w:t>
        </w:r>
      </w:hyperlink>
    </w:p>
    <w:p>
      <w:pPr>
        <w:pStyle w:val="BodyText"/>
      </w:pPr>
      <w:hyperlink w:anchor="thirstworthy-ai-agents">
        <w:r>
          <w:rPr>
            <w:rStyle w:val="Hyperlink"/>
            <w:b/>
            <w:bCs/>
          </w:rPr>
          <w:t xml:space="preserve">III. Thirstworthy AI Agents 22</w:t>
        </w:r>
      </w:hyperlink>
    </w:p>
    <w:p>
      <w:pPr>
        <w:pStyle w:val="BodyText"/>
      </w:pPr>
      <w:hyperlink w:anchor="symbolic-reasoning">
        <w:r>
          <w:rPr>
            <w:rStyle w:val="Hyperlink"/>
          </w:rPr>
          <w:t xml:space="preserve">Symbolic Reasoning 22</w:t>
        </w:r>
      </w:hyperlink>
    </w:p>
    <w:p>
      <w:pPr>
        <w:pStyle w:val="BodyText"/>
      </w:pPr>
      <w:hyperlink w:anchor="mrp-vm-vision">
        <w:r>
          <w:rPr>
            <w:rStyle w:val="Hyperlink"/>
          </w:rPr>
          <w:t xml:space="preserve">MRP-VM Vision 23</w:t>
        </w:r>
      </w:hyperlink>
    </w:p>
    <w:p>
      <w:pPr>
        <w:pStyle w:val="BodyText"/>
      </w:pPr>
      <w:hyperlink w:anchor="vsa-architectures-and-ai-agents">
        <w:r>
          <w:rPr>
            <w:rStyle w:val="Hyperlink"/>
          </w:rPr>
          <w:t xml:space="preserve">VSA Architectures and AI Agents 27</w:t>
        </w:r>
      </w:hyperlink>
    </w:p>
    <w:p>
      <w:pPr>
        <w:pStyle w:val="BodyText"/>
      </w:pPr>
      <w:hyperlink w:anchor="iii.-sop-lang-ir-specifications">
        <w:r>
          <w:rPr>
            <w:rStyle w:val="Hyperlink"/>
            <w:b/>
            <w:bCs/>
          </w:rPr>
          <w:t xml:space="preserve">III. SOP Lang IR Specifications 28</w:t>
        </w:r>
      </w:hyperlink>
    </w:p>
    <w:p>
      <w:pPr>
        <w:pStyle w:val="BodyText"/>
      </w:pPr>
      <w:hyperlink w:anchor="overview-and-design-goals">
        <w:r>
          <w:rPr>
            <w:rStyle w:val="Hyperlink"/>
          </w:rPr>
          <w:t xml:space="preserve">Overview and design goals 28</w:t>
        </w:r>
      </w:hyperlink>
    </w:p>
    <w:p>
      <w:pPr>
        <w:pStyle w:val="BodyText"/>
      </w:pPr>
      <w:hyperlink w:anchor="syntax,-lexicon,-and-annotations">
        <w:r>
          <w:rPr>
            <w:rStyle w:val="Hyperlink"/>
          </w:rPr>
          <w:t xml:space="preserve">Syntax, lexicon, and annotations 28</w:t>
        </w:r>
      </w:hyperlink>
    </w:p>
    <w:p>
      <w:pPr>
        <w:pStyle w:val="BodyText"/>
      </w:pPr>
      <w:hyperlink w:anchor="core-commands,-scopes,-macros">
        <w:r>
          <w:rPr>
            <w:rStyle w:val="Hyperlink"/>
          </w:rPr>
          <w:t xml:space="preserve">Core commands, scopes, macros 29</w:t>
        </w:r>
      </w:hyperlink>
    </w:p>
    <w:p>
      <w:pPr>
        <w:pStyle w:val="BodyText"/>
      </w:pPr>
      <w:hyperlink w:anchor="domain-specific-examples">
        <w:r>
          <w:rPr>
            <w:rStyle w:val="Hyperlink"/>
          </w:rPr>
          <w:t xml:space="preserve">Domain Specific Examples 31</w:t>
        </w:r>
      </w:hyperlink>
    </w:p>
    <w:p>
      <w:pPr>
        <w:pStyle w:val="BodyText"/>
      </w:pPr>
      <w:hyperlink w:anchor="iv.-sop-lang-plan-specifications">
        <w:r>
          <w:rPr>
            <w:rStyle w:val="Hyperlink"/>
            <w:b/>
            <w:bCs/>
          </w:rPr>
          <w:t xml:space="preserve">IV. SOP Lang Plan Specifications 33</w:t>
        </w:r>
      </w:hyperlink>
    </w:p>
    <w:p>
      <w:pPr>
        <w:pStyle w:val="BodyText"/>
      </w:pPr>
      <w:hyperlink w:anchor="overview-and-design-goals-1">
        <w:r>
          <w:rPr>
            <w:rStyle w:val="Hyperlink"/>
          </w:rPr>
          <w:t xml:space="preserve">Overview and design goals 33</w:t>
        </w:r>
      </w:hyperlink>
    </w:p>
    <w:p>
      <w:pPr>
        <w:pStyle w:val="BodyText"/>
      </w:pPr>
      <w:hyperlink w:anchor="X7d25b9fcf1dc3ee68aff9dd92c520029e4d8137">
        <w:r>
          <w:rPr>
            <w:rStyle w:val="Hyperlink"/>
          </w:rPr>
          <w:t xml:space="preserve">Syntax, variables, dependency extraction, and compact examples 33</w:t>
        </w:r>
      </w:hyperlink>
    </w:p>
    <w:p>
      <w:pPr>
        <w:pStyle w:val="BodyText"/>
      </w:pPr>
      <w:hyperlink w:anchor="v.-conclusions.-risks-and-potential">
        <w:r>
          <w:rPr>
            <w:rStyle w:val="Hyperlink"/>
            <w:b/>
            <w:bCs/>
          </w:rPr>
          <w:t xml:space="preserve">V. Conclusions. Risks and Potential 36</w:t>
        </w:r>
      </w:hyperlink>
    </w:p>
    <w:p>
      <w:pPr>
        <w:pStyle w:val="BodyText"/>
      </w:pPr>
      <w:hyperlink w:anchor="references">
        <w:r>
          <w:rPr>
            <w:rStyle w:val="Hyperlink"/>
            <w:b/>
            <w:bCs/>
          </w:rPr>
          <w:t xml:space="preserve">References 40</w:t>
        </w:r>
      </w:hyperlink>
    </w:p>
    <w:bookmarkEnd w:id="20"/>
    <w:bookmarkStart w:id="21" w:name="executive-summary"/>
    <w:p>
      <w:pPr>
        <w:pStyle w:val="Heading1"/>
      </w:pPr>
      <w:r>
        <w:rPr>
          <w:b/>
          <w:bCs/>
        </w:rPr>
        <w:t xml:space="preserve">Executive Summary</w:t>
      </w:r>
    </w:p>
    <w:p>
      <w:pPr>
        <w:pStyle w:val="FirstParagraph"/>
      </w:pPr>
      <w:r>
        <w:t xml:space="preserve">This deliverable presents the architectural principles and technical mechanisms developed within the Achilles Project to make multi-agent systems more efficient, controllable, and deployable beyond narrow coding scenarios. While the effort initially started from the hypothesis that orchestrating LLM-based agents would primarily increase end-to-end AI capability and, potentially, improve transparency and trust through richer traces, practical experience has shifted the center of gravity. Given the spectacular progress of LLMs in software development—especially through CLI-based agentic systems such as Claude Code and Codex—the core bottlenecks increasingly appear elsewhere: efficiency, operational stability, and the ability to subject agentic behavior to systematic verification and control. In this context, our work has progressively emphasized not “more prompting,” but tighter engineering around computation, and deeper integration of classical AI insights and neuro-symbolic technologies, including symbolic reasoning and VSA/HDC-inspired architectures that aim to provide a middle ground between discrete symbolic manipulation and the fast, associative “System 1” style intuition commonly used to characterize LLMs.</w:t>
      </w:r>
      <w:r>
        <w:br/>
      </w:r>
      <w:r>
        <w:t xml:space="preserve">It is motivated by a pragmatic observation reinforced by the adoption of CLI-based coding agents and copilot-like systems: the limiting factor is rarely the raw capability of a frontier model in isolation, but the cost, stability, and auditability of the surrounding execution environment. In practical deployments, agentic systems tend to fail through excessive recomputation, uncontrolled context growth, brittle tool usage, and reasoning strategies that rely on repeated prompting rather than verifiable computation. D3.3 therefore treats the multi-agent environment as a first-class engineering and research object and outlines a coherent stack that externalizes intent into specifications, compiles those specifications into dependency graphs, and integrates symbolic reasoning components intended to remain auditable under iterative change. More broadly, the emerging conclusion is that both academia and industry should intensify efforts toward “System 2” approaches—methods that can discipline, verify, and govern the impressive generative power of “System 1”-like LLMs—so that capability gains translate into dependable outcomes.</w:t>
      </w:r>
      <w:r>
        <w:br/>
      </w:r>
      <w:r>
        <w:t xml:space="preserve">The environment described here aligns with Achilles IDE’s broader Specification Driven Development direction, shifting value from transient prompt chains toward explicit artefacts that can be versioned, inspected, cached, and selectively recomputed. D3.3 provides the current normative definitions for two core micro-languages that support this shift, reflecting the state of the project at month 18. SOP Lang IR is a near-natural intermediate representation for reified semantics and pragmatics, designed to remain auditable and close to controlled natural language while still being compilable into symbolic targets. SOP Lang Plan is a minimal planning representation that encodes an agentic episode as a sequence of skill invocations with explicit variable dependencies, enabling compilation into an execution graph and reducing repeated “decide-next” overhead.</w:t>
      </w:r>
      <w:r>
        <w:br/>
      </w:r>
      <w:r>
        <w:t xml:space="preserve">Beyond the language definitions, D3.3 organizes the environment around four complementary efficiency directions, noting that maturity differs across them. Specification-governed pipelines aim to reduce recomputation through topological scheduling and selective invalidation of affected subgraphs, building on mechanisms defined in WP6. Plan-first execution structures agentic episodes as coherent skill graphs that can be executed deterministically and repaired through localized replanning when conditions change. Neuro-symbolic integration targets correctness-critical reasoning by compiling IR artefacts toward verifiable engines such as SMT and logic programming initially, while keeping additional methods under exploration, and using LLMs primarily for translation and controlled extraction. Holographic relevance filtering, based on ongoing VSA/HDC/HRR investigations, proposes an approximate CPU-friendly retrieval layer to narrow the candidate fact set before exact symbolic inference, mitigating search-space explosion as knowledge bases scale.</w:t>
      </w:r>
      <w:r>
        <w:br/>
      </w:r>
      <w:r>
        <w:t xml:space="preserve">The document also describes the generative neuro-symbolic direction of the agents, which is particularly relevant for the SCRIPTA use case, where controlled generation and structured interpretation are central. For HERA, the strongest potential is expected from the verification-oriented neuro-symbolic components, especially where traceability and defensible checking matter most. The resulting system should be understood as an evolving execution environment rather than a finalized framework. Some components are already materialized in tested software and evaluation suites, while others remain prototypical, illustrated through experiments and examples, and may change as research progresses. This deliverable documents the current understanding, design rationale, and the most general results achieved so far, and provides a stable reference point for subsequent iterations.</w:t>
      </w:r>
    </w:p>
    <w:bookmarkEnd w:id="21"/>
    <w:bookmarkStart w:id="44" w:name="section"/>
    <w:p>
      <w:pPr>
        <w:pStyle w:val="Heading1"/>
      </w:pPr>
    </w:p>
    <w:p>
      <w:pPr>
        <w:pStyle w:val="Heading1"/>
        <w:numPr>
          <w:ilvl w:val="0"/>
          <w:numId w:val="1001"/>
        </w:numPr>
      </w:pPr>
      <w:bookmarkStart w:id="22" w:name="design-rationale"/>
      <w:r>
        <w:rPr>
          <w:b/>
          <w:bCs/>
        </w:rPr>
        <w:t xml:space="preserve">Design Rationale</w:t>
      </w:r>
      <w:bookmarkEnd w:id="22"/>
    </w:p>
    <w:bookmarkStart w:id="23" w:name="principles"/>
    <w:p>
      <w:pPr>
        <w:pStyle w:val="Heading2"/>
      </w:pPr>
      <w:r>
        <w:rPr>
          <w:b/>
          <w:bCs/>
        </w:rPr>
        <w:t xml:space="preserve">Principles</w:t>
      </w:r>
    </w:p>
    <w:p>
      <w:pPr>
        <w:pStyle w:val="FirstParagraph"/>
      </w:pPr>
      <w:r>
        <w:t xml:space="preserve">The principles that guided us in designing the execution environment for AI agents in Achilles IDE are rooted in a simple observation: once agents are used seriously in research and engineering, the limiting factor is rarely their ability to produce an answer in isolation, or the raw intelligence and knowledge embedded in the underlying LLMs, but rather the absence of an execution substrate that can systematically balance fast generative competence with slow verifiable control—an engineering analogue of the System 1 / System 2 distinction in cognitive psychology. Although this balance is not yet expressible as a fully rigorous, universally agreed computational theory, it functions as a strong design intuition: we should treat LLMs as high-throughput hypothesis generators and interface translators (System 1), while surrounding them with explicit artefacts, dependency graphs, and auditable symbolic checks that enforce consistency, enable selective recomputation, and make failure modes visible and correctable (System 2).</w:t>
      </w:r>
      <w:r>
        <w:br/>
      </w:r>
      <w:r>
        <w:t xml:space="preserve">Based on our empirical observations—derived both from hands-on experimentation with a wide range of commercially available agentic systems and from iterative work on our own internal prototypes—the limiting factors become efficiency under iteration, reproducibility across runs, and trustworthiness under constraints. In real projects, inputs change frequently—documents are updated, requirements evolve, code is refactored, experiments are rerun, and evaluation criteria shift. If an agentic environment responds to this reality by repeatedly “thinking globally” over a large history, it becomes expensive, slow, and difficult to audit. Conversely, if it forces everything into rigid, over-specified workflows, it becomes brittle and unsuitable for exploratory work.</w:t>
      </w:r>
      <w:r>
        <w:br/>
      </w:r>
      <w:r>
        <w:t xml:space="preserve">Achilles project therefore aims for a uniform execution substrate that supports both ends of this spectrum: heavy, specification-governed processing when the work is expensive and correctness-critical, and agile, plan-driven agentic episodes when the work is interactive and dynamic—while reusing the same orchestration concepts across both modes.</w:t>
      </w:r>
      <w:r>
        <w:br/>
      </w:r>
      <w:r>
        <w:t xml:space="preserve">A central pillar is Specification Driven Development, not as a slogan but as an operational strategy for controlling cost and correctness. The core move is to externalize intent from transient conversations into explicit artefacts: named specifications, named intermediate results, explicit dependencies, and explicit constraints. Once intent is expressed in this way, execution becomes a graph problem rather than a conversational problem. This matters because graphs enable the standard efficiency mechanisms that engineering has relied on for decades: topological execution, persistent caching of intermediate outputs, deterministic replay, and selective invalidation when upstream inputs change. In a build system, this is the difference between rebuilding everything after a small change and rebuilding only the affected targets. In an AI environment, it is the difference between repeatedly re-invoking a large model over broad historical context and reusing previously computed artefacts while recomputing only the minimal necessary parts.</w:t>
      </w:r>
      <w:r>
        <w:br/>
      </w:r>
      <w:r>
        <w:t xml:space="preserve">This is exactly why the concept of “skills” is treated as foundational rather than cosmetic. A skill is not merely a tool wrapper; it is a unit of work with a stable interface, explicit inputs, explicit outputs, and explicit side-effects. In a more static, build-like mode—where processing is heavy, expensive, or correctness-sensitive—skills behave like build steps: each skill consumes well-defined artefacts and produces new artefacts, and the orchestrator can schedule them, cache their results, and invalidate only what is impacted by change. In a more agentic mode—where the environment is interactive and the system must respond quickly to evolving goals—skills are still the same units, but they are coordinated through short-lived plans that can be revised locally. The key design decision is that both modes share the same underlying discipline: named artefacts, explicit dependencies, controlled interfaces, and systematic separation between approximate steps (which propose candidates) and exact steps (which verify and decide). This is what makes the approach uniform rather than a collection of unrelated techniques.</w:t>
      </w:r>
      <w:r>
        <w:br/>
      </w:r>
      <w:r>
        <w:t xml:space="preserve">In practical terms, this uniformity is implemented as follows. For heavy processing, we represent work as specification-governed pipelines: dependency graphs of skill invocations whose edges encode artefact provenance and whose nodes produce versioned outputs. The environment executes these graphs deterministically, persists intermediate results, and supports selective invalidation when an input document, a parameter, or a dependency changes. For agile agentic operation, we apply the same idea at a smaller scale: an “agent episode” is treated as a short-lived pipeline. Instead of invoking an LLM after every action to re-evaluate a large global context and decide the next step, the environment separates planning from execution. A compact plan describes the intended sequence of skill calls and the variable/artefact dependencies between them. The orchestrator then executes this plan precisely, projecting only the minimal required inputs to each step, and triggers local replanning only when a step fails or new information invalidates part of the plan. The outcome is a system that behaves like an operational procedure rather than an unstructured dialogue loop: it is faster because it avoids repeated global deliberation, and it is more reproducible because the executed steps and their dependencies are explicit.</w:t>
      </w:r>
      <w:r>
        <w:br/>
      </w:r>
      <w:r>
        <w:t xml:space="preserve">This also clarifies why Achilles emphasizes an explicit intermediate representation (SOP Lang IR) and why neuro-symbolic integration is treated as an architectural necessity rather than an optional research direction. LLMs are effective for translation, paraphrase, summarization, and controlled extraction, but they are not reliable substrates for correctness-critical reasoning, exhaustive checking, or compliance verification. Many tasks that look “linguistic” on the surface become far more tractable and auditable once expressed as constraints, rules, or well-scoped queries. SOP Lang IR provides a near-natural representation in which claims, modality, negation, discourse links, and provenance become explicit objects. In our intended stack, LLMs are used primarily to translate from natural language into a constrained layer and then into SOP Lang IR, while exact inference and checking are performed by symbolic engines. This shift has two immediate benefits: it reduces hallucination-driven failure modes by making acceptance depend on verifiable checks, and it reduces cost by replacing repeated prompt-based guess-and-check cycles with compact solver-ready artefacts that can be rerun and audited.</w:t>
      </w:r>
      <w:r>
        <w:br/>
      </w:r>
      <w:r>
        <w:t xml:space="preserve">A remaining challenge is scale: when the knowledge captured in IR becomes large, exact symbolic methods can suffer combinatorial growth if they are fed too many irrelevant facts or rule instantiations. This motivates a deliberate two-tier epistemic design. We add a fast, approximate “intuition” layer—based on VSA/HDC/HRR—not to replace exact reasoning, but to constrain it. High-dimensional vector representations support lightweight similarity-based recall on CPUs, enabling the environment to retrieve a small, high-recall candidate set of potentially relevant facts and relations for a given query or goal. Only this filtered candidate set is then passed to exact symbolic engines for verifiable reasoning. The environment therefore makes a principled distinction: approximate layers retrieve and prioritize; exact layers verify and decide. This separation is essential for both efficiency and trustworthiness. It prevents symbolic engines from being overwhelmed while keeping correctness grounded in verifiable mechanisms rather than in approximate similarity alone.</w:t>
      </w:r>
      <w:r>
        <w:br/>
      </w:r>
      <w:r>
        <w:t xml:space="preserve">The coherence of the overall design lies in making structure explicit at the right layer and reusing that structure uniformly. Dependency graphs make execution costs visible, enable caching, and define precise boundaries for invalidation. Skills provide stable units of work whose interfaces make orchestration reliable in both heavy and agile modes. The IR makes reasoning objects explicit so that checking can be compiled into formal targets rather than improvised via repeated prompting. Approximate retrieval reduces search spaces without being mistaken for proof. Across these choices, Achilles is intentionally moving away from agent behavior that is opaque and difficult to reproduce, toward an execution environment that is explicit, auditable, and cost-controlled under iteration—without losing the flexibility required for exploratory research and rapid engineering 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Principle</w:t>
            </w:r>
          </w:p>
        </w:tc>
        <w:tc>
          <w:tcPr/>
          <w:p>
            <w:pPr>
              <w:pStyle w:val="Compact"/>
              <w:jc w:val="left"/>
            </w:pPr>
            <w:r>
              <w:t xml:space="preserve">Design direction</w:t>
            </w:r>
          </w:p>
        </w:tc>
      </w:tr>
      <w:tr>
        <w:tc>
          <w:tcPr/>
          <w:p>
            <w:pPr>
              <w:pStyle w:val="Compact"/>
              <w:jc w:val="left"/>
            </w:pPr>
            <w:r>
              <w:t xml:space="preserve">Externalize intent into specifications</w:t>
            </w:r>
          </w:p>
        </w:tc>
        <w:tc>
          <w:tcPr/>
          <w:p>
            <w:pPr>
              <w:pStyle w:val="Compact"/>
              <w:jc w:val="left"/>
            </w:pPr>
            <w:r>
              <w:t xml:space="preserve">Replace ad-hoc prompt chains with named artefacts, constraints, and dependencies</w:t>
            </w:r>
          </w:p>
        </w:tc>
      </w:tr>
      <w:tr>
        <w:tc>
          <w:tcPr/>
          <w:p>
            <w:pPr>
              <w:pStyle w:val="Compact"/>
              <w:jc w:val="left"/>
            </w:pPr>
            <w:r>
              <w:t xml:space="preserve">Treat work as dependency graphs</w:t>
            </w:r>
          </w:p>
        </w:tc>
        <w:tc>
          <w:tcPr/>
          <w:p>
            <w:pPr>
              <w:pStyle w:val="Compact"/>
              <w:jc w:val="left"/>
            </w:pPr>
            <w:r>
              <w:t xml:space="preserve">Enable deterministic replay, caching of intermediate results, and selective invalidation</w:t>
            </w:r>
          </w:p>
        </w:tc>
      </w:tr>
      <w:tr>
        <w:tc>
          <w:tcPr/>
          <w:p>
            <w:pPr>
              <w:pStyle w:val="Compact"/>
              <w:jc w:val="left"/>
            </w:pPr>
            <w:r>
              <w:t xml:space="preserve">Use skills as stable units of computation</w:t>
            </w:r>
          </w:p>
        </w:tc>
        <w:tc>
          <w:tcPr/>
          <w:p>
            <w:pPr>
              <w:pStyle w:val="Compact"/>
              <w:jc w:val="left"/>
            </w:pPr>
            <w:r>
              <w:t xml:space="preserve">Provide explicit inputs/outputs and controlled side-effects for orchestration</w:t>
            </w:r>
          </w:p>
        </w:tc>
      </w:tr>
      <w:tr>
        <w:tc>
          <w:tcPr/>
          <w:p>
            <w:pPr>
              <w:pStyle w:val="Compact"/>
              <w:jc w:val="left"/>
            </w:pPr>
            <w:r>
              <w:t xml:space="preserve">Unify “heavy pipelines” and “agile episodes”</w:t>
            </w:r>
          </w:p>
        </w:tc>
        <w:tc>
          <w:tcPr/>
          <w:p>
            <w:pPr>
              <w:pStyle w:val="Compact"/>
              <w:jc w:val="left"/>
            </w:pPr>
            <w:r>
              <w:t xml:space="preserve">Same orchestration concepts apply: graphs, artefacts, and dependency-aware execution</w:t>
            </w:r>
          </w:p>
        </w:tc>
      </w:tr>
      <w:tr>
        <w:tc>
          <w:tcPr/>
          <w:p>
            <w:pPr>
              <w:pStyle w:val="Compact"/>
              <w:jc w:val="left"/>
            </w:pPr>
            <w:r>
              <w:t xml:space="preserve">Separate approximate retrieval from exact checking</w:t>
            </w:r>
          </w:p>
        </w:tc>
        <w:tc>
          <w:tcPr/>
          <w:p>
            <w:pPr>
              <w:pStyle w:val="Compact"/>
              <w:jc w:val="left"/>
            </w:pPr>
            <w:r>
              <w:t xml:space="preserve">Use fast vector-based filtering to narrow candidates; use symbolic engines to decide</w:t>
            </w:r>
          </w:p>
        </w:tc>
      </w:tr>
      <w:tr>
        <w:tc>
          <w:tcPr/>
          <w:p>
            <w:pPr>
              <w:pStyle w:val="Compact"/>
              <w:jc w:val="left"/>
            </w:pPr>
            <w:r>
              <w:t xml:space="preserve">Prefer verifiable reasoning for correctness-critical tasks</w:t>
            </w:r>
          </w:p>
        </w:tc>
        <w:tc>
          <w:tcPr/>
          <w:p>
            <w:pPr>
              <w:pStyle w:val="Compact"/>
              <w:jc w:val="left"/>
            </w:pPr>
            <w:r>
              <w:t xml:space="preserve">Compile IR into solver-ready constraints and produce auditable evidence</w:t>
            </w:r>
          </w:p>
        </w:tc>
      </w:tr>
      <w:tr>
        <w:tc>
          <w:tcPr/>
          <w:p>
            <w:pPr>
              <w:pStyle w:val="Compact"/>
              <w:jc w:val="left"/>
            </w:pPr>
            <w:r>
              <w:t xml:space="preserve">Minimize context and recomputation</w:t>
            </w:r>
          </w:p>
        </w:tc>
        <w:tc>
          <w:tcPr/>
          <w:p>
            <w:pPr>
              <w:pStyle w:val="Compact"/>
              <w:jc w:val="left"/>
            </w:pPr>
            <w:r>
              <w:t xml:space="preserve">Project only necessary inputs per step; replan locally instead of global re-deliberation</w:t>
            </w:r>
          </w:p>
        </w:tc>
      </w:tr>
    </w:tbl>
    <w:p>
      <w:pPr>
        <w:pStyle w:val="BodyText"/>
      </w:pPr>
      <w:r>
        <w:t xml:space="preserve">All concepts introduced in this overview are elaborated and specified in the remainder of the document. The purpose of this opening is to provide a clear map of the design intent and the pressures it addresses: repeated recomputation under small changes, the high operational cost of large-context deliberation, the need for local error isolation, and the requirement for traceable correctness in regulated or scientific settings. The chapters that follow detail how these principles are realized concretely in Achilles IDE through specification-driven pipelines, plan-driven agent episodes, SOP Lang IR as a near-natural formal layer, neuro-symbolic compilation to verifiable engines, and CPU-friendly holographic relevance filtering.</w:t>
      </w:r>
      <w:r>
        <w:br/>
      </w:r>
      <w:r>
        <w:t xml:space="preserve">Without going into detail in this document, it is still worth noting, at the end of this overview chapter, that the SCRIPTA use case led us to explore some unexpectedly effective ways of creating specifications through symbolic reasoning. A strong pattern seems to be emerging: we can reduce the load on LLMs by shifting more of the work toward “real” reasoning in classical AI, where inference is explicit, checkable, and repeatable. There are still open questions, especially at the interface between natural language requirements and their symbolic formalization, but we already see how the idea of generating specifications in a constrained natural language (CNL) can extend well beyond SCRIPTA. It is not only convenient in SCRIPTA, where we can formalize guidance for high quality literature in CNL, but it can also be applied to coding and research agents. More broadly, CNL specifications combined with symbolic reasoning appear promising for many use cases where industry currently relies almost exclusively on LLMs.</w:t>
      </w:r>
      <w:r>
        <w:br/>
      </w:r>
      <w:r>
        <w:t xml:space="preserve">Next, we briefly introduce a taxonomy of agents, primarily as a way to group them and keep their intended usage modes clear. In general, the architectures and implementation approaches proposed in this deliverable do not depend on this taxonomy. Nevertheless, it is useful to enumerate these agent classes because they have materially constrained and shaped our research directions: they clarify the problems we aim to solve with AI Agents and help justify the solution choices presented in the rest of the document.</w:t>
      </w:r>
    </w:p>
    <w:bookmarkEnd w:id="23"/>
    <w:bookmarkStart w:id="25" w:name="agents-taxonomy"/>
    <w:p>
      <w:pPr>
        <w:pStyle w:val="Heading2"/>
      </w:pPr>
      <w:r>
        <w:rPr>
          <w:b/>
          <w:bCs/>
        </w:rPr>
        <w:t xml:space="preserve">Agents Taxonomy</w:t>
      </w:r>
    </w:p>
    <w:p>
      <w:pPr>
        <w:pStyle w:val="FirstParagraph"/>
      </w:pPr>
      <w:r>
        <w:t xml:space="preserve">The ACHILLES project proposes a paradigm shift from monolithic</w:t>
      </w:r>
      <w:r>
        <w:t xml:space="preserve"> </w:t>
      </w:r>
      <w:r>
        <w:t xml:space="preserve">“black box”</w:t>
      </w:r>
      <w:r>
        <w:t xml:space="preserve"> </w:t>
      </w:r>
      <w:r>
        <w:t xml:space="preserve">AI applications to an orchestrated ecosystem comprising a</w:t>
      </w:r>
      <w:r>
        <w:t xml:space="preserve"> </w:t>
      </w:r>
      <w:r>
        <w:t xml:space="preserve">“society of agents”</w:t>
      </w:r>
      <w:r>
        <w:t xml:space="preserve"> </w:t>
      </w:r>
      <w:r>
        <w:t xml:space="preserve">that are transparent, specialized, and interconnected (</w:t>
      </w:r>
      <w:r>
        <w:t xml:space="preserve">“glass box”</w:t>
      </w:r>
      <w:r>
        <w:t xml:space="preserve">). To manage this complexity and ensure traceability, security, and compliance with Trustworthy AI principles, a rigorous taxonomy of agents has to be established. This taxonomy classifies AI and non-AI entities based on their level of autonomy, operational domain, and specific role within the AssistOS and Ploinky architecture. The ecosystem is systematically mapped into distinct categories, reflecting the diverse responsibilities required to support human-centered machine learning workflows.</w:t>
      </w:r>
      <w:r>
        <w:br/>
      </w:r>
      <w:r>
        <w:t xml:space="preserve">The first category encompasses the</w:t>
      </w:r>
      <w:r>
        <w:t xml:space="preserve"> </w:t>
      </w:r>
      <w:r>
        <w:rPr>
          <w:b/>
          <w:bCs/>
        </w:rPr>
        <w:t xml:space="preserve">Core Orchestration and Interaction Agents</w:t>
      </w:r>
      <w:r>
        <w:t xml:space="preserve">. These high-level entities are responsible for context management, interpreting human intent, and coordinating other agents, acting as the cognitive and decision-making interface of the system.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Agent Type</w:t>
            </w:r>
          </w:p>
        </w:tc>
        <w:tc>
          <w:tcPr/>
          <w:p>
            <w:pPr>
              <w:pStyle w:val="Compact"/>
              <w:jc w:val="left"/>
            </w:pPr>
            <w:r>
              <w:t xml:space="preserve">Architectural Role &amp; Description</w:t>
            </w:r>
          </w:p>
        </w:tc>
      </w:tr>
      <w:tr>
        <w:tc>
          <w:tcPr/>
          <w:p>
            <w:pPr>
              <w:pStyle w:val="Compact"/>
              <w:jc w:val="left"/>
            </w:pPr>
            <w:r>
              <w:rPr>
                <w:b/>
                <w:bCs/>
              </w:rPr>
              <w:t xml:space="preserve">Master Copilot (Virtual Assistant)</w:t>
            </w:r>
          </w:p>
        </w:tc>
        <w:tc>
          <w:tcPr/>
          <w:p>
            <w:pPr>
              <w:pStyle w:val="Compact"/>
              <w:jc w:val="left"/>
            </w:pPr>
            <w:r>
              <w:t xml:space="preserve">A persistent, multi-agent system that orchestrates specialized agents. It maintains the overarching context throughout the project lifecycle and adapts its guidance based on the user’s role (e.g., developer, manager, auditor).</w:t>
            </w:r>
          </w:p>
        </w:tc>
      </w:tr>
      <w:tr>
        <w:tc>
          <w:tcPr/>
          <w:p>
            <w:pPr>
              <w:pStyle w:val="Compact"/>
              <w:jc w:val="left"/>
            </w:pPr>
            <w:r>
              <w:rPr>
                <w:b/>
                <w:bCs/>
              </w:rPr>
              <w:t xml:space="preserve">Super-agent (Orchestrator)</w:t>
            </w:r>
          </w:p>
        </w:tc>
        <w:tc>
          <w:tcPr/>
          <w:p>
            <w:pPr>
              <w:pStyle w:val="Compact"/>
              <w:jc w:val="left"/>
            </w:pPr>
            <w:r>
              <w:t xml:space="preserve">An architectural concept defining a coordinating agent capable of managing a</w:t>
            </w:r>
            <w:r>
              <w:t xml:space="preserve"> </w:t>
            </w:r>
            <w:r>
              <w:t xml:space="preserve">“society”</w:t>
            </w:r>
            <w:r>
              <w:t xml:space="preserve"> </w:t>
            </w:r>
            <w:r>
              <w:t xml:space="preserve">of specialized agents, presenting a single, coherent, and intelligent interface to the user.</w:t>
            </w:r>
          </w:p>
        </w:tc>
      </w:tr>
      <w:tr>
        <w:tc>
          <w:tcPr/>
          <w:p>
            <w:pPr>
              <w:pStyle w:val="Compact"/>
              <w:jc w:val="left"/>
            </w:pPr>
            <w:r>
              <w:rPr>
                <w:b/>
                <w:bCs/>
              </w:rPr>
              <w:t xml:space="preserve">Dispatcher Agent</w:t>
            </w:r>
          </w:p>
        </w:tc>
        <w:tc>
          <w:tcPr/>
          <w:p>
            <w:pPr>
              <w:pStyle w:val="Compact"/>
              <w:jc w:val="left"/>
            </w:pPr>
            <w:r>
              <w:t xml:space="preserve">A specific orchestrator utilized within assistants to parse direct user intent and delegate execution tasks to the appropriate operator agents.</w:t>
            </w:r>
          </w:p>
        </w:tc>
      </w:tr>
      <w:tr>
        <w:tc>
          <w:tcPr/>
          <w:p>
            <w:pPr>
              <w:pStyle w:val="Compact"/>
              <w:jc w:val="left"/>
            </w:pPr>
            <w:r>
              <w:rPr>
                <w:b/>
                <w:bCs/>
              </w:rPr>
              <w:t xml:space="preserve">Moderator Agent</w:t>
            </w:r>
          </w:p>
        </w:tc>
        <w:tc>
          <w:tcPr/>
          <w:p>
            <w:pPr>
              <w:pStyle w:val="Compact"/>
              <w:jc w:val="left"/>
            </w:pPr>
            <w:r>
              <w:t xml:space="preserve">The central agent in collaborative environments (e.g.,</w:t>
            </w:r>
            <w:r>
              <w:t xml:space="preserve"> </w:t>
            </w:r>
            <w:r>
              <w:t xml:space="preserve">“WebMeet”</w:t>
            </w:r>
            <w:r>
              <w:t xml:space="preserve">). It manages communication flows, human-agent interaction, and task distribution in multi-user and multi-agent group settings.</w:t>
            </w:r>
          </w:p>
        </w:tc>
      </w:tr>
    </w:tbl>
    <w:p>
      <w:pPr>
        <w:pStyle w:val="SourceCode"/>
      </w:pPr>
      <w:r>
        <w:rPr>
          <w:rStyle w:val="VerbatimChar"/>
        </w:rPr>
        <w:t xml:space="preserve">The next category consists of the **Execution and Operational Agents**. These agents are responsible for the actual processing of tasks, the execution of commands, and the application of specific skills within secure environments, serving as the operational backbone of the 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Agent Type</w:t>
            </w:r>
          </w:p>
        </w:tc>
        <w:tc>
          <w:tcPr/>
          <w:p>
            <w:pPr>
              <w:pStyle w:val="Compact"/>
              <w:jc w:val="left"/>
            </w:pPr>
            <w:r>
              <w:t xml:space="preserve">Architectural Role &amp; Description</w:t>
            </w:r>
          </w:p>
        </w:tc>
      </w:tr>
      <w:tr>
        <w:tc>
          <w:tcPr/>
          <w:p>
            <w:pPr>
              <w:pStyle w:val="Compact"/>
              <w:jc w:val="left"/>
            </w:pPr>
            <w:r>
              <w:rPr>
                <w:b/>
                <w:bCs/>
              </w:rPr>
              <w:t xml:space="preserve">LLM Agent</w:t>
            </w:r>
          </w:p>
        </w:tc>
        <w:tc>
          <w:tcPr/>
          <w:p>
            <w:pPr>
              <w:pStyle w:val="Compact"/>
              <w:jc w:val="left"/>
            </w:pPr>
            <w:r>
              <w:t xml:space="preserve">A foundational configuration leveraging a Large Language Model (LLM) to define specific behaviors, goals, and toolsets, including support for protocols such as the Model Context Protocol (MCP).</w:t>
            </w:r>
          </w:p>
        </w:tc>
      </w:tr>
      <w:tr>
        <w:tc>
          <w:tcPr/>
          <w:p>
            <w:pPr>
              <w:pStyle w:val="Compact"/>
              <w:jc w:val="left"/>
            </w:pPr>
            <w:r>
              <w:rPr>
                <w:b/>
                <w:bCs/>
              </w:rPr>
              <w:t xml:space="preserve">Operator Agent</w:t>
            </w:r>
          </w:p>
        </w:tc>
        <w:tc>
          <w:tcPr/>
          <w:p>
            <w:pPr>
              <w:pStyle w:val="Compact"/>
              <w:jc w:val="left"/>
            </w:pPr>
            <w:r>
              <w:t xml:space="preserve">A specialized agent acting as an expert in a narrow domain. It executes a limited, precise set of functions and is designed to request human confirmations to prevent hallucinations.</w:t>
            </w:r>
          </w:p>
        </w:tc>
      </w:tr>
      <w:tr>
        <w:tc>
          <w:tcPr/>
          <w:p>
            <w:pPr>
              <w:pStyle w:val="Compact"/>
              <w:jc w:val="left"/>
            </w:pPr>
            <w:r>
              <w:rPr>
                <w:b/>
                <w:bCs/>
              </w:rPr>
              <w:t xml:space="preserve">Skilled Agent</w:t>
            </w:r>
          </w:p>
        </w:tc>
        <w:tc>
          <w:tcPr/>
          <w:p>
            <w:pPr>
              <w:pStyle w:val="Compact"/>
              <w:jc w:val="left"/>
            </w:pPr>
            <w:r>
              <w:t xml:space="preserve">An advanced AI agent that utilizes</w:t>
            </w:r>
            <w:r>
              <w:t xml:space="preserve"> </w:t>
            </w:r>
            <w:r>
              <w:t xml:space="preserve">“Skills”</w:t>
            </w:r>
            <w:r>
              <w:t xml:space="preserve">—formal encapsulations of complex Standard Operating Procedures (SOPs)—rather than simple tools, enabling the execution of multi-step workflows.</w:t>
            </w:r>
          </w:p>
        </w:tc>
      </w:tr>
      <w:tr>
        <w:tc>
          <w:tcPr/>
          <w:p>
            <w:pPr>
              <w:pStyle w:val="Compact"/>
              <w:jc w:val="left"/>
            </w:pPr>
            <w:r>
              <w:rPr>
                <w:b/>
                <w:bCs/>
              </w:rPr>
              <w:t xml:space="preserve">Ploinky Agent</w:t>
            </w:r>
          </w:p>
        </w:tc>
        <w:tc>
          <w:tcPr/>
          <w:p>
            <w:pPr>
              <w:pStyle w:val="Compact"/>
              <w:jc w:val="left"/>
            </w:pPr>
            <w:r>
              <w:t xml:space="preserve">A secure, containerized execution unit based on Linux containers, designed for the isolated execution of code and system commands while adhering to strict permission policies.</w:t>
            </w:r>
          </w:p>
        </w:tc>
      </w:tr>
      <w:tr>
        <w:tc>
          <w:tcPr/>
          <w:p>
            <w:pPr>
              <w:pStyle w:val="Compact"/>
              <w:jc w:val="left"/>
            </w:pPr>
            <w:r>
              <w:rPr>
                <w:b/>
                <w:bCs/>
              </w:rPr>
              <w:t xml:space="preserve">“Tamer”</w:t>
            </w:r>
            <w:r>
              <w:rPr>
                <w:b/>
                <w:bCs/>
              </w:rPr>
              <w:t xml:space="preserve"> </w:t>
            </w:r>
            <w:r>
              <w:rPr>
                <w:b/>
                <w:bCs/>
              </w:rPr>
              <w:t xml:space="preserve">Agent</w:t>
            </w:r>
          </w:p>
        </w:tc>
        <w:tc>
          <w:tcPr/>
          <w:p>
            <w:pPr>
              <w:pStyle w:val="Compact"/>
              <w:jc w:val="left"/>
            </w:pPr>
            <w:r>
              <w:t xml:space="preserve">A conceptual designation for a highly predictable agent controlled via natural-language rules, designed specifically for heavily regulated environments where trust and predictability are prioritized over absolute autonomy. Symbolic reasoning is the most suitable approach for this type of agent, and strict environmental isolation is recommended to ensure safety and correctness. A natural approach is to implement guardrails in complex AI systems using “Tamer” agents.</w:t>
            </w:r>
          </w:p>
        </w:tc>
      </w:tr>
    </w:tbl>
    <w:p>
      <w:pPr>
        <w:pStyle w:val="BodyText"/>
      </w:pPr>
      <w:r>
        <w:t xml:space="preserve">Aligned directly with the core research objectives of the ACHILLES project, the</w:t>
      </w:r>
      <w:r>
        <w:t xml:space="preserve"> </w:t>
      </w:r>
      <w:r>
        <w:rPr>
          <w:b/>
          <w:bCs/>
        </w:rPr>
        <w:t xml:space="preserve">Trustworthy AI and Research-Specific Agents</w:t>
      </w:r>
      <w:r>
        <w:t xml:space="preserve"> </w:t>
      </w:r>
      <w:r>
        <w:t xml:space="preserve">specialize the platform toward ethical compliance, continuous evaluation, and data security. These agents operationalize the findings from various Work Packages (WP1, WP2, WP3, WP5).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Agent Type</w:t>
            </w:r>
          </w:p>
        </w:tc>
        <w:tc>
          <w:tcPr/>
          <w:p>
            <w:pPr>
              <w:pStyle w:val="Compact"/>
              <w:jc w:val="left"/>
            </w:pPr>
            <w:r>
              <w:t xml:space="preserve">Architectural Role &amp; Description</w:t>
            </w:r>
          </w:p>
        </w:tc>
      </w:tr>
      <w:tr>
        <w:tc>
          <w:tcPr/>
          <w:p>
            <w:pPr>
              <w:pStyle w:val="Compact"/>
              <w:jc w:val="left"/>
            </w:pPr>
            <w:r>
              <w:rPr>
                <w:b/>
                <w:bCs/>
              </w:rPr>
              <w:t xml:space="preserve">Specialized Agent for Bias</w:t>
            </w:r>
          </w:p>
        </w:tc>
        <w:tc>
          <w:tcPr/>
          <w:p>
            <w:pPr>
              <w:pStyle w:val="Compact"/>
              <w:jc w:val="left"/>
            </w:pPr>
            <w:r>
              <w:t xml:space="preserve">A research-driven agent dedicated to detecting, analyzing, and suggesting mitigations for bias in data and models, utilizing Explainable AI (XAI) techniques.</w:t>
            </w:r>
          </w:p>
        </w:tc>
      </w:tr>
      <w:tr>
        <w:tc>
          <w:tcPr/>
          <w:p>
            <w:pPr>
              <w:pStyle w:val="Compact"/>
              <w:jc w:val="left"/>
            </w:pPr>
            <w:r>
              <w:rPr>
                <w:b/>
                <w:bCs/>
              </w:rPr>
              <w:t xml:space="preserve">Specialized Agent for Efficiency</w:t>
            </w:r>
          </w:p>
        </w:tc>
        <w:tc>
          <w:tcPr/>
          <w:p>
            <w:pPr>
              <w:pStyle w:val="Compact"/>
              <w:jc w:val="left"/>
            </w:pPr>
            <w:r>
              <w:t xml:space="preserve">An agent designed to analyze AI models and development workflows to recommend optimizations for energy consumption and computational efficiency.</w:t>
            </w:r>
          </w:p>
        </w:tc>
      </w:tr>
      <w:tr>
        <w:tc>
          <w:tcPr/>
          <w:p>
            <w:pPr>
              <w:pStyle w:val="Compact"/>
              <w:jc w:val="left"/>
            </w:pPr>
            <w:r>
              <w:rPr>
                <w:b/>
                <w:bCs/>
              </w:rPr>
              <w:t xml:space="preserve">Specialized Agent for V&amp;V</w:t>
            </w:r>
          </w:p>
        </w:tc>
        <w:tc>
          <w:tcPr/>
          <w:p>
            <w:pPr>
              <w:pStyle w:val="Compact"/>
              <w:jc w:val="left"/>
            </w:pPr>
            <w:r>
              <w:t xml:space="preserve">An agent dedicated to the automated Validation and Verification (V&amp;V) of AI systems, continuously monitoring their robustness, safety, and behavior.</w:t>
            </w:r>
          </w:p>
        </w:tc>
      </w:tr>
      <w:tr>
        <w:tc>
          <w:tcPr/>
          <w:p>
            <w:pPr>
              <w:pStyle w:val="Compact"/>
              <w:jc w:val="left"/>
            </w:pPr>
            <w:r>
              <w:rPr>
                <w:b/>
                <w:bCs/>
              </w:rPr>
              <w:t xml:space="preserve">Specialized Agent for Privacy (in ML)</w:t>
            </w:r>
          </w:p>
        </w:tc>
        <w:tc>
          <w:tcPr/>
          <w:p>
            <w:pPr>
              <w:pStyle w:val="Compact"/>
              <w:jc w:val="left"/>
            </w:pPr>
            <w:r>
              <w:t xml:space="preserve">An agent responsible for managing the identification and anonymization of Personally Identifiable Information (PII) and supporting privacy-preserving techniques such as Federated Learning.</w:t>
            </w:r>
          </w:p>
        </w:tc>
      </w:tr>
    </w:tbl>
    <w:p>
      <w:pPr>
        <w:pStyle w:val="BodyText"/>
      </w:pPr>
      <w:r>
        <w:t xml:space="preserve">Finally, the</w:t>
      </w:r>
      <w:r>
        <w:t xml:space="preserve"> </w:t>
      </w:r>
      <w:r>
        <w:rPr>
          <w:b/>
          <w:bCs/>
        </w:rPr>
        <w:t xml:space="preserve">Infrastructure, Tooling, and Integration Agents</w:t>
      </w:r>
      <w:r>
        <w:t xml:space="preserve"> </w:t>
      </w:r>
      <w:r>
        <w:t xml:space="preserve">encompass the technical components and utilities that enable developers to interact with the system, configure workspaces, and expand the ecosystem through third-party integrations.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Agent Type</w:t>
            </w:r>
          </w:p>
        </w:tc>
        <w:tc>
          <w:tcPr/>
          <w:p>
            <w:pPr>
              <w:pStyle w:val="Compact"/>
              <w:jc w:val="left"/>
            </w:pPr>
            <w:r>
              <w:t xml:space="preserve">Architectural Role &amp; Description</w:t>
            </w:r>
          </w:p>
        </w:tc>
      </w:tr>
      <w:tr>
        <w:tc>
          <w:tcPr/>
          <w:p>
            <w:pPr>
              <w:pStyle w:val="Compact"/>
              <w:jc w:val="left"/>
            </w:pPr>
            <w:r>
              <w:rPr>
                <w:b/>
                <w:bCs/>
              </w:rPr>
              <w:t xml:space="preserve">Ploinky CLI</w:t>
            </w:r>
          </w:p>
        </w:tc>
        <w:tc>
          <w:tcPr/>
          <w:p>
            <w:pPr>
              <w:pStyle w:val="Compact"/>
              <w:jc w:val="left"/>
            </w:pPr>
            <w:r>
              <w:t xml:space="preserve">A non-LLM management agent operated directly by human users via the command line, utilized to configure workspaces and oversee the execution environment.</w:t>
            </w:r>
          </w:p>
        </w:tc>
      </w:tr>
      <w:tr>
        <w:tc>
          <w:tcPr/>
          <w:p>
            <w:pPr>
              <w:pStyle w:val="Compact"/>
              <w:jc w:val="left"/>
            </w:pPr>
            <w:r>
              <w:rPr>
                <w:b/>
                <w:bCs/>
              </w:rPr>
              <w:t xml:space="preserve">ACHILLES CLI Assistant</w:t>
            </w:r>
          </w:p>
        </w:tc>
        <w:tc>
          <w:tcPr/>
          <w:p>
            <w:pPr>
              <w:pStyle w:val="Compact"/>
              <w:jc w:val="left"/>
            </w:pPr>
            <w:r>
              <w:t xml:space="preserve">A command-line assistance tool designed to help developers quickly scaffold code and seamlessly create new, customized agents.</w:t>
            </w:r>
          </w:p>
        </w:tc>
      </w:tr>
      <w:tr>
        <w:tc>
          <w:tcPr/>
          <w:p>
            <w:pPr>
              <w:pStyle w:val="Compact"/>
              <w:jc w:val="left"/>
            </w:pPr>
            <w:r>
              <w:rPr>
                <w:b/>
                <w:bCs/>
              </w:rPr>
              <w:t xml:space="preserve">Custom Agent</w:t>
            </w:r>
          </w:p>
        </w:tc>
        <w:tc>
          <w:tcPr/>
          <w:p>
            <w:pPr>
              <w:pStyle w:val="Compact"/>
              <w:jc w:val="left"/>
            </w:pPr>
            <w:r>
              <w:t xml:space="preserve">External entities (such as third-party MCP servers) integrated into the ecosystem. These agents must adhere to the minimal communication conventions and network protocols defined by the Ploinky framework.</w:t>
            </w:r>
          </w:p>
        </w:tc>
      </w:tr>
    </w:tbl>
    <w:p>
      <w:pPr>
        <w:pStyle w:val="BodyText"/>
      </w:pPr>
      <w:r>
        <w:t xml:space="preserve">These taxonomies are presented to inform the reader about the overall scope of the research. There are, of course, substantial overlaps with other research tasks in WP6 (Achilles IDE and Copilot) and WP7 (use cases). However, given our intention to preserve only the general orientation—as a high-level map of the objectives—the detailed understanding and specification of each agent type are not within the scope of this deliverable or Task T3.3. Accordingly, we retain and document here only the most general results.</w:t>
      </w:r>
    </w:p>
    <w:p>
      <w:pPr>
        <w:pStyle w:val="Heading1"/>
        <w:numPr>
          <w:ilvl w:val="0"/>
          <w:numId w:val="1002"/>
        </w:numPr>
      </w:pPr>
      <w:bookmarkStart w:id="24" w:name="architecture-and-components"/>
      <w:r>
        <w:rPr>
          <w:b/>
          <w:bCs/>
        </w:rPr>
        <w:t xml:space="preserve">Architecture And Components</w:t>
      </w:r>
      <w:bookmarkEnd w:id="24"/>
    </w:p>
    <w:bookmarkEnd w:id="25"/>
    <w:bookmarkStart w:id="26" w:name="software-stack"/>
    <w:p>
      <w:pPr>
        <w:pStyle w:val="Heading2"/>
      </w:pPr>
      <w:r>
        <w:rPr>
          <w:b/>
          <w:bCs/>
        </w:rPr>
        <w:t xml:space="preserve">Software Stack</w:t>
      </w:r>
    </w:p>
    <w:p>
      <w:pPr>
        <w:pStyle w:val="FirstParagraph"/>
      </w:pPr>
      <w:r>
        <w:t xml:space="preserve">The architectural framework of the T3.3 and the multi-agentic environment proposed by Achilles Project could be conceptualized as a vertically integrated stack designed to facilitate complex multi-agent interactions through a modular and scalable approach.</w:t>
      </w:r>
    </w:p>
    <w:p>
      <w:pPr>
        <w:pStyle w:val="BodyText"/>
      </w:pPr>
      <w:r>
        <w:t xml:space="preserve">Diagram 1: Software Stack</w:t>
      </w:r>
    </w:p>
    <w:p>
      <w:pPr>
        <w:pStyle w:val="BodyText"/>
      </w:pPr>
      <w:r>
        <w:t xml:space="preserve">At its foundational deployment level, the environment utilizes</w:t>
      </w:r>
      <w:r>
        <w:t xml:space="preserve"> </w:t>
      </w:r>
      <w:r>
        <w:rPr>
          <w:b/>
          <w:bCs/>
        </w:rPr>
        <w:t xml:space="preserve">Ploinky</w:t>
      </w:r>
      <w:r>
        <w:t xml:space="preserve">, which introduces the</w:t>
      </w:r>
      <w:r>
        <w:t xml:space="preserve"> </w:t>
      </w:r>
      <w:r>
        <w:rPr>
          <w:b/>
          <w:bCs/>
        </w:rPr>
        <w:t xml:space="preserve">“Ploinky Agent”</w:t>
      </w:r>
      <w:r>
        <w:t xml:space="preserve"> </w:t>
      </w:r>
      <w:r>
        <w:t xml:space="preserve">as a standardized paradigm for the sandboxing and containerization of AI agents. While Ploinky is natively optimized for agents developed via the</w:t>
      </w:r>
      <w:r>
        <w:t xml:space="preserve"> </w:t>
      </w:r>
      <w:r>
        <w:rPr>
          <w:b/>
          <w:bCs/>
        </w:rPr>
        <w:t xml:space="preserve">AchillesAgentLib</w:t>
      </w:r>
      <w:r>
        <w:t xml:space="preserve">, it functions as an engine-agnostic host capable of supporting diverse agent technologies, provided they adhere to the fundamental interaction protocols defined within this document. Operating in tandem with this deployment layer is the</w:t>
      </w:r>
      <w:r>
        <w:t xml:space="preserve"> </w:t>
      </w:r>
      <w:r>
        <w:rPr>
          <w:b/>
          <w:bCs/>
        </w:rPr>
        <w:t xml:space="preserve">LLM Proxy</w:t>
      </w:r>
      <w:r>
        <w:t xml:space="preserve">, a generic gateway for Large Language Models that provides an OpenAI-compatible interface. This component is critical for production-grade deployments, as it augments raw model access with essential runtime functionalities, including observability, granular configurability, safety guardrails, cost management, and comprehensive audit logs.</w:t>
      </w:r>
      <w:r>
        <w:br/>
      </w:r>
      <w:r>
        <w:t xml:space="preserve">Building upon this infrastructure, the</w:t>
      </w:r>
      <w:r>
        <w:t xml:space="preserve"> </w:t>
      </w:r>
      <w:r>
        <w:rPr>
          <w:b/>
          <w:bCs/>
        </w:rPr>
        <w:t xml:space="preserve">AchillesAgentLib</w:t>
      </w:r>
      <w:r>
        <w:t xml:space="preserve"> </w:t>
      </w:r>
      <w:r>
        <w:t xml:space="preserve">provides the core framework for agent development through three primary sub-components. The</w:t>
      </w:r>
      <w:r>
        <w:t xml:space="preserve"> </w:t>
      </w:r>
      <w:r>
        <w:rPr>
          <w:b/>
          <w:bCs/>
        </w:rPr>
        <w:t xml:space="preserve">LLMAgents</w:t>
      </w:r>
      <w:r>
        <w:t xml:space="preserve"> </w:t>
      </w:r>
      <w:r>
        <w:t xml:space="preserve">module acts as a versatile adapter for model communication, supporting both completion and streaming APIs either directly or through the LLM Proxy using standardized API keys. Higher-level agentic reasoning is managed via</w:t>
      </w:r>
      <w:r>
        <w:t xml:space="preserve"> </w:t>
      </w:r>
      <w:r>
        <w:rPr>
          <w:b/>
          <w:bCs/>
        </w:rPr>
        <w:t xml:space="preserve">Agentic Sessions</w:t>
      </w:r>
      <w:r>
        <w:t xml:space="preserve">—specifically</w:t>
      </w:r>
      <w:r>
        <w:t xml:space="preserve"> </w:t>
      </w:r>
      <w:r>
        <w:rPr>
          <w:b/>
          <w:bCs/>
        </w:rPr>
        <w:t xml:space="preserve">Loop Sessions</w:t>
      </w:r>
      <w:r>
        <w:t xml:space="preserve"> </w:t>
      </w:r>
      <w:r>
        <w:t xml:space="preserve">and</w:t>
      </w:r>
      <w:r>
        <w:t xml:space="preserve"> </w:t>
      </w:r>
      <w:r>
        <w:rPr>
          <w:b/>
          <w:bCs/>
        </w:rPr>
        <w:t xml:space="preserve">SOP Lang Sessions</w:t>
      </w:r>
      <w:r>
        <w:t xml:space="preserve">—which implement the</w:t>
      </w:r>
      <w:r>
        <w:t xml:space="preserve"> </w:t>
      </w:r>
      <w:r>
        <w:rPr>
          <w:b/>
          <w:bCs/>
        </w:rPr>
        <w:t xml:space="preserve">ReAct (Reason+Act)</w:t>
      </w:r>
      <w:r>
        <w:t xml:space="preserve"> </w:t>
      </w:r>
      <w:r>
        <w:t xml:space="preserve">pattern, allowing agents to utilize tools for planning and executing high-complexity tasks. A pivotal distinction in the Achilles ecosystem is the replacement of traditional</w:t>
      </w:r>
      <w:r>
        <w:t xml:space="preserve"> </w:t>
      </w:r>
      <w:r>
        <w:t xml:space="preserve">“tools”</w:t>
      </w:r>
      <w:r>
        <w:t xml:space="preserve"> </w:t>
      </w:r>
      <w:r>
        <w:t xml:space="preserve">with the concept of</w:t>
      </w:r>
      <w:r>
        <w:t xml:space="preserve"> </w:t>
      </w:r>
      <w:r>
        <w:rPr>
          <w:b/>
          <w:bCs/>
        </w:rPr>
        <w:t xml:space="preserve">“Skills.”</w:t>
      </w:r>
      <w:r>
        <w:t xml:space="preserve"> </w:t>
      </w:r>
      <w:r>
        <w:t xml:space="preserve">Unlike standard tools that require formal, structured inputs (such as JSON or CLI commands), an Achilles Skill receives a natural language string as context, assuming internal responsibility for parsing its own parameters and orchestrating the necessary sub-tools to complete its objective. These are categorized into</w:t>
      </w:r>
      <w:r>
        <w:t xml:space="preserve"> </w:t>
      </w:r>
      <w:r>
        <w:rPr>
          <w:b/>
          <w:bCs/>
        </w:rPr>
        <w:t xml:space="preserve">Orchestration Skills</w:t>
      </w:r>
      <w:r>
        <w:t xml:space="preserve">, which manage other modules;</w:t>
      </w:r>
      <w:r>
        <w:t xml:space="preserve"> </w:t>
      </w:r>
      <w:r>
        <w:rPr>
          <w:b/>
          <w:bCs/>
        </w:rPr>
        <w:t xml:space="preserve">DB Table Skills</w:t>
      </w:r>
      <w:r>
        <w:t xml:space="preserve">, for structured data operations;</w:t>
      </w:r>
      <w:r>
        <w:t xml:space="preserve"> </w:t>
      </w:r>
      <w:r>
        <w:rPr>
          <w:b/>
          <w:bCs/>
        </w:rPr>
        <w:t xml:space="preserve">C-Skills</w:t>
      </w:r>
      <w:r>
        <w:t xml:space="preserve">, based on static, validated code; and</w:t>
      </w:r>
      <w:r>
        <w:t xml:space="preserve"> </w:t>
      </w:r>
      <w:r>
        <w:rPr>
          <w:b/>
          <w:bCs/>
        </w:rPr>
        <w:t xml:space="preserve">G-Skills</w:t>
      </w:r>
      <w:r>
        <w:t xml:space="preserve">, which dynamically generate their own execution logic. The primary implementation pattern for these capabilities is the</w:t>
      </w:r>
      <w:r>
        <w:t xml:space="preserve"> </w:t>
      </w:r>
      <w:r>
        <w:rPr>
          <w:b/>
          <w:bCs/>
        </w:rPr>
        <w:t xml:space="preserve">RecursiveSkilledAgent</w:t>
      </w:r>
      <w:r>
        <w:t xml:space="preserve">, which is designed to load skill descriptors and autonomously manage the recursive orchestration of complex behaviors.</w:t>
      </w:r>
      <w:r>
        <w:br/>
      </w:r>
      <w:r>
        <w:t xml:space="preserve">The architectural stack ascends into the</w:t>
      </w:r>
      <w:r>
        <w:t xml:space="preserve"> </w:t>
      </w:r>
      <w:r>
        <w:rPr>
          <w:b/>
          <w:bCs/>
        </w:rPr>
        <w:t xml:space="preserve">SymbolicText</w:t>
      </w:r>
      <w:r>
        <w:t xml:space="preserve"> </w:t>
      </w:r>
      <w:r>
        <w:t xml:space="preserve">layer, a research-intensive domain focused on augmenting probabilistic LLM outputs with symbolic reasoning to enhance reliability and mitigate hallucinations. This layer is anchored by two experimental components:</w:t>
      </w:r>
      <w:r>
        <w:t xml:space="preserve"> </w:t>
      </w:r>
      <w:r>
        <w:rPr>
          <w:b/>
          <w:bCs/>
        </w:rPr>
        <w:t xml:space="preserve">VSALib</w:t>
      </w:r>
      <w:r>
        <w:t xml:space="preserve"> </w:t>
      </w:r>
      <w:r>
        <w:t xml:space="preserve">and the</w:t>
      </w:r>
      <w:r>
        <w:t xml:space="preserve"> </w:t>
      </w:r>
      <w:r>
        <w:rPr>
          <w:b/>
          <w:bCs/>
        </w:rPr>
        <w:t xml:space="preserve">MRP-VM</w:t>
      </w:r>
      <w:r>
        <w:t xml:space="preserve">.</w:t>
      </w:r>
      <w:r>
        <w:t xml:space="preserve"> </w:t>
      </w:r>
      <w:r>
        <w:rPr>
          <w:b/>
          <w:bCs/>
        </w:rPr>
        <w:t xml:space="preserve">VSALib</w:t>
      </w:r>
      <w:r>
        <w:t xml:space="preserve"> </w:t>
      </w:r>
      <w:r>
        <w:t xml:space="preserve">implements algorithms based on</w:t>
      </w:r>
      <w:r>
        <w:t xml:space="preserve"> </w:t>
      </w:r>
      <w:r>
        <w:rPr>
          <w:b/>
          <w:bCs/>
        </w:rPr>
        <w:t xml:space="preserve">Vector Symbolic Architectures (VSA)</w:t>
      </w:r>
      <w:r>
        <w:t xml:space="preserve">—also known as</w:t>
      </w:r>
      <w:r>
        <w:t xml:space="preserve"> </w:t>
      </w:r>
      <w:r>
        <w:rPr>
          <w:b/>
          <w:bCs/>
        </w:rPr>
        <w:t xml:space="preserve">Hyperdimensional Computing (HDC)</w:t>
      </w:r>
      <w:r>
        <w:t xml:space="preserve"> </w:t>
      </w:r>
      <w:r>
        <w:t xml:space="preserve">or</w:t>
      </w:r>
      <w:r>
        <w:t xml:space="preserve"> </w:t>
      </w:r>
      <w:r>
        <w:rPr>
          <w:b/>
          <w:bCs/>
        </w:rPr>
        <w:t xml:space="preserve">Holographic Reduced Representations (HRR)</w:t>
      </w:r>
      <w:r>
        <w:t xml:space="preserve">—which represent information as high-dimensional vectors to allow for efficient, transparent symbolic manipulation. Complementing this is the</w:t>
      </w:r>
      <w:r>
        <w:t xml:space="preserve"> </w:t>
      </w:r>
      <w:r>
        <w:rPr>
          <w:b/>
          <w:bCs/>
        </w:rPr>
        <w:t xml:space="preserve">MRP-VM (Meta-Rational Pragmatics Virtual Machine)</w:t>
      </w:r>
      <w:r>
        <w:t xml:space="preserve">, which facilitates the translation of natural language into a formal</w:t>
      </w:r>
      <w:r>
        <w:t xml:space="preserve"> </w:t>
      </w:r>
      <w:r>
        <w:rPr>
          <w:b/>
          <w:bCs/>
        </w:rPr>
        <w:t xml:space="preserve">Intermediate Representation (IR)</w:t>
      </w:r>
      <w:r>
        <w:t xml:space="preserve">. This IR is subsequently manipulated through neuro-symbolic pragmatics to ensure that agent actions remain logically consistent and goal-aligned. While these components are currently in the prototyping phase, they represent the long-term focus of the Achilles project. The architecture concludes at the highest level with application-specific skills tailored for the use cases of</w:t>
      </w:r>
      <w:r>
        <w:t xml:space="preserve"> </w:t>
      </w:r>
      <w:r>
        <w:rPr>
          <w:b/>
          <w:bCs/>
        </w:rPr>
        <w:t xml:space="preserve">WP6</w:t>
      </w:r>
      <w:r>
        <w:t xml:space="preserve"> </w:t>
      </w:r>
      <w:r>
        <w:t xml:space="preserve">and</w:t>
      </w:r>
      <w:r>
        <w:t xml:space="preserve"> </w:t>
      </w:r>
      <w:r>
        <w:rPr>
          <w:b/>
          <w:bCs/>
        </w:rPr>
        <w:t xml:space="preserve">WP7</w:t>
      </w:r>
      <w:r>
        <w:t xml:space="preserve">, which function as the practical implementation of the underlying architectural principles for specialized tasks.</w:t>
      </w:r>
      <w:r>
        <w:br/>
      </w:r>
      <w:r>
        <w:t xml:space="preserve">In this document we do not go into detail on the “Multi Agent Choreographies” layer. Although executable dialogues and choreographies have consistently remained on our list of long term interests and we have discussed them in earlier project writing (see the dedicated project article on executable choreographies for agents [CITATION]), at month 18 our efforts have been concentrated on other parts of the stack that were more urgent to stabilize and validate in software. We nevertheless expect this topic to become substantially more concrete toward the end of the project, when industry practices and standards around multi agent systems will likely be clearer and we will have stronger empirical evidence to decide how far it makes sense to separate skill orchestration from higher level choreography layers, understood as custom executable protocols for structured interactions between AI agents.</w:t>
      </w:r>
      <w:r>
        <w:br/>
      </w:r>
      <w:r>
        <w:t xml:space="preserve">Our current hypothesis is that, as the number of agents increases, explicit “executable choreographies” will become increasingly difficult to avoid. In many deployments they may play a role analogous to legal contracts between people and organizations: they constrain acceptable interaction patterns, clarify responsibilities, and make violations detectable. Earlier insights suggest a plausible path toward improved security and rule compliance through executable choreographies that can be expressed either as agent oriented smart contracts or as conventional code with strong static verification properties. Such choreographies would enable global analysis of emergent behavior across multiple independent agents and would support mechanisms by which compliant agents can detect, localize, and respond to deviations from accepted behavior, including deviations produced by malfunctioning or malicious agents.</w:t>
      </w:r>
    </w:p>
    <w:bookmarkEnd w:id="26"/>
    <w:bookmarkStart w:id="27" w:name="agentic-paradigms:-loops-and-skills"/>
    <w:p>
      <w:pPr>
        <w:pStyle w:val="Heading2"/>
      </w:pPr>
      <w:r>
        <w:rPr>
          <w:b/>
          <w:bCs/>
        </w:rPr>
        <w:t xml:space="preserve">Agentic Paradigms: Loops and Skills</w:t>
      </w:r>
    </w:p>
    <w:p>
      <w:pPr>
        <w:pStyle w:val="FirstParagraph"/>
      </w:pPr>
      <w:r>
        <w:t xml:space="preserve">Most multi-agent systems in contemporary literature and industry practice can be described as loop-based orchestrations: an agent observes a state, deliberates, acts by calling tools, observes outcomes, and repeats [1]. ReAct-like patterns crystallized a useful principle by explicitly interleaving reasoning and acting, but they also highlighted the cost of repeated deliberation when each iteration consumes an increasingly large context [1]. Our efforts in Achilles project treats the loop as an execution object that can be optimized, rather than as an emergent behavior that must be tolerated.</w:t>
      </w:r>
      <w:r>
        <w:br/>
      </w:r>
      <w:r>
        <w:t xml:space="preserve">The central abstraction enabling this optimization is the skill. In industry, a “tool” typically denotes a single capability invoked by an LLM through a fixed schema, often treated as an external function call. In our environment, a skill generalizes this notion by being a deployable execution unit that receives inputs as strings, is responsible for parsing and validation, and may internally choose between deterministic parsing (e.g., regular expressions, simple grammars) and LLM-based parsing when ambiguity is unavoidable. This design decision shifts fragility away from the orchestrator and into modular units that can be tested, versioned, and hardened. It also makes skills suitable as building blocks across domains, since they can encapsulate domain-specific semantics without forcing the global planning language to grow complex.</w:t>
      </w:r>
      <w:r>
        <w:br/>
      </w:r>
      <w:r>
        <w:t xml:space="preserve">The distinctive element in our approach is to treat a skill as a bounded sub-agent when appropriate: a skill may maintain its own constrained working context, apply specialized prompting policies, and call secondary tools through a connector layer (including MCP-style tool mediation or equivalent adapters), while remaining accountable to the parent environment for inputs, outputs, and budgets. This enables two complementary effects. On the one hand, the parent agent remains high-level and general, focusing on planning and the management of versionable artifacts. On the other hand, specialized capabilities are achieved without creating a proliferation of bespoke agents, because skills themselves can host narrowly scoped agentic behaviors under strict interface control.</w:t>
      </w:r>
      <w:r>
        <w:br/>
      </w:r>
      <w:r>
        <w:t xml:space="preserve">SOP Lang Plan operationalizes these ideas by expressing an episode as explicit skill invocations linked by variable dependencies. The environment compiles such a plan into a dependency graph, executes it by topological order, projects only the variables relevant to each invocation, and supports localized replanning when a step fails or new information invalidates downstream nodes. This preserves the pragmatic strengths of loop-based agentic behavior while reducing repeated global deliberation and enabling deterministic audit of what was executed.</w:t>
      </w:r>
    </w:p>
    <w:p>
      <w:pPr>
        <w:pStyle w:val="BodyText"/>
      </w:pPr>
      <w:r>
        <w:t xml:space="preserve">Usually, the main reason for replanning is execution errors; however, there are also specific verification/review skills that can trigger errors and signal the need to replan. In general, if the plan and SOP prompt in skill are well-defined, we want to minimize these occurrences.</w:t>
      </w:r>
    </w:p>
    <w:bookmarkEnd w:id="27"/>
    <w:bookmarkStart w:id="28" w:name="the-code-mirroring-pattern"/>
    <w:p>
      <w:pPr>
        <w:pStyle w:val="Heading2"/>
      </w:pPr>
      <w:r>
        <w:rPr>
          <w:b/>
          <w:bCs/>
        </w:rPr>
        <w:t xml:space="preserve">The Code Mirroring Pattern</w:t>
      </w:r>
    </w:p>
    <w:bookmarkEnd w:id="28"/>
    <w:bookmarkStart w:id="29" w:name="section-1"/>
    <w:p>
      <w:pPr>
        <w:pStyle w:val="Heading2"/>
      </w:pPr>
    </w:p>
    <w:bookmarkEnd w:id="29"/>
    <w:bookmarkStart w:id="33" w:name="ploinky-agents"/>
    <w:p>
      <w:pPr>
        <w:pStyle w:val="Heading2"/>
      </w:pPr>
      <w:r>
        <w:rPr>
          <w:b/>
          <w:bCs/>
        </w:rPr>
        <w:t xml:space="preserve">Ploinky Agents</w:t>
      </w:r>
    </w:p>
    <w:p>
      <w:pPr>
        <w:pStyle w:val="FirstParagraph"/>
      </w:pPr>
      <w:r>
        <w:t xml:space="preserve">Ploinky is the deployment layer for Achilles IDE, Achilles Copilot, and any agent developed with our technologies. It is a security- and operations-oriented packaging and runtime model designed to run agents and agent skills as composable execution units with explicit boundaries.</w:t>
      </w:r>
      <w:r>
        <w:br/>
      </w:r>
      <w:r>
        <w:t xml:space="preserve">Throughout the development of the Achilles project, we have validated an engineering reality that consistently appears in evaluation suites and daily use: multi-agent systems fail operationally less often because the LLM is “not capable enough,” and more often because execution is unconstrained (cost, permissions, side effects), difficult to reproduce, and hard to defend when repositories, networks, build tools, and secrets are involved. Ploinky is the mechanism that transforms “agentic work” into a deployable, governed asset across heterogeneous environments—from developer machines to CI to production.</w:t>
      </w:r>
      <w:r>
        <w:br/>
      </w:r>
      <w:r>
        <w:t xml:space="preserve">As a lightweight, agent-centric alternative to general-purpose orchestration stacks (like Kubernetes), Ploinky borrows the core concept of containerized isolation but optimizes for the agent lifecycle, rapid composition, and a uniform security posture. In practical terms, Ploinky runs each enabled agent in an isolated Linux container and exposes it through a local routing layer. By keeping configuration strictly scoped to a project workspace (a local .ploinky directory) and avoiding system-wide state, Ploinky ensures the deployment surface is portable and predictable, while remaining simple enough to serve as the default workflow for researchers and developers alike.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Concept (Ploinky)</w:t>
            </w:r>
          </w:p>
        </w:tc>
        <w:tc>
          <w:tcPr/>
          <w:p>
            <w:pPr>
              <w:pStyle w:val="Compact"/>
              <w:jc w:val="left"/>
            </w:pPr>
            <w:r>
              <w:t xml:space="preserve">Practical meaning in deployment</w:t>
            </w:r>
          </w:p>
        </w:tc>
        <w:tc>
          <w:tcPr/>
          <w:p>
            <w:pPr>
              <w:pStyle w:val="Compact"/>
              <w:jc w:val="left"/>
            </w:pPr>
            <w:r>
              <w:t xml:space="preserve">Why it matters for multi-agent systems</w:t>
            </w:r>
          </w:p>
        </w:tc>
      </w:tr>
      <w:tr>
        <w:tc>
          <w:tcPr/>
          <w:p>
            <w:pPr>
              <w:pStyle w:val="Compact"/>
              <w:jc w:val="left"/>
            </w:pPr>
            <w:r>
              <w:t xml:space="preserve">Agent container</w:t>
            </w:r>
          </w:p>
        </w:tc>
        <w:tc>
          <w:tcPr/>
          <w:p>
            <w:pPr>
              <w:pStyle w:val="Compact"/>
              <w:jc w:val="left"/>
            </w:pPr>
            <w:r>
              <w:t xml:space="preserve">One container per agent, with its own network/process namespace and controlled mounts</w:t>
            </w:r>
          </w:p>
        </w:tc>
        <w:tc>
          <w:tcPr/>
          <w:p>
            <w:pPr>
              <w:pStyle w:val="Compact"/>
              <w:jc w:val="left"/>
            </w:pPr>
            <w:r>
              <w:t xml:space="preserve">Enforces an isolation boundary and makes the blast radius explicit when agents execute code or invoke tools</w:t>
            </w:r>
          </w:p>
        </w:tc>
      </w:tr>
      <w:tr>
        <w:tc>
          <w:tcPr/>
          <w:p>
            <w:pPr>
              <w:pStyle w:val="Compact"/>
              <w:jc w:val="left"/>
            </w:pPr>
            <w:r>
              <w:t xml:space="preserve">Workspace scope</w:t>
            </w:r>
          </w:p>
        </w:tc>
        <w:tc>
          <w:tcPr/>
          <w:p>
            <w:pPr>
              <w:pStyle w:val="Compact"/>
              <w:jc w:val="left"/>
            </w:pPr>
            <w:r>
              <w:t xml:space="preserve">A per-project “.ploinky” directory that stores registries, routing config, logs, and secrets</w:t>
            </w:r>
          </w:p>
        </w:tc>
        <w:tc>
          <w:tcPr/>
          <w:p>
            <w:pPr>
              <w:pStyle w:val="Compact"/>
              <w:jc w:val="left"/>
            </w:pPr>
            <w:r>
              <w:t xml:space="preserve">Preserves reproducibility and avoids accidental global coupling across projects or teams</w:t>
            </w:r>
          </w:p>
        </w:tc>
      </w:tr>
      <w:tr>
        <w:tc>
          <w:tcPr/>
          <w:p>
            <w:pPr>
              <w:pStyle w:val="Compact"/>
              <w:jc w:val="left"/>
            </w:pPr>
            <w:r>
              <w:t xml:space="preserve">Repository system</w:t>
            </w:r>
          </w:p>
        </w:tc>
        <w:tc>
          <w:tcPr/>
          <w:p>
            <w:pPr>
              <w:pStyle w:val="Compact"/>
              <w:jc w:val="left"/>
            </w:pPr>
            <w:r>
              <w:t xml:space="preserve">Agents are grouped into repositories that can be added, enabled, disabled, and updated</w:t>
            </w:r>
          </w:p>
        </w:tc>
        <w:tc>
          <w:tcPr/>
          <w:p>
            <w:pPr>
              <w:pStyle w:val="Compact"/>
              <w:jc w:val="left"/>
            </w:pPr>
            <w:r>
              <w:t xml:space="preserve">Enables rapid rollout and rollback of agent sets; supports “agent marketplaces” without losing governance</w:t>
            </w:r>
          </w:p>
        </w:tc>
      </w:tr>
      <w:tr>
        <w:tc>
          <w:tcPr/>
          <w:p>
            <w:pPr>
              <w:pStyle w:val="Compact"/>
              <w:jc w:val="left"/>
            </w:pPr>
            <w:r>
              <w:t xml:space="preserve">Routing server</w:t>
            </w:r>
          </w:p>
        </w:tc>
        <w:tc>
          <w:tcPr/>
          <w:p>
            <w:pPr>
              <w:pStyle w:val="Compact"/>
              <w:jc w:val="left"/>
            </w:pPr>
            <w:r>
              <w:t xml:space="preserve">Reverse proxy that maps stable endpoints to the currently running agent containers</w:t>
            </w:r>
          </w:p>
        </w:tc>
        <w:tc>
          <w:tcPr/>
          <w:p>
            <w:pPr>
              <w:pStyle w:val="Compact"/>
              <w:jc w:val="left"/>
            </w:pPr>
            <w:r>
              <w:t xml:space="preserve">Separates integration from container churn; keeps client wiring stable</w:t>
            </w:r>
          </w:p>
        </w:tc>
      </w:tr>
      <w:tr>
        <w:tc>
          <w:tcPr/>
          <w:p>
            <w:pPr>
              <w:pStyle w:val="Compact"/>
              <w:jc w:val="left"/>
            </w:pPr>
            <w:r>
              <w:t xml:space="preserve">Web interfaces</w:t>
            </w:r>
          </w:p>
        </w:tc>
        <w:tc>
          <w:tcPr/>
          <w:p>
            <w:pPr>
              <w:pStyle w:val="Compact"/>
              <w:jc w:val="left"/>
            </w:pPr>
            <w:r>
              <w:t xml:space="preserve">WebConsole/WebTTY, WebChat, Dashboard, WebMeet exposed through the router with token gating</w:t>
            </w:r>
          </w:p>
        </w:tc>
        <w:tc>
          <w:tcPr/>
          <w:p>
            <w:pPr>
              <w:pStyle w:val="Compact"/>
              <w:jc w:val="left"/>
            </w:pPr>
            <w:r>
              <w:t xml:space="preserve">Provides consistent human-in-the-loop access and debugging without weakening isolation</w:t>
            </w:r>
          </w:p>
        </w:tc>
      </w:tr>
    </w:tbl>
    <w:p>
      <w:pPr>
        <w:pStyle w:val="BodyText"/>
      </w:pPr>
      <w:r>
        <w:t xml:space="preserve">The deployment contract in Ploinky is implemented through two coupled artifacts: a manifest that describes how the agent is built and run, and a capability profile that constrains how the agent can interact with the outside world. The manifest (manifest.json) is intentionally minimal: container image, install/update commands, a CLI command (interactive usage), a service/agent command (API usage), descriptive metadata, and declared environment variables. This “manifest-first” approach is the foundation for portability: the same agent package can be activated in development, validated in CI, and promoted to production without rewriting the operational wiring.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Manifest field</w:t>
            </w:r>
          </w:p>
        </w:tc>
        <w:tc>
          <w:tcPr/>
          <w:p>
            <w:pPr>
              <w:pStyle w:val="Compact"/>
              <w:jc w:val="left"/>
            </w:pPr>
            <w:r>
              <w:t xml:space="preserve">Operational role</w:t>
            </w:r>
          </w:p>
        </w:tc>
        <w:tc>
          <w:tcPr/>
          <w:p>
            <w:pPr>
              <w:pStyle w:val="Compact"/>
              <w:jc w:val="left"/>
            </w:pPr>
            <w:r>
              <w:t xml:space="preserve">Deployment implication</w:t>
            </w:r>
          </w:p>
        </w:tc>
      </w:tr>
      <w:tr>
        <w:tc>
          <w:tcPr/>
          <w:p>
            <w:pPr>
              <w:pStyle w:val="Compact"/>
              <w:jc w:val="left"/>
            </w:pPr>
            <w:r>
              <w:t xml:space="preserve">container</w:t>
            </w:r>
          </w:p>
        </w:tc>
        <w:tc>
          <w:tcPr/>
          <w:p>
            <w:pPr>
              <w:pStyle w:val="Compact"/>
              <w:jc w:val="left"/>
            </w:pPr>
            <w:r>
              <w:t xml:space="preserve">Declares the base runtime image (Docker/Podman supported)</w:t>
            </w:r>
          </w:p>
        </w:tc>
        <w:tc>
          <w:tcPr/>
          <w:p>
            <w:pPr>
              <w:pStyle w:val="Compact"/>
              <w:jc w:val="left"/>
            </w:pPr>
            <w:r>
              <w:t xml:space="preserve">Reproducible runtime assumptions; consistent execution across hosts</w:t>
            </w:r>
          </w:p>
        </w:tc>
      </w:tr>
      <w:tr>
        <w:tc>
          <w:tcPr/>
          <w:p>
            <w:pPr>
              <w:pStyle w:val="Compact"/>
              <w:jc w:val="left"/>
            </w:pPr>
            <w:r>
              <w:t xml:space="preserve">install / update</w:t>
            </w:r>
          </w:p>
        </w:tc>
        <w:tc>
          <w:tcPr/>
          <w:p>
            <w:pPr>
              <w:pStyle w:val="Compact"/>
              <w:jc w:val="left"/>
            </w:pPr>
            <w:r>
              <w:t xml:space="preserve">Declares deterministic build/update steps</w:t>
            </w:r>
          </w:p>
        </w:tc>
        <w:tc>
          <w:tcPr/>
          <w:p>
            <w:pPr>
              <w:pStyle w:val="Compact"/>
              <w:jc w:val="left"/>
            </w:pPr>
            <w:r>
              <w:t xml:space="preserve">Repeatable provisioning and controlled upgrades</w:t>
            </w:r>
          </w:p>
        </w:tc>
      </w:tr>
      <w:tr>
        <w:tc>
          <w:tcPr/>
          <w:p>
            <w:pPr>
              <w:pStyle w:val="Compact"/>
              <w:jc w:val="left"/>
            </w:pPr>
            <w:r>
              <w:t xml:space="preserve">cli</w:t>
            </w:r>
          </w:p>
        </w:tc>
        <w:tc>
          <w:tcPr/>
          <w:p>
            <w:pPr>
              <w:pStyle w:val="Compact"/>
              <w:jc w:val="left"/>
            </w:pPr>
            <w:r>
              <w:t xml:space="preserve">Declares an interactive entry point</w:t>
            </w:r>
          </w:p>
        </w:tc>
        <w:tc>
          <w:tcPr/>
          <w:p>
            <w:pPr>
              <w:pStyle w:val="Compact"/>
              <w:jc w:val="left"/>
            </w:pPr>
            <w:r>
              <w:t xml:space="preserve">Standardizes local debugging and human-in-the-loop workflows</w:t>
            </w:r>
          </w:p>
        </w:tc>
      </w:tr>
      <w:tr>
        <w:tc>
          <w:tcPr/>
          <w:p>
            <w:pPr>
              <w:pStyle w:val="Compact"/>
              <w:jc w:val="left"/>
            </w:pPr>
            <w:r>
              <w:t xml:space="preserve">agent</w:t>
            </w:r>
          </w:p>
        </w:tc>
        <w:tc>
          <w:tcPr/>
          <w:p>
            <w:pPr>
              <w:pStyle w:val="Compact"/>
              <w:jc w:val="left"/>
            </w:pPr>
            <w:r>
              <w:t xml:space="preserve">Declares a service entry point (HTTP/API)</w:t>
            </w:r>
          </w:p>
        </w:tc>
        <w:tc>
          <w:tcPr/>
          <w:p>
            <w:pPr>
              <w:pStyle w:val="Compact"/>
              <w:jc w:val="left"/>
            </w:pPr>
            <w:r>
              <w:t xml:space="preserve">Standardizes integration and allows routing/proxy enforcement</w:t>
            </w:r>
          </w:p>
        </w:tc>
      </w:tr>
      <w:tr>
        <w:tc>
          <w:tcPr/>
          <w:p>
            <w:pPr>
              <w:pStyle w:val="Compact"/>
              <w:jc w:val="left"/>
            </w:pPr>
            <w:r>
              <w:t xml:space="preserve">env</w:t>
            </w:r>
          </w:p>
        </w:tc>
        <w:tc>
          <w:tcPr/>
          <w:p>
            <w:pPr>
              <w:pStyle w:val="Compact"/>
              <w:jc w:val="left"/>
            </w:pPr>
            <w:r>
              <w:t xml:space="preserve">Declares required variables</w:t>
            </w:r>
          </w:p>
        </w:tc>
        <w:tc>
          <w:tcPr/>
          <w:p>
            <w:pPr>
              <w:pStyle w:val="Compact"/>
              <w:jc w:val="left"/>
            </w:pPr>
            <w:r>
              <w:t xml:space="preserve">Explicit interface for configuration and secret exposure control</w:t>
            </w:r>
          </w:p>
        </w:tc>
      </w:tr>
    </w:tbl>
    <w:p>
      <w:pPr>
        <w:pStyle w:val="BodyText"/>
      </w:pPr>
      <w:r>
        <w:t xml:space="preserve">The capability profile is the security lens applied to those manifests. In Ploinky, we treat the isolation boundary as the default state, then allow precisely mediated escape hatches through resource adapters. The key idea is to decouple “what a skill/agent needs logically” from “what the environment will actually allow physically”. A resource adapter is the controlled mechanism through which an execution unit can access a class of resources—filesystem paths, repository checkouts, network egress, build tools, or credentials—under policy. This is where deployment becomes defensible: the environment mediates access rather than assuming trust.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Security primitive</w:t>
            </w:r>
          </w:p>
        </w:tc>
        <w:tc>
          <w:tcPr/>
          <w:p>
            <w:pPr>
              <w:pStyle w:val="Compact"/>
              <w:jc w:val="left"/>
            </w:pPr>
            <w:r>
              <w:t xml:space="preserve">Ploinky mechanism</w:t>
            </w:r>
          </w:p>
        </w:tc>
        <w:tc>
          <w:tcPr/>
          <w:p>
            <w:pPr>
              <w:pStyle w:val="Compact"/>
              <w:jc w:val="left"/>
            </w:pPr>
            <w:r>
              <w:t xml:space="preserve">Intended guarantee</w:t>
            </w:r>
          </w:p>
        </w:tc>
      </w:tr>
      <w:tr>
        <w:tc>
          <w:tcPr/>
          <w:p>
            <w:pPr>
              <w:pStyle w:val="Compact"/>
              <w:jc w:val="left"/>
            </w:pPr>
            <w:r>
              <w:t xml:space="preserve">Isolation boundary</w:t>
            </w:r>
          </w:p>
        </w:tc>
        <w:tc>
          <w:tcPr/>
          <w:p>
            <w:pPr>
              <w:pStyle w:val="Compact"/>
              <w:jc w:val="left"/>
            </w:pPr>
            <w:r>
              <w:t xml:space="preserve">One agent per container; workspace-scoped mounts; separate namespaces</w:t>
            </w:r>
          </w:p>
        </w:tc>
        <w:tc>
          <w:tcPr/>
          <w:p>
            <w:pPr>
              <w:pStyle w:val="Compact"/>
              <w:jc w:val="left"/>
            </w:pPr>
            <w:r>
              <w:t xml:space="preserve">Untrusted code runs without implicit host privileges; containment by default</w:t>
            </w:r>
          </w:p>
        </w:tc>
      </w:tr>
      <w:tr>
        <w:tc>
          <w:tcPr/>
          <w:p>
            <w:pPr>
              <w:pStyle w:val="Compact"/>
              <w:jc w:val="left"/>
            </w:pPr>
            <w:r>
              <w:t xml:space="preserve">Secret exposure control</w:t>
            </w:r>
          </w:p>
        </w:tc>
        <w:tc>
          <w:tcPr/>
          <w:p>
            <w:pPr>
              <w:pStyle w:val="Compact"/>
              <w:jc w:val="left"/>
            </w:pPr>
            <w:r>
              <w:t xml:space="preserve">Workspace secret store (“.ploinky/.secrets”), variable aliasing, explicit “expose” into agents</w:t>
            </w:r>
          </w:p>
        </w:tc>
        <w:tc>
          <w:tcPr/>
          <w:p>
            <w:pPr>
              <w:pStyle w:val="Compact"/>
              <w:jc w:val="left"/>
            </w:pPr>
            <w:r>
              <w:t xml:space="preserve">Least privilege: secrets are not ambient; injected intentionally and can be rotated</w:t>
            </w:r>
          </w:p>
        </w:tc>
      </w:tr>
      <w:tr>
        <w:tc>
          <w:tcPr/>
          <w:p>
            <w:pPr>
              <w:pStyle w:val="Compact"/>
              <w:jc w:val="left"/>
            </w:pPr>
            <w:r>
              <w:t xml:space="preserve">Web access control</w:t>
            </w:r>
          </w:p>
        </w:tc>
        <w:tc>
          <w:tcPr/>
          <w:p>
            <w:pPr>
              <w:pStyle w:val="Compact"/>
              <w:jc w:val="left"/>
            </w:pPr>
            <w:r>
              <w:t xml:space="preserve">Token-gated web UIs; session validation and websocket token checks</w:t>
            </w:r>
          </w:p>
        </w:tc>
        <w:tc>
          <w:tcPr/>
          <w:p>
            <w:pPr>
              <w:pStyle w:val="Compact"/>
              <w:jc w:val="left"/>
            </w:pPr>
            <w:r>
              <w:t xml:space="preserve">Interactive operations remain gated and inspectable; reduces accidental exposure</w:t>
            </w:r>
          </w:p>
        </w:tc>
      </w:tr>
      <w:tr>
        <w:tc>
          <w:tcPr/>
          <w:p>
            <w:pPr>
              <w:pStyle w:val="Compact"/>
              <w:jc w:val="left"/>
            </w:pPr>
            <w:r>
              <w:t xml:space="preserve">Controlled reset</w:t>
            </w:r>
          </w:p>
        </w:tc>
        <w:tc>
          <w:tcPr/>
          <w:p>
            <w:pPr>
              <w:pStyle w:val="Compact"/>
              <w:jc w:val="left"/>
            </w:pPr>
            <w:r>
              <w:t xml:space="preserve">Refresh/restart semantics for containers</w:t>
            </w:r>
          </w:p>
        </w:tc>
        <w:tc>
          <w:tcPr/>
          <w:p>
            <w:pPr>
              <w:pStyle w:val="Compact"/>
              <w:jc w:val="left"/>
            </w:pPr>
            <w:r>
              <w:t xml:space="preserve">Deterministic recovery from corrupted state; clean reruns when needed</w:t>
            </w:r>
          </w:p>
        </w:tc>
      </w:tr>
      <w:tr>
        <w:tc>
          <w:tcPr/>
          <w:p>
            <w:pPr>
              <w:pStyle w:val="Compact"/>
              <w:jc w:val="left"/>
            </w:pPr>
            <w:r>
              <w:t xml:space="preserve">Runtime neutrality</w:t>
            </w:r>
          </w:p>
        </w:tc>
        <w:tc>
          <w:tcPr/>
          <w:p>
            <w:pPr>
              <w:pStyle w:val="Compact"/>
              <w:jc w:val="left"/>
            </w:pPr>
            <w:r>
              <w:t xml:space="preserve">Docker/Podman detection and uniform lifecycle operations</w:t>
            </w:r>
          </w:p>
        </w:tc>
        <w:tc>
          <w:tcPr/>
          <w:p>
            <w:pPr>
              <w:pStyle w:val="Compact"/>
              <w:jc w:val="left"/>
            </w:pPr>
            <w:r>
              <w:t xml:space="preserve">Similar controls and reproducibility across heterogeneous host environments</w:t>
            </w:r>
          </w:p>
        </w:tc>
      </w:tr>
    </w:tbl>
    <w:p>
      <w:pPr>
        <w:pStyle w:val="BodyText"/>
      </w:pPr>
      <w:r>
        <w:t xml:space="preserve">A practical consequence of this model is that the same containment and mediation posture applies in development and in production. Developers are not given a “looser” environment that later breaks security assumptions in production; instead, development proceeds inside the same class of sandboxes and through the same adapter-driven access patterns. This reduces the common failure mode in agent systems where prototypes rely on ambient permissions (full filesystem, broad network, ad-hoc secrets) and then become non-deployable once controls are introduced.</w:t>
      </w:r>
    </w:p>
    <w:p>
      <w:pPr>
        <w:pStyle w:val="BodyText"/>
      </w:pPr>
      <w:r>
        <w:t xml:space="preserve">Ploinky’s repository system is a major asset for multi-agent operations. Agents live in repositories that can be enabled or disabled for discovery, and updated via standard git pulls, allowing teams to maintain curated sets of approved agents and roll them out quickly. The operational advantage is concrete: an approved agent set can be activated in a workspace in minutes, and the change surface remains explicit (repo version, manifest, secret exposure) rather than hidden in local machine 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Repository workflow element</w:t>
            </w:r>
          </w:p>
        </w:tc>
        <w:tc>
          <w:tcPr/>
          <w:p>
            <w:pPr>
              <w:pStyle w:val="Compact"/>
              <w:jc w:val="left"/>
            </w:pPr>
            <w:r>
              <w:t xml:space="preserve">What it enables</w:t>
            </w:r>
          </w:p>
        </w:tc>
        <w:tc>
          <w:tcPr/>
          <w:p>
            <w:pPr>
              <w:pStyle w:val="Compact"/>
              <w:jc w:val="left"/>
            </w:pPr>
            <w:r>
              <w:t xml:space="preserve">Operational benefit</w:t>
            </w:r>
          </w:p>
        </w:tc>
      </w:tr>
      <w:tr>
        <w:tc>
          <w:tcPr/>
          <w:p>
            <w:pPr>
              <w:pStyle w:val="Compact"/>
              <w:jc w:val="left"/>
            </w:pPr>
            <w:r>
              <w:t xml:space="preserve">add repo / enable repo / disable repo</w:t>
            </w:r>
          </w:p>
        </w:tc>
        <w:tc>
          <w:tcPr/>
          <w:p>
            <w:pPr>
              <w:pStyle w:val="Compact"/>
              <w:jc w:val="left"/>
            </w:pPr>
            <w:r>
              <w:t xml:space="preserve">Curated registries of agents; selective exposure per workspace</w:t>
            </w:r>
          </w:p>
        </w:tc>
        <w:tc>
          <w:tcPr/>
          <w:p>
            <w:pPr>
              <w:pStyle w:val="Compact"/>
              <w:jc w:val="left"/>
            </w:pPr>
            <w:r>
              <w:t xml:space="preserve">Governance: only approved agent sets are discoverable and runnable</w:t>
            </w:r>
          </w:p>
        </w:tc>
      </w:tr>
      <w:tr>
        <w:tc>
          <w:tcPr/>
          <w:p>
            <w:pPr>
              <w:pStyle w:val="Compact"/>
              <w:jc w:val="left"/>
            </w:pPr>
            <w:r>
              <w:t xml:space="preserve">enable agent modes (isolated/global/devel)</w:t>
            </w:r>
          </w:p>
        </w:tc>
        <w:tc>
          <w:tcPr/>
          <w:p>
            <w:pPr>
              <w:pStyle w:val="Compact"/>
              <w:jc w:val="left"/>
            </w:pPr>
            <w:r>
              <w:t xml:space="preserve">Controlled run locations for agents</w:t>
            </w:r>
          </w:p>
        </w:tc>
        <w:tc>
          <w:tcPr/>
          <w:p>
            <w:pPr>
              <w:pStyle w:val="Compact"/>
              <w:jc w:val="left"/>
            </w:pPr>
            <w:r>
              <w:t xml:space="preserve">Predictable filesystem coupling; development inside repos without breaking isolation</w:t>
            </w:r>
          </w:p>
        </w:tc>
      </w:tr>
      <w:tr>
        <w:tc>
          <w:tcPr/>
          <w:p>
            <w:pPr>
              <w:pStyle w:val="Compact"/>
              <w:jc w:val="left"/>
            </w:pPr>
            <w:r>
              <w:t xml:space="preserve">aliasing</w:t>
            </w:r>
          </w:p>
        </w:tc>
        <w:tc>
          <w:tcPr/>
          <w:p>
            <w:pPr>
              <w:pStyle w:val="Compact"/>
              <w:jc w:val="left"/>
            </w:pPr>
            <w:r>
              <w:t xml:space="preserve">Multiple instances of the same agent under distinct identities</w:t>
            </w:r>
          </w:p>
        </w:tc>
        <w:tc>
          <w:tcPr/>
          <w:p>
            <w:pPr>
              <w:pStyle w:val="Compact"/>
              <w:jc w:val="left"/>
            </w:pPr>
            <w:r>
              <w:t xml:space="preserve">Parallel experimentation and A/B evaluation without collisions</w:t>
            </w:r>
          </w:p>
        </w:tc>
      </w:tr>
    </w:tbl>
    <w:p>
      <w:pPr>
        <w:pStyle w:val="BodyText"/>
      </w:pPr>
      <w:r>
        <w:t xml:space="preserve">Operational control is reinforced by a routing layer that standardizes how agent services are exposed. Instead of letting each agent bind arbitrary ports directly to the host, the routing server proxies requests to the correct agent container, can serve static assets, and can handle large-file transfers via a blob API. This concentrates exposure points, simplifies observability, and reduces accidental network sprawl. For multi-agent environments, the router becomes the stable integration seam: clients interact with a predictable endpoint, while the underlying containers can be recreated, refreshed, and upgraded without changing client wiring.</w:t>
      </w:r>
    </w:p>
    <w:p>
      <w:pPr>
        <w:pStyle w:val="BodyText"/>
      </w:pPr>
      <w:r>
        <w:t xml:space="preserve">Traceability in deployment is treated as a first-class goal rather than an emergent property. By keeping workspace state local and structured (agent registry, routing config, pid files, logs, secrets, and container naming conventions derived from project/workspace identifiers), Ploinky provides practical traceability guarantees: what was enabled, what was started, where it ran, and through which declared environment interface it received configuration and secrets. In the first 18 months we found this to be the minimum viable substrate for defensible agent operations: without explicit boundaries, controlled secret exposure, and consistent container lifecycle management, downstream layers—LLM proxies, policy engines, or evaluation harnesses—have nothing stable to rely on.</w:t>
      </w:r>
    </w:p>
    <w:p>
      <w:pPr>
        <w:pStyle w:val="BodyText"/>
      </w:pPr>
      <w:r>
        <w:t xml:space="preserve">Within the vertically integrated Achilles stack described in T3.3, Ploinky is the foundational deployment level and is explicitly engine-agnostic: it hosts “agents” understood as tools/applications packaged for safe execution, not as a single framework tied to one LLM vendor or one agent library. This is what allows heterogeneous agent technologies to coexist behind the same operational contract. The practical payoff is direct: a multi-agent environment becomes deployable when it is governed like infrastructure—isolated by default, capability-limited by policy, reproducible through manifests, and operable through consistent routing and debugging surfaces. Ploinky is the layer that provides those properties for agents, with a footprint and cognitive cost closer to a developer toolchain than to a full Kubernetes-style platform.</w:t>
      </w:r>
    </w:p>
    <w:bookmarkStart w:id="30" w:name="architecture"/>
    <w:p>
      <w:pPr>
        <w:pStyle w:val="Heading3"/>
      </w:pPr>
      <w:r>
        <w:t xml:space="preserve">Architecture</w:t>
      </w:r>
    </w:p>
    <w:p>
      <w:pPr>
        <w:pStyle w:val="FirstParagraph"/>
      </w:pPr>
      <w:r>
        <w:t xml:space="preserve">Ploinky is organized as a vertically layered system in which each layer has a well-defined responsibility and communicates with its neighbors through explicit interfaces. The bottom layer is the</w:t>
      </w:r>
      <w:r>
        <w:t xml:space="preserve"> </w:t>
      </w:r>
      <w:r>
        <w:rPr>
          <w:b/>
          <w:bCs/>
        </w:rPr>
        <w:t xml:space="preserve">container runtime</w:t>
      </w:r>
      <w:r>
        <w:t xml:space="preserve">, which may be Docker or Podman; Ploinky detects the available runtime automatically and normalizes all lifecycle operations so that the layers above are agnostic to the specific engine. The next layer is the</w:t>
      </w:r>
      <w:r>
        <w:t xml:space="preserve"> </w:t>
      </w:r>
      <w:r>
        <w:rPr>
          <w:b/>
          <w:bCs/>
        </w:rPr>
        <w:t xml:space="preserve">service management layer</w:t>
      </w:r>
      <w:r>
        <w:t xml:space="preserve">, implemented in approximately 4,000 lines of JavaScript across the</w:t>
      </w:r>
      <w:r>
        <w:t xml:space="preserve"> </w:t>
      </w:r>
      <w:r>
        <w:rPr>
          <w:rStyle w:val="VerbatimChar"/>
        </w:rPr>
        <w:t xml:space="preserve">cli/services/</w:t>
      </w:r>
      <w:r>
        <w:t xml:space="preserve"> </w:t>
      </w:r>
      <w:r>
        <w:t xml:space="preserve">directory, which handles agent registration, dependency installation, secret injection, lifecycle hooks, profile resolution, workspace structure creation, and the translation of manifest declarations into concrete container configurations (images, mounts, port bindings, environment variables). Above this sits the</w:t>
      </w:r>
      <w:r>
        <w:t xml:space="preserve"> </w:t>
      </w:r>
      <w:r>
        <w:rPr>
          <w:b/>
          <w:bCs/>
        </w:rPr>
        <w:t xml:space="preserve">routing and API layer</w:t>
      </w:r>
      <w:r>
        <w:t xml:space="preserve">, centered on a Node.js HTTP server (</w:t>
      </w:r>
      <w:r>
        <w:rPr>
          <w:rStyle w:val="VerbatimChar"/>
        </w:rPr>
        <w:t xml:space="preserve">RoutingServer</w:t>
      </w:r>
      <w:r>
        <w:t xml:space="preserve">) that listens on a configurable port (default 8088), reverse-proxies requests to the correct agent container, manages authentication, serves web interfaces, and handles WebSocket upgrades for terminal and collaboration sessions. The topmost layer is the</w:t>
      </w:r>
      <w:r>
        <w:t xml:space="preserve"> </w:t>
      </w:r>
      <w:r>
        <w:rPr>
          <w:b/>
          <w:bCs/>
        </w:rPr>
        <w:t xml:space="preserve">user interface layer</w:t>
      </w:r>
      <w:r>
        <w:t xml:space="preserve">, comprising the interactive CLI shell, the WebTTY browser terminal, the WebChat conversational interface, the WebMeet collaborative workspace, and the Dashboard status panel. Each layer depends only on the one below it, and the agent containers themselves are unaware of the routing or CLI layers—they expose a standard MCP endpoint on their internal port and the environment handles everything else.</w:t>
      </w:r>
      <w:r>
        <w:t xml:space="preserve"> </w:t>
      </w:r>
      <w:r>
        <w:t xml:space="preserve">Inside each container, the</w:t>
      </w:r>
      <w:r>
        <w:t xml:space="preserve"> </w:t>
      </w:r>
      <w:r>
        <w:rPr>
          <w:b/>
          <w:bCs/>
        </w:rPr>
        <w:t xml:space="preserve">AgentServer</w:t>
      </w:r>
      <w:r>
        <w:t xml:space="preserve"> </w:t>
      </w:r>
      <w:r>
        <w:t xml:space="preserve">(</w:t>
      </w:r>
      <w:r>
        <w:rPr>
          <w:rStyle w:val="VerbatimChar"/>
        </w:rPr>
        <w:t xml:space="preserve">Agent/server/AgentServer.mjs</w:t>
      </w:r>
      <w:r>
        <w:t xml:space="preserve">) provides a Model Context Protocol (MCP) server over Streamable HTTP, typically bound to port 7000. The AgentServer loads tool definitions from an</w:t>
      </w:r>
      <w:r>
        <w:t xml:space="preserve"> </w:t>
      </w:r>
      <w:r>
        <w:rPr>
          <w:rStyle w:val="VerbatimChar"/>
        </w:rPr>
        <w:t xml:space="preserve">mcp-config.json</w:t>
      </w:r>
      <w:r>
        <w:t xml:space="preserve"> </w:t>
      </w:r>
      <w:r>
        <w:t xml:space="preserve">file, registers them with the MCP SDK, and manages a</w:t>
      </w:r>
      <w:r>
        <w:t xml:space="preserve"> </w:t>
      </w:r>
      <w:r>
        <w:rPr>
          <w:b/>
          <w:bCs/>
        </w:rPr>
        <w:t xml:space="preserve">TaskQueue</w:t>
      </w:r>
      <w:r>
        <w:t xml:space="preserve"> </w:t>
      </w:r>
      <w:r>
        <w:t xml:space="preserve">with configurable concurrency (default: 10 parallel tasks). This design means that any program capable of reading from standard input and writing to standard output can become a Ploinky agent: the AgentServer wraps the underlying process and exposes it through a uniform protocol interface. When agents need to communicate with one another, they use the</w:t>
      </w:r>
      <w:r>
        <w:t xml:space="preserve"> </w:t>
      </w:r>
      <w:r>
        <w:rPr>
          <w:b/>
          <w:bCs/>
        </w:rPr>
        <w:t xml:space="preserve">AgentMcpClient</w:t>
      </w:r>
      <w:r>
        <w:t xml:space="preserve"> </w:t>
      </w:r>
      <w:r>
        <w:t xml:space="preserve">(</w:t>
      </w:r>
      <w:r>
        <w:rPr>
          <w:rStyle w:val="VerbatimChar"/>
        </w:rPr>
        <w:t xml:space="preserve">Agent/client/AgentMcpClient.mjs</w:t>
      </w:r>
      <w:r>
        <w:t xml:space="preserve">), which constructs MCP requests addressed to a target agent and routes them through the central RoutingServer. The router resolves the target agent name to a container port, authenticates the request using OAuth tokens managed per-agent, and proxies the MCP call to the appropriate container. This architecture ensures that all inter-agent traffic passes through a single, observable point—the router—where access control, logging, and debugging can be enforced consistently.</w:t>
      </w:r>
      <w:r>
        <w:t xml:space="preserve"> </w:t>
      </w:r>
      <w:r>
        <w:t xml:space="preserve">The workspace is the organizational unit that ties these layers together. A Ploinky workspace is any directory containing a</w:t>
      </w:r>
      <w:r>
        <w:t xml:space="preserve"> </w:t>
      </w:r>
      <w:r>
        <w:rPr>
          <w:rStyle w:val="VerbatimChar"/>
        </w:rPr>
        <w:t xml:space="preserve">.ploinky/</w:t>
      </w:r>
      <w:r>
        <w:t xml:space="preserve"> </w:t>
      </w:r>
      <w:r>
        <w:t xml:space="preserve">subdirectory, which stores the agent registry (a JSON file mapping agent names to their configurations), the enabled repository list, routing configuration generated at startup, secret files, log references, and PID files for running processes. Agent source code lives in</w:t>
      </w:r>
      <w:r>
        <w:t xml:space="preserve"> </w:t>
      </w:r>
      <w:r>
        <w:rPr>
          <w:rStyle w:val="VerbatimChar"/>
        </w:rPr>
        <w:t xml:space="preserve">.ploinky/repos/&lt;repoName&gt;/&lt;agentName&gt;/</w:t>
      </w:r>
      <w:r>
        <w:t xml:space="preserve">, while runtime working directories for each agent are created under</w:t>
      </w:r>
      <w:r>
        <w:t xml:space="preserve"> </w:t>
      </w:r>
      <w:r>
        <w:rPr>
          <w:rStyle w:val="VerbatimChar"/>
        </w:rPr>
        <w:t xml:space="preserve">agents/&lt;agentName&gt;/</w:t>
      </w:r>
      <w:r>
        <w:t xml:space="preserve">. Convenience symlinks at the workspace root (</w:t>
      </w:r>
      <w:r>
        <w:rPr>
          <w:rStyle w:val="VerbatimChar"/>
        </w:rPr>
        <w:t xml:space="preserve">code/&lt;agentName&gt;</w:t>
      </w:r>
      <w:r>
        <w:t xml:space="preserve">,</w:t>
      </w:r>
      <w:r>
        <w:t xml:space="preserve"> </w:t>
      </w:r>
      <w:r>
        <w:rPr>
          <w:rStyle w:val="VerbatimChar"/>
        </w:rPr>
        <w:t xml:space="preserve">skills/&lt;agentName&gt;</w:t>
      </w:r>
      <w:r>
        <w:t xml:space="preserve">) provide direct access to agent source code and skill definitions. A</w:t>
      </w:r>
      <w:r>
        <w:t xml:space="preserve"> </w:t>
      </w:r>
      <w:r>
        <w:rPr>
          <w:rStyle w:val="VerbatimChar"/>
        </w:rPr>
        <w:t xml:space="preserve">shared/</w:t>
      </w:r>
      <w:r>
        <w:t xml:space="preserve"> </w:t>
      </w:r>
      <w:r>
        <w:t xml:space="preserve">directory is mounted into all containers, providing a controlled common filesystem for cross-agent data exchange. Container names follow a deterministic convention—</w:t>
      </w:r>
      <w:r>
        <w:rPr>
          <w:rStyle w:val="VerbatimChar"/>
        </w:rPr>
        <w:t xml:space="preserve">ploinky_&lt;repoName&gt;_&lt;agentName&gt;_&lt;workspaceHash&gt;</w:t>
      </w:r>
      <w:r>
        <w:t xml:space="preserve">—so that the same agent can be reused across restarts without name collisions, and multiple workspaces on the same host do not interfere.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Key components</w:t>
            </w:r>
          </w:p>
        </w:tc>
        <w:tc>
          <w:tcPr/>
          <w:p>
            <w:pPr>
              <w:pStyle w:val="Compact"/>
              <w:jc w:val="left"/>
            </w:pPr>
            <w:r>
              <w:t xml:space="preserve">Responsibility</w:t>
            </w:r>
          </w:p>
        </w:tc>
      </w:tr>
      <w:tr>
        <w:tc>
          <w:tcPr/>
          <w:p>
            <w:pPr>
              <w:pStyle w:val="Compact"/>
              <w:jc w:val="left"/>
            </w:pPr>
            <w:r>
              <w:t xml:space="preserve">User interface</w:t>
            </w:r>
          </w:p>
        </w:tc>
        <w:tc>
          <w:tcPr/>
          <w:p>
            <w:pPr>
              <w:pStyle w:val="Compact"/>
              <w:jc w:val="left"/>
            </w:pPr>
            <w:r>
              <w:t xml:space="preserve">CLI shell, WebTTY, WebChat, WebMeet, Dashboard</w:t>
            </w:r>
          </w:p>
        </w:tc>
        <w:tc>
          <w:tcPr/>
          <w:p>
            <w:pPr>
              <w:pStyle w:val="Compact"/>
              <w:jc w:val="left"/>
            </w:pPr>
            <w:r>
              <w:t xml:space="preserve">Human interaction, debugging, collaborative sessions</w:t>
            </w:r>
          </w:p>
        </w:tc>
      </w:tr>
      <w:tr>
        <w:tc>
          <w:tcPr/>
          <w:p>
            <w:pPr>
              <w:pStyle w:val="Compact"/>
              <w:jc w:val="left"/>
            </w:pPr>
            <w:r>
              <w:t xml:space="preserve">Routing and API</w:t>
            </w:r>
          </w:p>
        </w:tc>
        <w:tc>
          <w:tcPr/>
          <w:p>
            <w:pPr>
              <w:pStyle w:val="Compact"/>
              <w:jc w:val="left"/>
            </w:pPr>
            <w:r>
              <w:t xml:space="preserve">RoutingServer (HTTP), authentication handlers, WebSocket manager</w:t>
            </w:r>
          </w:p>
        </w:tc>
        <w:tc>
          <w:tcPr/>
          <w:p>
            <w:pPr>
              <w:pStyle w:val="Compact"/>
              <w:jc w:val="left"/>
            </w:pPr>
            <w:r>
              <w:t xml:space="preserve">Request dispatch, access control, protocol bridging</w:t>
            </w:r>
          </w:p>
        </w:tc>
      </w:tr>
      <w:tr>
        <w:tc>
          <w:tcPr/>
          <w:p>
            <w:pPr>
              <w:pStyle w:val="Compact"/>
              <w:jc w:val="left"/>
            </w:pPr>
            <w:r>
              <w:t xml:space="preserve">Service management</w:t>
            </w:r>
          </w:p>
        </w:tc>
        <w:tc>
          <w:tcPr/>
          <w:p>
            <w:pPr>
              <w:pStyle w:val="Compact"/>
              <w:jc w:val="left"/>
            </w:pPr>
            <w:r>
              <w:t xml:space="preserve">Agent manager, dependency installer, secret injector, lifecycle hooks, profile service</w:t>
            </w:r>
          </w:p>
        </w:tc>
        <w:tc>
          <w:tcPr/>
          <w:p>
            <w:pPr>
              <w:pStyle w:val="Compact"/>
              <w:jc w:val="left"/>
            </w:pPr>
            <w:r>
              <w:t xml:space="preserve">Agent lifecycle, workspace state, configuration resolution</w:t>
            </w:r>
          </w:p>
        </w:tc>
      </w:tr>
      <w:tr>
        <w:tc>
          <w:tcPr/>
          <w:p>
            <w:pPr>
              <w:pStyle w:val="Compact"/>
              <w:jc w:val="left"/>
            </w:pPr>
            <w:r>
              <w:t xml:space="preserve">Container runtime</w:t>
            </w:r>
          </w:p>
        </w:tc>
        <w:tc>
          <w:tcPr/>
          <w:p>
            <w:pPr>
              <w:pStyle w:val="Compact"/>
              <w:jc w:val="left"/>
            </w:pPr>
            <w:r>
              <w:t xml:space="preserve">Docker/Podman adapter, container fleet manager, health probes</w:t>
            </w:r>
          </w:p>
        </w:tc>
        <w:tc>
          <w:tcPr/>
          <w:p>
            <w:pPr>
              <w:pStyle w:val="Compact"/>
              <w:jc w:val="left"/>
            </w:pPr>
            <w:r>
              <w:t xml:space="preserve">Isolation enforcement, process supervision, resource allocation</w:t>
            </w:r>
          </w:p>
        </w:tc>
      </w:tr>
      <w:tr>
        <w:tc>
          <w:tcPr/>
          <w:p>
            <w:pPr>
              <w:pStyle w:val="Compact"/>
              <w:jc w:val="left"/>
            </w:pPr>
            <w:r>
              <w:t xml:space="preserve">Agent runtime (in-container)</w:t>
            </w:r>
          </w:p>
        </w:tc>
        <w:tc>
          <w:tcPr/>
          <w:p>
            <w:pPr>
              <w:pStyle w:val="Compact"/>
              <w:jc w:val="left"/>
            </w:pPr>
            <w:r>
              <w:t xml:space="preserve">AgentServer (MCP), TaskQueue, AgentMcpClient</w:t>
            </w:r>
          </w:p>
        </w:tc>
        <w:tc>
          <w:tcPr/>
          <w:p>
            <w:pPr>
              <w:pStyle w:val="Compact"/>
              <w:jc w:val="left"/>
            </w:pPr>
            <w:r>
              <w:t xml:space="preserve">Tool exposure, task concurrency, inter-agent communication</w:t>
            </w:r>
          </w:p>
        </w:tc>
      </w:tr>
    </w:tbl>
    <w:bookmarkEnd w:id="30"/>
    <w:bookmarkStart w:id="31" w:name="features"/>
    <w:p>
      <w:pPr>
        <w:pStyle w:val="Heading3"/>
      </w:pPr>
      <w:r>
        <w:t xml:space="preserve">Features</w:t>
      </w:r>
    </w:p>
    <w:p>
      <w:pPr>
        <w:pStyle w:val="FirstParagraph"/>
      </w:pPr>
      <w:r>
        <w:t xml:space="preserve">The feature set of Ploinky is organized around the operational needs identified during 18 months of multi-agent development: declarative configuration, environment-aware behavior, dependency management, secret governance, reliability, human-accessible debugging surfaces, and standardized inter-agent communication.</w:t>
      </w:r>
    </w:p>
    <w:p>
      <w:pPr>
        <w:pStyle w:val="BodyText"/>
      </w:pPr>
      <w:r>
        <w:rPr>
          <w:b/>
          <w:bCs/>
        </w:rPr>
        <w:t xml:space="preserve">Manifest-driven configuration.</w:t>
      </w:r>
      <w:r>
        <w:t xml:space="preserve"> </w:t>
      </w:r>
      <w:r>
        <w:t xml:space="preserve">Every agent is declared through a</w:t>
      </w:r>
      <w:r>
        <w:t xml:space="preserve"> </w:t>
      </w:r>
      <w:r>
        <w:rPr>
          <w:rStyle w:val="VerbatimChar"/>
        </w:rPr>
        <w:t xml:space="preserve">manifest.json</w:t>
      </w:r>
      <w:r>
        <w:t xml:space="preserve"> </w:t>
      </w:r>
      <w:r>
        <w:t xml:space="preserve">that specifies the container image, install and update commands, CLI and agent entry points, port mappings, volume declarations, environment variable requirements, and dependency relationships with other agents. The manifest is intentionally minimal: it describes</w:t>
      </w:r>
      <w:r>
        <w:t xml:space="preserve"> </w:t>
      </w:r>
      <w:r>
        <w:rPr>
          <w:i/>
          <w:iCs/>
        </w:rPr>
        <w:t xml:space="preserve">what</w:t>
      </w:r>
      <w:r>
        <w:t xml:space="preserve"> </w:t>
      </w:r>
      <w:r>
        <w:t xml:space="preserve">the agent needs, and the environment resolves</w:t>
      </w:r>
      <w:r>
        <w:t xml:space="preserve"> </w:t>
      </w:r>
      <w:r>
        <w:rPr>
          <w:i/>
          <w:iCs/>
        </w:rPr>
        <w:t xml:space="preserve">how</w:t>
      </w:r>
      <w:r>
        <w:t xml:space="preserve"> </w:t>
      </w:r>
      <w:r>
        <w:t xml:space="preserve">to provide it based on the active profile, available secrets, and workspace layout. Port bindings default to</w:t>
      </w:r>
      <w:r>
        <w:t xml:space="preserve"> </w:t>
      </w:r>
      <w:r>
        <w:rPr>
          <w:rStyle w:val="VerbatimChar"/>
        </w:rPr>
        <w:t xml:space="preserve">127.0.0.1</w:t>
      </w:r>
      <w:r>
        <w:t xml:space="preserve"> </w:t>
      </w:r>
      <w:r>
        <w:t xml:space="preserve">to prevent accidental exposure to external networks—a deliberate security-by-default choice validated after operational incidents. Environment variables support three declaration formats (simple strings, structured objects with required/default semantics, and key-value mappings) as well as wildcard patterns that match families of variables while automatically excluding patterns containing</w:t>
      </w:r>
      <w:r>
        <w:t xml:space="preserve"> </w:t>
      </w:r>
      <w:r>
        <w:rPr>
          <w:rStyle w:val="VerbatimChar"/>
        </w:rPr>
        <w:t xml:space="preserve">API_KEY</w:t>
      </w:r>
      <w:r>
        <w:t xml:space="preserve"> </w:t>
      </w:r>
      <w:r>
        <w:t xml:space="preserve">to prevent inadvertent secret leakage.</w:t>
      </w:r>
    </w:p>
    <w:p>
      <w:pPr>
        <w:pStyle w:val="BodyText"/>
      </w:pPr>
      <w:r>
        <w:rPr>
          <w:b/>
          <w:bCs/>
        </w:rPr>
        <w:t xml:space="preserve">Profile system.</w:t>
      </w:r>
      <w:r>
        <w:t xml:space="preserve"> </w:t>
      </w:r>
      <w:r>
        <w:t xml:space="preserve">Ploinky implements a three-tier profile system (</w:t>
      </w:r>
      <w:r>
        <w:rPr>
          <w:rStyle w:val="VerbatimChar"/>
        </w:rPr>
        <w:t xml:space="preserve">dev</w:t>
      </w:r>
      <w:r>
        <w:t xml:space="preserve">,</w:t>
      </w:r>
      <w:r>
        <w:t xml:space="preserve"> </w:t>
      </w:r>
      <w:r>
        <w:rPr>
          <w:rStyle w:val="VerbatimChar"/>
        </w:rPr>
        <w:t xml:space="preserve">qa</w:t>
      </w:r>
      <w:r>
        <w:t xml:space="preserve">,</w:t>
      </w:r>
      <w:r>
        <w:t xml:space="preserve"> </w:t>
      </w:r>
      <w:r>
        <w:rPr>
          <w:rStyle w:val="VerbatimChar"/>
        </w:rPr>
        <w:t xml:space="preserve">prod</w:t>
      </w:r>
      <w:r>
        <w:t xml:space="preserve">) stored as a simple text file in the workspace. Profiles govern mount permissions (read-write in development, read-only in QA and production), lifecycle hook selection, environment variable sets, and secret exposure. Profile resolution uses a merging strategy: a</w:t>
      </w:r>
      <w:r>
        <w:t xml:space="preserve"> </w:t>
      </w:r>
      <w:r>
        <w:rPr>
          <w:rStyle w:val="VerbatimChar"/>
        </w:rPr>
        <w:t xml:space="preserve">default</w:t>
      </w:r>
      <w:r>
        <w:t xml:space="preserve"> </w:t>
      </w:r>
      <w:r>
        <w:t xml:space="preserve">profile in the manifest provides baseline configuration, and the active profile overrides or extends it. Environment variables are merged with deduplication by variable name; hooks are overridden entirely (the active profile’s hook replaces the default); secrets are concatenated (the active profile adds to the default set); and mount configurations are deep-merged. This ensures that development proceeds inside the same isolation model as production, differing only in controlled, auditable dimensions.</w:t>
      </w:r>
    </w:p>
    <w:p>
      <w:pPr>
        <w:pStyle w:val="BodyText"/>
      </w:pPr>
      <w:r>
        <w:rPr>
          <w:b/>
          <w:bCs/>
        </w:rPr>
        <w:t xml:space="preserve">Dependency management.</w:t>
      </w:r>
      <w:r>
        <w:t xml:space="preserve"> </w:t>
      </w:r>
      <w:r>
        <w:t xml:space="preserve">Dependencies are resolved at two levels. Global dependencies (</w:t>
      </w:r>
      <w:r>
        <w:rPr>
          <w:rStyle w:val="VerbatimChar"/>
        </w:rPr>
        <w:t xml:space="preserve">globalDeps/package.json</w:t>
      </w:r>
      <w:r>
        <w:t xml:space="preserve"> </w:t>
      </w:r>
      <w:r>
        <w:t xml:space="preserve">at the Ploinky installation root) provide core libraries available to every agent, including the MCP SDK, terminal emulation, full-text search, and the AchillesAgentLib. Agent-specific dependencies are declared in the agent’s own</w:t>
      </w:r>
      <w:r>
        <w:t xml:space="preserve"> </w:t>
      </w:r>
      <w:r>
        <w:rPr>
          <w:rStyle w:val="VerbatimChar"/>
        </w:rPr>
        <w:t xml:space="preserve">package.json</w:t>
      </w:r>
      <w:r>
        <w:t xml:space="preserve"> </w:t>
      </w:r>
      <w:r>
        <w:t xml:space="preserve">and merged with global dependencies at installation time. The dependency installer runs inside the container, first ensuring that prerequisite build tools (git, python3, make, g++) are available, then executing</w:t>
      </w:r>
      <w:r>
        <w:t xml:space="preserve"> </w:t>
      </w:r>
      <w:r>
        <w:rPr>
          <w:rStyle w:val="VerbatimChar"/>
        </w:rPr>
        <w:t xml:space="preserve">npm install</w:t>
      </w:r>
      <w:r>
        <w:t xml:space="preserve"> </w:t>
      </w:r>
      <w:r>
        <w:t xml:space="preserve">with the merged dependency manifest. This two-level approach avoids redundant installations while allowing agents to declare additional libraries without modifying the shared base.</w:t>
      </w:r>
    </w:p>
    <w:p>
      <w:pPr>
        <w:pStyle w:val="BodyText"/>
      </w:pPr>
      <w:r>
        <w:rPr>
          <w:b/>
          <w:bCs/>
        </w:rPr>
        <w:t xml:space="preserve">Lifecycle hooks.</w:t>
      </w:r>
      <w:r>
        <w:t xml:space="preserve"> </w:t>
      </w:r>
      <w:r>
        <w:t xml:space="preserve">Manifests declare hooks that execute at specific points in the agent lifecycle:</w:t>
      </w:r>
      <w:r>
        <w:t xml:space="preserve"> </w:t>
      </w:r>
      <w:r>
        <w:rPr>
          <w:rStyle w:val="VerbatimChar"/>
        </w:rPr>
        <w:t xml:space="preserve">preinstall</w:t>
      </w:r>
      <w:r>
        <w:t xml:space="preserve">,</w:t>
      </w:r>
      <w:r>
        <w:t xml:space="preserve"> </w:t>
      </w:r>
      <w:r>
        <w:rPr>
          <w:rStyle w:val="VerbatimChar"/>
        </w:rPr>
        <w:t xml:space="preserve">install</w:t>
      </w:r>
      <w:r>
        <w:t xml:space="preserve">, and</w:t>
      </w:r>
      <w:r>
        <w:t xml:space="preserve"> </w:t>
      </w:r>
      <w:r>
        <w:rPr>
          <w:rStyle w:val="VerbatimChar"/>
        </w:rPr>
        <w:t xml:space="preserve">postinstall</w:t>
      </w:r>
      <w:r>
        <w:t xml:space="preserve"> </w:t>
      </w:r>
      <w:r>
        <w:t xml:space="preserve">run inside the container;</w:t>
      </w:r>
      <w:r>
        <w:t xml:space="preserve"> </w:t>
      </w:r>
      <w:r>
        <w:rPr>
          <w:rStyle w:val="VerbatimChar"/>
        </w:rPr>
        <w:t xml:space="preserve">hosthook_aftercreation</w:t>
      </w:r>
      <w:r>
        <w:t xml:space="preserve"> </w:t>
      </w:r>
      <w:r>
        <w:t xml:space="preserve">and</w:t>
      </w:r>
      <w:r>
        <w:t xml:space="preserve"> </w:t>
      </w:r>
      <w:r>
        <w:rPr>
          <w:rStyle w:val="VerbatimChar"/>
        </w:rPr>
        <w:t xml:space="preserve">hosthook_postinstall</w:t>
      </w:r>
      <w:r>
        <w:t xml:space="preserve"> </w:t>
      </w:r>
      <w:r>
        <w:t xml:space="preserve">run on the host. Hooks can be inline shell commands (detected by the presence of shell operators or common command prefixes) or script paths. The execution order is deterministic: workspace structure initialization, symlink creation, container creation, host after-creation hook, container start, core dependency installation, agent dependency installation, preinstall, install, postinstall, host postinstall hook, and finally agent readiness. This sequencing ensures that each hook can rely on the outputs of previous stages.</w:t>
      </w:r>
    </w:p>
    <w:p>
      <w:pPr>
        <w:pStyle w:val="BodyText"/>
      </w:pPr>
      <w:r>
        <w:rPr>
          <w:b/>
          <w:bCs/>
        </w:rPr>
        <w:t xml:space="preserve">Secret management.</w:t>
      </w:r>
      <w:r>
        <w:t xml:space="preserve"> </w:t>
      </w:r>
      <w:r>
        <w:t xml:space="preserve">Secrets are stored in a workspace-local</w:t>
      </w:r>
      <w:r>
        <w:t xml:space="preserve"> </w:t>
      </w:r>
      <w:r>
        <w:rPr>
          <w:rStyle w:val="VerbatimChar"/>
        </w:rPr>
        <w:t xml:space="preserve">.ploinky/.secrets</w:t>
      </w:r>
      <w:r>
        <w:t xml:space="preserve"> </w:t>
      </w:r>
      <w:r>
        <w:t xml:space="preserve">file in</w:t>
      </w:r>
      <w:r>
        <w:t xml:space="preserve"> </w:t>
      </w:r>
      <w:r>
        <w:rPr>
          <w:rStyle w:val="VerbatimChar"/>
        </w:rPr>
        <w:t xml:space="preserve">KEY=VALUE</w:t>
      </w:r>
      <w:r>
        <w:t xml:space="preserve"> </w:t>
      </w:r>
      <w:r>
        <w:t xml:space="preserve">format and injected into containers exclusively through environment variables. Agents must explicitly declare which secrets they require; undeclared secrets are not visible to the container. A</w:t>
      </w:r>
      <w:r>
        <w:t xml:space="preserve"> </w:t>
      </w:r>
      <w:r>
        <w:rPr>
          <w:rStyle w:val="VerbatimChar"/>
        </w:rPr>
        <w:t xml:space="preserve">var</w:t>
      </w:r>
      <w:r>
        <w:t xml:space="preserve"> </w:t>
      </w:r>
      <w:r>
        <w:t xml:space="preserve">CLI command sets secrets, an</w:t>
      </w:r>
      <w:r>
        <w:t xml:space="preserve"> </w:t>
      </w:r>
      <w:r>
        <w:rPr>
          <w:rStyle w:val="VerbatimChar"/>
        </w:rPr>
        <w:t xml:space="preserve">expose</w:t>
      </w:r>
      <w:r>
        <w:t xml:space="preserve"> </w:t>
      </w:r>
      <w:r>
        <w:t xml:space="preserve">command makes a specific secret available to a named agent, and the secret injector validates at startup that all required variables are present. This design enforces least-privilege access: secrets are not ambient in the environment but intentionally projected into specific containers.</w:t>
      </w:r>
    </w:p>
    <w:p>
      <w:pPr>
        <w:pStyle w:val="BodyText"/>
      </w:pPr>
      <w:r>
        <w:rPr>
          <w:b/>
          <w:bCs/>
        </w:rPr>
        <w:t xml:space="preserve">Health monitoring and reliability.</w:t>
      </w:r>
      <w:r>
        <w:t xml:space="preserve"> </w:t>
      </w:r>
      <w:r>
        <w:t xml:space="preserve">The Watchdog subsystem (</w:t>
      </w:r>
      <w:r>
        <w:rPr>
          <w:rStyle w:val="VerbatimChar"/>
        </w:rPr>
        <w:t xml:space="preserve">cli/server/Watchdog.js</w:t>
      </w:r>
      <w:r>
        <w:t xml:space="preserve">, approximately 650 lines) implements liveness and readiness probes inspired by Kubernetes semantics but adapted for the Ploinky agent lifecycle. Liveness probes run at configurable intervals and trigger automatic container restarts after a threshold of consecutive failures. Readiness probes validate that an agent has completed initialization before the router begins directing traffic to it. Probes can be custom scripts executed inside the container or built-in HTTP health checks against the MCP endpoint. The Container Monitor (</w:t>
      </w:r>
      <w:r>
        <w:rPr>
          <w:rStyle w:val="VerbatimChar"/>
        </w:rPr>
        <w:t xml:space="preserve">cli/server/containerMonitor.js</w:t>
      </w:r>
      <w:r>
        <w:t xml:space="preserve">, approximately 480 lines) tracks container state changes, detects unhealthy agents, triggers restarts with backoff, and reports status to the router. Together, these components provide self-healing behavior for long-running multi-agent deployments.</w:t>
      </w:r>
    </w:p>
    <w:p>
      <w:pPr>
        <w:pStyle w:val="BodyText"/>
      </w:pPr>
      <w:r>
        <w:rPr>
          <w:b/>
          <w:bCs/>
        </w:rPr>
        <w:t xml:space="preserve">Web interfaces.</w:t>
      </w:r>
      <w:r>
        <w:t xml:space="preserve"> </w:t>
      </w:r>
      <w:r>
        <w:t xml:space="preserve">Ploinky provides four integrated web interfaces, all served through the routing server and protected by token-based or SSO authentication.</w:t>
      </w:r>
      <w:r>
        <w:t xml:space="preserve"> </w:t>
      </w:r>
      <w:r>
        <w:rPr>
          <w:b/>
          <w:bCs/>
        </w:rPr>
        <w:t xml:space="preserve">WebTTY</w:t>
      </w:r>
      <w:r>
        <w:t xml:space="preserve"> </w:t>
      </w:r>
      <w:r>
        <w:t xml:space="preserve">delivers a full terminal emulator in the browser using xterm.js over a native WebSocket implementation (written without external dependencies), enabling interactive shell access to any running agent container.</w:t>
      </w:r>
      <w:r>
        <w:t xml:space="preserve"> </w:t>
      </w:r>
      <w:r>
        <w:rPr>
          <w:b/>
          <w:bCs/>
        </w:rPr>
        <w:t xml:space="preserve">WebChat</w:t>
      </w:r>
      <w:r>
        <w:t xml:space="preserve"> </w:t>
      </w:r>
      <w:r>
        <w:t xml:space="preserve">provides a conversational interface with Markdown rendering, conversation history, and streaming responses via Server-Sent Events (SSE), suitable for interacting with LLM-powered agents.</w:t>
      </w:r>
      <w:r>
        <w:t xml:space="preserve"> </w:t>
      </w:r>
      <w:r>
        <w:rPr>
          <w:b/>
          <w:bCs/>
        </w:rPr>
        <w:t xml:space="preserve">WebMeet</w:t>
      </w:r>
      <w:r>
        <w:t xml:space="preserve"> </w:t>
      </w:r>
      <w:r>
        <w:t xml:space="preserve">implements a collaborative workspace where multiple users and agents can participate in structured sessions. The</w:t>
      </w:r>
      <w:r>
        <w:t xml:space="preserve"> </w:t>
      </w:r>
      <w:r>
        <w:rPr>
          <w:b/>
          <w:bCs/>
        </w:rPr>
        <w:t xml:space="preserve">Dashboard</w:t>
      </w:r>
      <w:r>
        <w:t xml:space="preserve"> </w:t>
      </w:r>
      <w:r>
        <w:t xml:space="preserve">displays system status, agent health, port mappings, and runtime statistics. Authentication uses 32-byte random tokens stored in</w:t>
      </w:r>
      <w:r>
        <w:t xml:space="preserve"> </w:t>
      </w:r>
      <w:r>
        <w:rPr>
          <w:rStyle w:val="VerbatimChar"/>
        </w:rPr>
        <w:t xml:space="preserve">.ploinky/.secrets</w:t>
      </w:r>
      <w:r>
        <w:t xml:space="preserve">, validated via query parameters, HTTP headers, or cookies; when Keycloak SSO is configured, PKCE OAuth flows and JWT validation replace token-based authentication.</w:t>
      </w:r>
    </w:p>
    <w:p>
      <w:pPr>
        <w:pStyle w:val="BodyText"/>
      </w:pPr>
      <w:r>
        <w:rPr>
          <w:b/>
          <w:bCs/>
        </w:rPr>
        <w:t xml:space="preserve">Inter-agent communication.</w:t>
      </w:r>
      <w:r>
        <w:t xml:space="preserve"> </w:t>
      </w:r>
      <w:r>
        <w:t xml:space="preserve">Agents communicate through the Model Context Protocol (MCP) using the routing server as an intermediary. Each agent exposes tools, resources, and prompts through its AgentServer; other agents invoke these capabilities by constructing MCP requests routed through the central HTTP server. The</w:t>
      </w:r>
      <w:r>
        <w:t xml:space="preserve"> </w:t>
      </w:r>
      <w:r>
        <w:rPr>
          <w:rStyle w:val="VerbatimChar"/>
        </w:rPr>
        <w:t xml:space="preserve">AgentMcpClient</w:t>
      </w:r>
      <w:r>
        <w:t xml:space="preserve"> </w:t>
      </w:r>
      <w:r>
        <w:t xml:space="preserve">library provides a high-level API:</w:t>
      </w:r>
      <w:r>
        <w:t xml:space="preserve"> </w:t>
      </w:r>
      <w:r>
        <w:rPr>
          <w:rStyle w:val="VerbatimChar"/>
        </w:rPr>
        <w:t xml:space="preserve">createAgentClient(agentName)</w:t>
      </w:r>
      <w:r>
        <w:t xml:space="preserve"> </w:t>
      </w:r>
      <w:r>
        <w:t xml:space="preserve">returns an object with</w:t>
      </w:r>
      <w:r>
        <w:t xml:space="preserve"> </w:t>
      </w:r>
      <w:r>
        <w:rPr>
          <w:rStyle w:val="VerbatimChar"/>
        </w:rPr>
        <w:t xml:space="preserve">listTools()</w:t>
      </w:r>
      <w:r>
        <w:t xml:space="preserve">,</w:t>
      </w:r>
      <w:r>
        <w:t xml:space="preserve"> </w:t>
      </w:r>
      <w:r>
        <w:rPr>
          <w:rStyle w:val="VerbatimChar"/>
        </w:rPr>
        <w:t xml:space="preserve">callTool(name, args)</w:t>
      </w:r>
      <w:r>
        <w:t xml:space="preserve">,</w:t>
      </w:r>
      <w:r>
        <w:t xml:space="preserve"> </w:t>
      </w:r>
      <w:r>
        <w:rPr>
          <w:rStyle w:val="VerbatimChar"/>
        </w:rPr>
        <w:t xml:space="preserve">listResources()</w:t>
      </w:r>
      <w:r>
        <w:t xml:space="preserve">,</w:t>
      </w:r>
      <w:r>
        <w:t xml:space="preserve"> </w:t>
      </w:r>
      <w:r>
        <w:rPr>
          <w:rStyle w:val="VerbatimChar"/>
        </w:rPr>
        <w:t xml:space="preserve">readResource(uri)</w:t>
      </w:r>
      <w:r>
        <w:t xml:space="preserve">, and</w:t>
      </w:r>
      <w:r>
        <w:t xml:space="preserve"> </w:t>
      </w:r>
      <w:r>
        <w:rPr>
          <w:rStyle w:val="VerbatimChar"/>
        </w:rPr>
        <w:t xml:space="preserve">ping()</w:t>
      </w:r>
      <w:r>
        <w:t xml:space="preserve"> </w:t>
      </w:r>
      <w:r>
        <w:t xml:space="preserve">methods. Authentication between agents uses OAuth tokens obtained from the router’s</w:t>
      </w:r>
      <w:r>
        <w:t xml:space="preserve"> </w:t>
      </w:r>
      <w:r>
        <w:rPr>
          <w:rStyle w:val="VerbatimChar"/>
        </w:rPr>
        <w:t xml:space="preserve">/auth/agent-token</w:t>
      </w:r>
      <w:r>
        <w:t xml:space="preserve"> </w:t>
      </w:r>
      <w:r>
        <w:t xml:space="preserve">endpoint, with token caching and automatic refresh. This architecture means that agents do not need to know each other’s network addresses—they address peers by name, and the router resolves, authenticates, and proxies the request.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Operational benefit</w:t>
            </w:r>
          </w:p>
        </w:tc>
      </w:tr>
      <w:tr>
        <w:tc>
          <w:tcPr/>
          <w:p>
            <w:pPr>
              <w:pStyle w:val="Compact"/>
              <w:jc w:val="left"/>
            </w:pPr>
            <w:r>
              <w:t xml:space="preserve">Manifest-driven config</w:t>
            </w:r>
          </w:p>
        </w:tc>
        <w:tc>
          <w:tcPr/>
          <w:p>
            <w:pPr>
              <w:pStyle w:val="Compact"/>
              <w:jc w:val="left"/>
            </w:pPr>
            <w:r>
              <w:rPr>
                <w:rStyle w:val="VerbatimChar"/>
              </w:rPr>
              <w:t xml:space="preserve">manifest.json</w:t>
            </w:r>
            <w:r>
              <w:t xml:space="preserve"> </w:t>
            </w:r>
            <w:r>
              <w:t xml:space="preserve">per agent</w:t>
            </w:r>
          </w:p>
        </w:tc>
        <w:tc>
          <w:tcPr/>
          <w:p>
            <w:pPr>
              <w:pStyle w:val="Compact"/>
              <w:jc w:val="left"/>
            </w:pPr>
            <w:r>
              <w:t xml:space="preserve">Declarative, portable, versionable agent definitions</w:t>
            </w:r>
          </w:p>
        </w:tc>
      </w:tr>
      <w:tr>
        <w:tc>
          <w:tcPr/>
          <w:p>
            <w:pPr>
              <w:pStyle w:val="Compact"/>
              <w:jc w:val="left"/>
            </w:pPr>
            <w:r>
              <w:t xml:space="preserve">Profile system</w:t>
            </w:r>
          </w:p>
        </w:tc>
        <w:tc>
          <w:tcPr/>
          <w:p>
            <w:pPr>
              <w:pStyle w:val="Compact"/>
              <w:jc w:val="left"/>
            </w:pPr>
            <w:r>
              <w:rPr>
                <w:rStyle w:val="VerbatimChar"/>
              </w:rPr>
              <w:t xml:space="preserve">dev</w:t>
            </w:r>
            <w:r>
              <w:t xml:space="preserve">/</w:t>
            </w:r>
            <w:r>
              <w:rPr>
                <w:rStyle w:val="VerbatimChar"/>
              </w:rPr>
              <w:t xml:space="preserve">qa</w:t>
            </w:r>
            <w:r>
              <w:t xml:space="preserve">/</w:t>
            </w:r>
            <w:r>
              <w:rPr>
                <w:rStyle w:val="VerbatimChar"/>
              </w:rPr>
              <w:t xml:space="preserve">prod</w:t>
            </w:r>
            <w:r>
              <w:t xml:space="preserve"> </w:t>
            </w:r>
            <w:r>
              <w:t xml:space="preserve">with merge semantics</w:t>
            </w:r>
          </w:p>
        </w:tc>
        <w:tc>
          <w:tcPr/>
          <w:p>
            <w:pPr>
              <w:pStyle w:val="Compact"/>
              <w:jc w:val="left"/>
            </w:pPr>
            <w:r>
              <w:t xml:space="preserve">Same isolation model across environments; controlled behavioral variation</w:t>
            </w:r>
          </w:p>
        </w:tc>
      </w:tr>
      <w:tr>
        <w:tc>
          <w:tcPr/>
          <w:p>
            <w:pPr>
              <w:pStyle w:val="Compact"/>
              <w:jc w:val="left"/>
            </w:pPr>
            <w:r>
              <w:t xml:space="preserve">Two-level dependencies</w:t>
            </w:r>
          </w:p>
        </w:tc>
        <w:tc>
          <w:tcPr/>
          <w:p>
            <w:pPr>
              <w:pStyle w:val="Compact"/>
              <w:jc w:val="left"/>
            </w:pPr>
            <w:r>
              <w:t xml:space="preserve">Global (</w:t>
            </w:r>
            <w:r>
              <w:rPr>
                <w:rStyle w:val="VerbatimChar"/>
              </w:rPr>
              <w:t xml:space="preserve">globalDeps/</w:t>
            </w:r>
            <w:r>
              <w:t xml:space="preserve">) + agent-specific</w:t>
            </w:r>
          </w:p>
        </w:tc>
        <w:tc>
          <w:tcPr/>
          <w:p>
            <w:pPr>
              <w:pStyle w:val="Compact"/>
              <w:jc w:val="left"/>
            </w:pPr>
            <w:r>
              <w:t xml:space="preserve">Shared base libraries; agent-specific extensions without duplication</w:t>
            </w:r>
          </w:p>
        </w:tc>
      </w:tr>
      <w:tr>
        <w:tc>
          <w:tcPr/>
          <w:p>
            <w:pPr>
              <w:pStyle w:val="Compact"/>
              <w:jc w:val="left"/>
            </w:pPr>
            <w:r>
              <w:t xml:space="preserve">Lifecycle hooks</w:t>
            </w:r>
          </w:p>
        </w:tc>
        <w:tc>
          <w:tcPr/>
          <w:p>
            <w:pPr>
              <w:pStyle w:val="Compact"/>
              <w:jc w:val="left"/>
            </w:pPr>
            <w:r>
              <w:t xml:space="preserve">Pre/post install, host and container contexts</w:t>
            </w:r>
          </w:p>
        </w:tc>
        <w:tc>
          <w:tcPr/>
          <w:p>
            <w:pPr>
              <w:pStyle w:val="Compact"/>
              <w:jc w:val="left"/>
            </w:pPr>
            <w:r>
              <w:t xml:space="preserve">Deterministic provisioning; environment-specific setup</w:t>
            </w:r>
          </w:p>
        </w:tc>
      </w:tr>
      <w:tr>
        <w:tc>
          <w:tcPr/>
          <w:p>
            <w:pPr>
              <w:pStyle w:val="Compact"/>
              <w:jc w:val="left"/>
            </w:pPr>
            <w:r>
              <w:t xml:space="preserve">Secret management</w:t>
            </w:r>
          </w:p>
        </w:tc>
        <w:tc>
          <w:tcPr/>
          <w:p>
            <w:pPr>
              <w:pStyle w:val="Compact"/>
              <w:jc w:val="left"/>
            </w:pPr>
            <w:r>
              <w:rPr>
                <w:rStyle w:val="VerbatimChar"/>
              </w:rPr>
              <w:t xml:space="preserve">.ploinky/.secrets</w:t>
            </w:r>
            <w:r>
              <w:t xml:space="preserve"> </w:t>
            </w:r>
            <w:r>
              <w:t xml:space="preserve">with explicit declaration</w:t>
            </w:r>
          </w:p>
        </w:tc>
        <w:tc>
          <w:tcPr/>
          <w:p>
            <w:pPr>
              <w:pStyle w:val="Compact"/>
              <w:jc w:val="left"/>
            </w:pPr>
            <w:r>
              <w:t xml:space="preserve">Least-privilege; no ambient secret exposure</w:t>
            </w:r>
          </w:p>
        </w:tc>
      </w:tr>
      <w:tr>
        <w:tc>
          <w:tcPr/>
          <w:p>
            <w:pPr>
              <w:pStyle w:val="Compact"/>
              <w:jc w:val="left"/>
            </w:pPr>
            <w:r>
              <w:t xml:space="preserve">Health probes</w:t>
            </w:r>
          </w:p>
        </w:tc>
        <w:tc>
          <w:tcPr/>
          <w:p>
            <w:pPr>
              <w:pStyle w:val="Compact"/>
              <w:jc w:val="left"/>
            </w:pPr>
            <w:r>
              <w:t xml:space="preserve">Liveness + readiness with auto-restart</w:t>
            </w:r>
          </w:p>
        </w:tc>
        <w:tc>
          <w:tcPr/>
          <w:p>
            <w:pPr>
              <w:pStyle w:val="Compact"/>
              <w:jc w:val="left"/>
            </w:pPr>
            <w:r>
              <w:t xml:space="preserve">Self-healing; traffic routed only to ready agents</w:t>
            </w:r>
          </w:p>
        </w:tc>
      </w:tr>
      <w:tr>
        <w:tc>
          <w:tcPr/>
          <w:p>
            <w:pPr>
              <w:pStyle w:val="Compact"/>
              <w:jc w:val="left"/>
            </w:pPr>
            <w:r>
              <w:t xml:space="preserve">Web interfaces</w:t>
            </w:r>
          </w:p>
        </w:tc>
        <w:tc>
          <w:tcPr/>
          <w:p>
            <w:pPr>
              <w:pStyle w:val="Compact"/>
              <w:jc w:val="left"/>
            </w:pPr>
            <w:r>
              <w:t xml:space="preserve">WebTTY, WebChat, WebMeet, Dashboard</w:t>
            </w:r>
          </w:p>
        </w:tc>
        <w:tc>
          <w:tcPr/>
          <w:p>
            <w:pPr>
              <w:pStyle w:val="Compact"/>
              <w:jc w:val="left"/>
            </w:pPr>
            <w:r>
              <w:t xml:space="preserve">Human-in-the-loop access without weakening isolation</w:t>
            </w:r>
          </w:p>
        </w:tc>
      </w:tr>
      <w:tr>
        <w:tc>
          <w:tcPr/>
          <w:p>
            <w:pPr>
              <w:pStyle w:val="Compact"/>
              <w:jc w:val="left"/>
            </w:pPr>
            <w:r>
              <w:t xml:space="preserve">MCP-based communication</w:t>
            </w:r>
          </w:p>
        </w:tc>
        <w:tc>
          <w:tcPr/>
          <w:p>
            <w:pPr>
              <w:pStyle w:val="Compact"/>
              <w:jc w:val="left"/>
            </w:pPr>
            <w:r>
              <w:t xml:space="preserve">AgentServer + AgentMcpClient via router</w:t>
            </w:r>
          </w:p>
        </w:tc>
        <w:tc>
          <w:tcPr/>
          <w:p>
            <w:pPr>
              <w:pStyle w:val="Compact"/>
              <w:jc w:val="left"/>
            </w:pPr>
            <w:r>
              <w:t xml:space="preserve">Uniform protocol; observable, authenticated inter-agent calls</w:t>
            </w:r>
          </w:p>
        </w:tc>
      </w:tr>
    </w:tbl>
    <w:bookmarkEnd w:id="31"/>
    <w:bookmarkStart w:id="32" w:name="sandboxing-mechanisms"/>
    <w:p>
      <w:pPr>
        <w:pStyle w:val="Heading3"/>
      </w:pPr>
      <w:r>
        <w:t xml:space="preserve">Sandboxing Mechanisms</w:t>
      </w:r>
    </w:p>
    <w:p>
      <w:pPr>
        <w:pStyle w:val="FirstParagraph"/>
      </w:pPr>
      <w:r>
        <w:t xml:space="preserve">Ploinky implements a tiered sandboxing strategy that balances isolation strength against startup latency and resource overhead. The primary mechanism is</w:t>
      </w:r>
      <w:r>
        <w:t xml:space="preserve"> </w:t>
      </w:r>
      <w:r>
        <w:rPr>
          <w:b/>
          <w:bCs/>
        </w:rPr>
        <w:t xml:space="preserve">container-based isolation</w:t>
      </w:r>
      <w:r>
        <w:t xml:space="preserve"> </w:t>
      </w:r>
      <w:r>
        <w:t xml:space="preserve">using Docker or Podman. Each agent runs in a separate container with its own process and network namespace, controlled filesystem mounts, and environment variables explicitly projected from the workspace secret store. The container runtime is detected automatically, and all lifecycle operations (create, start, stop, remove, exec) are normalized through an adapter layer (</w:t>
      </w:r>
      <w:r>
        <w:rPr>
          <w:rStyle w:val="VerbatimChar"/>
        </w:rPr>
        <w:t xml:space="preserve">cli/services/docker/common.js</w:t>
      </w:r>
      <w:r>
        <w:t xml:space="preserve">) so that agents and the service management layer remain runtime-agnostic. Port bindings default to</w:t>
      </w:r>
      <w:r>
        <w:t xml:space="preserve"> </w:t>
      </w:r>
      <w:r>
        <w:rPr>
          <w:rStyle w:val="VerbatimChar"/>
        </w:rPr>
        <w:t xml:space="preserve">127.0.0.1</w:t>
      </w:r>
      <w:r>
        <w:t xml:space="preserve"> </w:t>
      </w:r>
      <w:r>
        <w:t xml:space="preserve">to prevent unintended network exposure—a policy decision implemented after an operational security incident demonstrated that binding to</w:t>
      </w:r>
      <w:r>
        <w:t xml:space="preserve"> </w:t>
      </w:r>
      <w:r>
        <w:rPr>
          <w:rStyle w:val="VerbatimChar"/>
        </w:rPr>
        <w:t xml:space="preserve">0.0.0.0</w:t>
      </w:r>
      <w:r>
        <w:t xml:space="preserve"> </w:t>
      </w:r>
      <w:r>
        <w:t xml:space="preserve">with permissive authentication creates an exploitable attack surface even on development machines. Mount permissions are governed by the active profile: development profiles grant read-write access to</w:t>
      </w:r>
      <w:r>
        <w:t xml:space="preserve"> </w:t>
      </w:r>
      <w:r>
        <w:rPr>
          <w:rStyle w:val="VerbatimChar"/>
        </w:rPr>
        <w:t xml:space="preserve">/code</w:t>
      </w:r>
      <w:r>
        <w:t xml:space="preserve"> </w:t>
      </w:r>
      <w:r>
        <w:t xml:space="preserve">and</w:t>
      </w:r>
      <w:r>
        <w:t xml:space="preserve"> </w:t>
      </w:r>
      <w:r>
        <w:rPr>
          <w:rStyle w:val="VerbatimChar"/>
        </w:rPr>
        <w:t xml:space="preserve">/skills</w:t>
      </w:r>
      <w:r>
        <w:t xml:space="preserve"> </w:t>
      </w:r>
      <w:r>
        <w:t xml:space="preserve">inside the container, while QA and production profiles enforce read-only mounts, preventing runtime modification of agent source code. The Ploinky runtime directory (</w:t>
      </w:r>
      <w:r>
        <w:rPr>
          <w:rStyle w:val="VerbatimChar"/>
        </w:rPr>
        <w:t xml:space="preserve">/Agent</w:t>
      </w:r>
      <w:r>
        <w:t xml:space="preserve">) is always mounted read-only, ensuring that the MCP server infrastructure cannot be tampered with from inside a container. For rootless Podman deployments, Ploinky uses the slirp4netns gateway address (</w:t>
      </w:r>
      <w:r>
        <w:rPr>
          <w:rStyle w:val="VerbatimChar"/>
        </w:rPr>
        <w:t xml:space="preserve">10.0.2.2</w:t>
      </w:r>
      <w:r>
        <w:t xml:space="preserve">) instead of</w:t>
      </w:r>
      <w:r>
        <w:t xml:space="preserve"> </w:t>
      </w:r>
      <w:r>
        <w:rPr>
          <w:rStyle w:val="VerbatimChar"/>
        </w:rPr>
        <w:t xml:space="preserve">host.containers.internal</w:t>
      </w:r>
      <w:r>
        <w:t xml:space="preserve"> </w:t>
      </w:r>
      <w:r>
        <w:t xml:space="preserve">for routing container traffic to host-local services, addressing a platform-specific networking difference.</w:t>
      </w:r>
    </w:p>
    <w:p>
      <w:pPr>
        <w:pStyle w:val="BodyText"/>
      </w:pPr>
      <w:r>
        <w:t xml:space="preserve">For scenarios where full container isolation introduces unacceptable startup latency or operational complexity—particularly during rapid development iteration or on resource-constrained machines—Ploinky offers</w:t>
      </w:r>
      <w:r>
        <w:t xml:space="preserve"> </w:t>
      </w:r>
      <w:r>
        <w:rPr>
          <w:b/>
          <w:bCs/>
        </w:rPr>
        <w:t xml:space="preserve">lightweight sandboxing</w:t>
      </w:r>
      <w:r>
        <w:t xml:space="preserve"> </w:t>
      </w:r>
      <w:r>
        <w:t xml:space="preserve">via Bubblewrap (</w:t>
      </w:r>
      <w:r>
        <w:rPr>
          <w:rStyle w:val="VerbatimChar"/>
        </w:rPr>
        <w:t xml:space="preserve">bwrap</w:t>
      </w:r>
      <w:r>
        <w:t xml:space="preserve">) on Linux and the Seatbelt sandbox facility (</w:t>
      </w:r>
      <w:r>
        <w:rPr>
          <w:rStyle w:val="VerbatimChar"/>
        </w:rPr>
        <w:t xml:space="preserve">sandbox-exec</w:t>
      </w:r>
      <w:r>
        <w:t xml:space="preserve">) on macOS. When a manifest declares</w:t>
      </w:r>
      <w:r>
        <w:t xml:space="preserve"> </w:t>
      </w:r>
      <w:r>
        <w:rPr>
          <w:rStyle w:val="VerbatimChar"/>
        </w:rPr>
        <w:t xml:space="preserve">"lite-sandbox": true</w:t>
      </w:r>
      <w:r>
        <w:t xml:space="preserve"> </w:t>
      </w:r>
      <w:r>
        <w:t xml:space="preserve">(or equivalently</w:t>
      </w:r>
      <w:r>
        <w:t xml:space="preserve"> </w:t>
      </w:r>
      <w:r>
        <w:rPr>
          <w:rStyle w:val="VerbatimChar"/>
        </w:rPr>
        <w:t xml:space="preserve">"sandbox": true</w:t>
      </w:r>
      <w:r>
        <w:t xml:space="preserve">), Ploinky bypasses the container runtime entirely and instead launches the agent process inside a restricted namespace using the host’s native sandboxing primitives. The platform is detected automatically: on Linux, the</w:t>
      </w:r>
      <w:r>
        <w:t xml:space="preserve"> </w:t>
      </w:r>
      <w:r>
        <w:rPr>
          <w:rStyle w:val="VerbatimChar"/>
        </w:rPr>
        <w:t xml:space="preserve">bwrapServiceManager</w:t>
      </w:r>
      <w:r>
        <w:t xml:space="preserve"> </w:t>
      </w:r>
      <w:r>
        <w:t xml:space="preserve">constructs a Bubblewrap invocation that creates a new mount namespace, bind-mounts only the directories the agent needs (workspace path, code directory, skills directory, shared directory, Node.js runtime, and the Ploinky Agent library), and sets up a minimal</w:t>
      </w:r>
      <w:r>
        <w:t xml:space="preserve"> </w:t>
      </w:r>
      <w:r>
        <w:rPr>
          <w:rStyle w:val="VerbatimChar"/>
        </w:rPr>
        <w:t xml:space="preserve">/proc</w:t>
      </w:r>
      <w:r>
        <w:t xml:space="preserve"> </w:t>
      </w:r>
      <w:r>
        <w:t xml:space="preserve">and</w:t>
      </w:r>
      <w:r>
        <w:t xml:space="preserve"> </w:t>
      </w:r>
      <w:r>
        <w:rPr>
          <w:rStyle w:val="VerbatimChar"/>
        </w:rPr>
        <w:t xml:space="preserve">/tmp</w:t>
      </w:r>
      <w:r>
        <w:t xml:space="preserve">. Critically,</w:t>
      </w:r>
      <w:r>
        <w:t xml:space="preserve"> </w:t>
      </w:r>
      <w:r>
        <w:rPr>
          <w:rStyle w:val="VerbatimChar"/>
        </w:rPr>
        <w:t xml:space="preserve">bwrap</w:t>
      </w:r>
      <w:r>
        <w:t xml:space="preserve"> </w:t>
      </w:r>
      <w:r>
        <w:t xml:space="preserve">sandboxes share the host network namespace (no</w:t>
      </w:r>
      <w:r>
        <w:t xml:space="preserve"> </w:t>
      </w:r>
      <w:r>
        <w:rPr>
          <w:rStyle w:val="VerbatimChar"/>
        </w:rPr>
        <w:t xml:space="preserve">--unshare-net</w:t>
      </w:r>
      <w:r>
        <w:t xml:space="preserve">), do not use</w:t>
      </w:r>
      <w:r>
        <w:t xml:space="preserve"> </w:t>
      </w:r>
      <w:r>
        <w:rPr>
          <w:rStyle w:val="VerbatimChar"/>
        </w:rPr>
        <w:t xml:space="preserve">--die-with-parent</w:t>
      </w:r>
      <w:r>
        <w:t xml:space="preserve"> </w:t>
      </w:r>
      <w:r>
        <w:t xml:space="preserve">(to support daemon mode), and do not use</w:t>
      </w:r>
      <w:r>
        <w:t xml:space="preserve"> </w:t>
      </w:r>
      <w:r>
        <w:rPr>
          <w:rStyle w:val="VerbatimChar"/>
        </w:rPr>
        <w:t xml:space="preserve">--new-session</w:t>
      </w:r>
      <w:r>
        <w:t xml:space="preserve"> </w:t>
      </w:r>
      <w:r>
        <w:t xml:space="preserve">(to avoid process-group signaling issues)—pragmatic choices driven by the requirement that sandboxed agents must be able to bind ports and receive lifecycle signals. On macOS, the</w:t>
      </w:r>
      <w:r>
        <w:t xml:space="preserve"> </w:t>
      </w:r>
      <w:r>
        <w:rPr>
          <w:rStyle w:val="VerbatimChar"/>
        </w:rPr>
        <w:t xml:space="preserve">seatbeltServiceManager</w:t>
      </w:r>
      <w:r>
        <w:t xml:space="preserve"> </w:t>
      </w:r>
      <w:r>
        <w:t xml:space="preserve">generates a Seatbelt profile that restricts filesystem access to declared paths, allows network operations, and denies access to system-wide resources outside the agent’s declared scope. Both implementations share a common interface through</w:t>
      </w:r>
      <w:r>
        <w:t xml:space="preserve"> </w:t>
      </w:r>
      <w:r>
        <w:rPr>
          <w:rStyle w:val="VerbatimChar"/>
        </w:rPr>
        <w:t xml:space="preserve">isSandboxRuntime()</w:t>
      </w:r>
      <w:r>
        <w:t xml:space="preserve"> </w:t>
      </w:r>
      <w:r>
        <w:t xml:space="preserve">in</w:t>
      </w:r>
      <w:r>
        <w:t xml:space="preserve"> </w:t>
      </w:r>
      <w:r>
        <w:rPr>
          <w:rStyle w:val="VerbatimChar"/>
        </w:rPr>
        <w:t xml:space="preserve">common.js</w:t>
      </w:r>
      <w:r>
        <w:t xml:space="preserve">, which returns true for either sandbox backend, allowing the rest of the service management layer to treat container and sandbox agents uniformly.</w:t>
      </w:r>
    </w:p>
    <w:p>
      <w:pPr>
        <w:pStyle w:val="BodyText"/>
      </w:pPr>
      <w:r>
        <w:t xml:space="preserve">The tiered approach reflects a deliberate engineering trade-off. Full containers provide the strongest isolation and the most predictable behavior across heterogeneous hosts, making them the default for production, CI, and any deployment where agents execute untrusted code. Lightweight sandboxes sacrifice network isolation and some filesystem containment in exchange for near-instant startup (~100ms versus seconds for a cold container), no image pull overhead, and direct host filesystem performance—advantages that matter in development loops where agents are started, stopped, and restarted frequently. Both tiers enforce the same secret injection and environment variable projection semantics, ensuring that the security posture around credentials and configuration remains consistent regardless of the isolation backend.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Sandbox tier</w:t>
            </w:r>
          </w:p>
        </w:tc>
        <w:tc>
          <w:tcPr/>
          <w:p>
            <w:pPr>
              <w:pStyle w:val="Compact"/>
              <w:jc w:val="left"/>
            </w:pPr>
            <w:r>
              <w:t xml:space="preserve">Mechanism</w:t>
            </w:r>
          </w:p>
        </w:tc>
        <w:tc>
          <w:tcPr/>
          <w:p>
            <w:pPr>
              <w:pStyle w:val="Compact"/>
              <w:jc w:val="left"/>
            </w:pPr>
            <w:r>
              <w:t xml:space="preserve">Isolation strength</w:t>
            </w:r>
          </w:p>
        </w:tc>
        <w:tc>
          <w:tcPr/>
          <w:p>
            <w:pPr>
              <w:pStyle w:val="Compact"/>
              <w:jc w:val="left"/>
            </w:pPr>
            <w:r>
              <w:t xml:space="preserve">Startup cost</w:t>
            </w:r>
          </w:p>
        </w:tc>
        <w:tc>
          <w:tcPr/>
          <w:p>
            <w:pPr>
              <w:pStyle w:val="Compact"/>
              <w:jc w:val="left"/>
            </w:pPr>
            <w:r>
              <w:t xml:space="preserve">Primary use case</w:t>
            </w:r>
          </w:p>
        </w:tc>
      </w:tr>
      <w:tr>
        <w:tc>
          <w:tcPr/>
          <w:p>
            <w:pPr>
              <w:pStyle w:val="Compact"/>
              <w:jc w:val="left"/>
            </w:pPr>
            <w:r>
              <w:t xml:space="preserve">Full container</w:t>
            </w:r>
          </w:p>
        </w:tc>
        <w:tc>
          <w:tcPr/>
          <w:p>
            <w:pPr>
              <w:pStyle w:val="Compact"/>
              <w:jc w:val="left"/>
            </w:pPr>
            <w:r>
              <w:t xml:space="preserve">Docker/Podman</w:t>
            </w:r>
          </w:p>
        </w:tc>
        <w:tc>
          <w:tcPr/>
          <w:p>
            <w:pPr>
              <w:pStyle w:val="Compact"/>
              <w:jc w:val="left"/>
            </w:pPr>
            <w:r>
              <w:t xml:space="preserve">Process, network, mount, and PID namespaces</w:t>
            </w:r>
          </w:p>
        </w:tc>
        <w:tc>
          <w:tcPr/>
          <w:p>
            <w:pPr>
              <w:pStyle w:val="Compact"/>
              <w:jc w:val="left"/>
            </w:pPr>
            <w:r>
              <w:t xml:space="preserve">Seconds (cold)</w:t>
            </w:r>
          </w:p>
        </w:tc>
        <w:tc>
          <w:tcPr/>
          <w:p>
            <w:pPr>
              <w:pStyle w:val="Compact"/>
              <w:jc w:val="left"/>
            </w:pPr>
            <w:r>
              <w:t xml:space="preserve">Production, CI, untrusted code execution</w:t>
            </w:r>
          </w:p>
        </w:tc>
      </w:tr>
      <w:tr>
        <w:tc>
          <w:tcPr/>
          <w:p>
            <w:pPr>
              <w:pStyle w:val="Compact"/>
              <w:jc w:val="left"/>
            </w:pPr>
            <w:r>
              <w:t xml:space="preserve">Lightweight (Linux)</w:t>
            </w:r>
          </w:p>
        </w:tc>
        <w:tc>
          <w:tcPr/>
          <w:p>
            <w:pPr>
              <w:pStyle w:val="Compact"/>
              <w:jc w:val="left"/>
            </w:pPr>
            <w:r>
              <w:t xml:space="preserve">Bubblewrap (</w:t>
            </w:r>
            <w:r>
              <w:rPr>
                <w:rStyle w:val="VerbatimChar"/>
              </w:rPr>
              <w:t xml:space="preserve">bwrap</w:t>
            </w:r>
            <w:r>
              <w:t xml:space="preserve">)</w:t>
            </w:r>
          </w:p>
        </w:tc>
        <w:tc>
          <w:tcPr/>
          <w:p>
            <w:pPr>
              <w:pStyle w:val="Compact"/>
              <w:jc w:val="left"/>
            </w:pPr>
            <w:r>
              <w:t xml:space="preserve">Mount namespace, restricted filesystem</w:t>
            </w:r>
          </w:p>
        </w:tc>
        <w:tc>
          <w:tcPr/>
          <w:p>
            <w:pPr>
              <w:pStyle w:val="Compact"/>
              <w:jc w:val="left"/>
            </w:pPr>
            <w:r>
              <w:t xml:space="preserve">~100ms</w:t>
            </w:r>
          </w:p>
        </w:tc>
        <w:tc>
          <w:tcPr/>
          <w:p>
            <w:pPr>
              <w:pStyle w:val="Compact"/>
              <w:jc w:val="left"/>
            </w:pPr>
            <w:r>
              <w:t xml:space="preserve">Development, rapid iteration, resource-constrained hosts</w:t>
            </w:r>
          </w:p>
        </w:tc>
      </w:tr>
      <w:tr>
        <w:tc>
          <w:tcPr/>
          <w:p>
            <w:pPr>
              <w:pStyle w:val="Compact"/>
              <w:jc w:val="left"/>
            </w:pPr>
            <w:r>
              <w:t xml:space="preserve">Lightweight (macOS)</w:t>
            </w:r>
          </w:p>
        </w:tc>
        <w:tc>
          <w:tcPr/>
          <w:p>
            <w:pPr>
              <w:pStyle w:val="Compact"/>
              <w:jc w:val="left"/>
            </w:pPr>
            <w:r>
              <w:t xml:space="preserve">Seatbelt (</w:t>
            </w:r>
            <w:r>
              <w:rPr>
                <w:rStyle w:val="VerbatimChar"/>
              </w:rPr>
              <w:t xml:space="preserve">sandbox-exec</w:t>
            </w:r>
            <w:r>
              <w:t xml:space="preserve">)</w:t>
            </w:r>
          </w:p>
        </w:tc>
        <w:tc>
          <w:tcPr/>
          <w:p>
            <w:pPr>
              <w:pStyle w:val="Compact"/>
              <w:jc w:val="left"/>
            </w:pPr>
            <w:r>
              <w:t xml:space="preserve">Filesystem and resource restrictions via kernel policy</w:t>
            </w:r>
          </w:p>
        </w:tc>
        <w:tc>
          <w:tcPr/>
          <w:p>
            <w:pPr>
              <w:pStyle w:val="Compact"/>
              <w:jc w:val="left"/>
            </w:pPr>
            <w:r>
              <w:t xml:space="preserve">~100ms</w:t>
            </w:r>
          </w:p>
        </w:tc>
        <w:tc>
          <w:tcPr/>
          <w:p>
            <w:pPr>
              <w:pStyle w:val="Compact"/>
              <w:jc w:val="left"/>
            </w:pPr>
            <w:r>
              <w:t xml:space="preserve">Development on macOS</w:t>
            </w:r>
          </w:p>
        </w:tc>
      </w:tr>
    </w:tbl>
    <w:bookmarkEnd w:id="32"/>
    <w:bookmarkEnd w:id="33"/>
    <w:bookmarkStart w:id="36" w:name="llm-proxy-component"/>
    <w:p>
      <w:pPr>
        <w:pStyle w:val="Heading2"/>
      </w:pPr>
      <w:r>
        <w:rPr>
          <w:b/>
          <w:bCs/>
        </w:rPr>
        <w:t xml:space="preserve">LLM Proxy Component</w:t>
      </w:r>
    </w:p>
    <w:p>
      <w:pPr>
        <w:pStyle w:val="FirstParagraph"/>
      </w:pPr>
      <w:r>
        <w:t xml:space="preserve">The LLM Proxy Component—internally named</w:t>
      </w:r>
      <w:r>
        <w:t xml:space="preserve"> </w:t>
      </w:r>
      <w:r>
        <w:rPr>
          <w:b/>
          <w:bCs/>
        </w:rPr>
        <w:t xml:space="preserve">Soul Gateway</w:t>
      </w:r>
      <w:r>
        <w:t xml:space="preserve">—is the centralized gateway through which all agents in the Achilles environment access Large Language Model inference. Its primary purpose is to decouple agents from individual LLM providers and to impose the operational controls—authentication, rate limiting, cost tracking, content filtering, and audit logging—that are prerequisites for defensible multi-agent deployments. Without such a gateway, each agent would need to manage its own provider credentials, handle rate limits independently, and produce its own audit trail, creating a fragmented and ungovernable surface. Soul Gateway addresses this by providing a single OpenAI-compatible API endpoint that agents call uniformly, regardless of the actual upstream provider (OpenRouter, Anthropic, OpenAI, Google, HuggingFace, or any OpenAI-compatible service). The gateway then routes, authenticates, monitors, and logs every inference request, producing the observability and cost control substrate that the rest of the stack relies on.</w:t>
      </w:r>
    </w:p>
    <w:bookmarkStart w:id="34" w:name="architecture-1"/>
    <w:p>
      <w:pPr>
        <w:pStyle w:val="Heading3"/>
      </w:pPr>
      <w:r>
        <w:t xml:space="preserve">Architecture</w:t>
      </w:r>
    </w:p>
    <w:p>
      <w:pPr>
        <w:pStyle w:val="FirstParagraph"/>
      </w:pPr>
      <w:r>
        <w:t xml:space="preserve">Soul Gateway is implemented as a Node.js 20 HTTP server backed by PostgreSQL for persistent state. It is deployed as a Ploinky agent within a containerized workspace, and in production it is exposed through a Cloudflare tunnel at a stable public endpoint. The core design is a</w:t>
      </w:r>
      <w:r>
        <w:t xml:space="preserve"> </w:t>
      </w:r>
      <w:r>
        <w:rPr>
          <w:b/>
          <w:bCs/>
        </w:rPr>
        <w:t xml:space="preserve">pipeline architecture</w:t>
      </w:r>
      <w:r>
        <w:t xml:space="preserve">: each incoming inference request passes through an ordered sequence of stages, each of which may enrich, validate, block, or transform the request before the next stage executes. The pipeline consists of eighteen stages, proceeding in strict order: CORS and path parsing, bearer token authentication, agent and session identification, request body validation, loop detection, blacklist scanning, rate limit checking, budget verification, model routing, prompt hash computation, prompt size validation, response cache lookup, model concurrency queuing, upstream dispatch with retries, stream handling, cost calculation, response validation, and finally call logging with WebSocket broadcasting. This design ensures that every request is subject to the full set of controls regardless of which code path initiated it, and that the order of checks is deterministic and auditable.</w:t>
      </w:r>
      <w:r>
        <w:t xml:space="preserve"> </w:t>
      </w:r>
      <w:r>
        <w:t xml:space="preserve">The server exposes several endpoint families. The primary agent-facing endpoint is</w:t>
      </w:r>
      <w:r>
        <w:t xml:space="preserve"> </w:t>
      </w:r>
      <w:r>
        <w:rPr>
          <w:rStyle w:val="VerbatimChar"/>
        </w:rPr>
        <w:t xml:space="preserve">POST /v1/chat/completions</w:t>
      </w:r>
      <w:r>
        <w:t xml:space="preserve">, which implements the OpenAI Chat Completions API and supports both streaming (Server-Sent Events) and non-streaming responses. Additional passthrough endpoints (</w:t>
      </w:r>
      <w:r>
        <w:rPr>
          <w:rStyle w:val="VerbatimChar"/>
        </w:rPr>
        <w:t xml:space="preserve">/v1/messages</w:t>
      </w:r>
      <w:r>
        <w:t xml:space="preserve"> </w:t>
      </w:r>
      <w:r>
        <w:t xml:space="preserve">for Anthropic,</w:t>
      </w:r>
      <w:r>
        <w:t xml:space="preserve"> </w:t>
      </w:r>
      <w:r>
        <w:rPr>
          <w:rStyle w:val="VerbatimChar"/>
        </w:rPr>
        <w:t xml:space="preserve">/v1/responses</w:t>
      </w:r>
      <w:r>
        <w:t xml:space="preserve"> </w:t>
      </w:r>
      <w:r>
        <w:t xml:space="preserve">for OpenAI Responses API) forward requests to their respective upstream providers while still enforcing authentication, rate limiting, and logging. A model discovery endpoint (</w:t>
      </w:r>
      <w:r>
        <w:rPr>
          <w:rStyle w:val="VerbatimChar"/>
        </w:rPr>
        <w:t xml:space="preserve">GET /v1/models</w:t>
      </w:r>
      <w:r>
        <w:t xml:space="preserve">) lists all configured models with their pricing, tier assignment, and availability status, enabling agents to select models dynamically based on capability and cost. A management API, protected by dashboard authentication, provides full CRUD operations for API keys, model configurations, tier definitions, blacklist rules, and audit log queries. A real-time log streaming endpoint delivers call logs over Server-Sent Events (SSE), enabling the dashboard and external monitoring tools to observe inference activity as it occurs. Finally, a single-page application dashboard serves as the management and observability interface, providing model configuration editing, API key generation, cost and usage metrics, error rate breakdowns, and session activity trees.</w:t>
      </w:r>
      <w:r>
        <w:t xml:space="preserve"> </w:t>
      </w:r>
      <w:r>
        <w:t xml:space="preserve">The upstream dispatch layer integrates with</w:t>
      </w:r>
      <w:r>
        <w:t xml:space="preserve"> </w:t>
      </w:r>
      <w:r>
        <w:rPr>
          <w:b/>
          <w:bCs/>
        </w:rPr>
        <w:t xml:space="preserve">AchillesAgentLib</w:t>
      </w:r>
      <w:r>
        <w:t xml:space="preserve"> </w:t>
      </w:r>
      <w:r>
        <w:t xml:space="preserve">(described in the next section) for provider-agnostic model communication. AchillesAgentLib exposes async generators that yield typed chunks (</w:t>
      </w:r>
      <w:r>
        <w:rPr>
          <w:rStyle w:val="VerbatimChar"/>
        </w:rPr>
        <w:t xml:space="preserve">text_delta</w:t>
      </w:r>
      <w:r>
        <w:t xml:space="preserve">,</w:t>
      </w:r>
      <w:r>
        <w:t xml:space="preserve"> </w:t>
      </w:r>
      <w:r>
        <w:rPr>
          <w:rStyle w:val="VerbatimChar"/>
        </w:rPr>
        <w:t xml:space="preserve">full_text</w:t>
      </w:r>
      <w:r>
        <w:t xml:space="preserve">,</w:t>
      </w:r>
      <w:r>
        <w:t xml:space="preserve"> </w:t>
      </w:r>
      <w:r>
        <w:rPr>
          <w:rStyle w:val="VerbatimChar"/>
        </w:rPr>
        <w:t xml:space="preserve">error</w:t>
      </w:r>
      <w:r>
        <w:t xml:space="preserve">,</w:t>
      </w:r>
      <w:r>
        <w:t xml:space="preserve"> </w:t>
      </w:r>
      <w:r>
        <w:rPr>
          <w:rStyle w:val="VerbatimChar"/>
        </w:rPr>
        <w:t xml:space="preserve">usage</w:t>
      </w:r>
      <w:r>
        <w:t xml:space="preserve">), and Soul Gateway’s stream-tap module consumes these generators, re-encodes them as OpenAI-compatible SSE frames, tracks time-to-first-byte, accumulates token usage, and handles mid-stream errors gracefully. For non-streaming requests, the same generator is consumed to completion and the result is assembled into a standard JSON response. This architecture means that adding a new upstream provider requires only a configuration change in AchillesAgentLib’s provider registry; Soul Gateway’s pipeline, logging, and cost calculation operate identically regardless of the upstream source.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Architectural layer</w:t>
            </w:r>
          </w:p>
        </w:tc>
        <w:tc>
          <w:tcPr/>
          <w:p>
            <w:pPr>
              <w:pStyle w:val="Compact"/>
              <w:jc w:val="left"/>
            </w:pPr>
            <w:r>
              <w:t xml:space="preserve">Components</w:t>
            </w:r>
          </w:p>
        </w:tc>
        <w:tc>
          <w:tcPr/>
          <w:p>
            <w:pPr>
              <w:pStyle w:val="Compact"/>
              <w:jc w:val="left"/>
            </w:pPr>
            <w:r>
              <w:t xml:space="preserve">Responsibility</w:t>
            </w:r>
          </w:p>
        </w:tc>
      </w:tr>
      <w:tr>
        <w:tc>
          <w:tcPr/>
          <w:p>
            <w:pPr>
              <w:pStyle w:val="Compact"/>
              <w:jc w:val="left"/>
            </w:pPr>
            <w:r>
              <w:t xml:space="preserve">API surface</w:t>
            </w:r>
          </w:p>
        </w:tc>
        <w:tc>
          <w:tcPr/>
          <w:p>
            <w:pPr>
              <w:pStyle w:val="Compact"/>
              <w:jc w:val="left"/>
            </w:pPr>
            <w:r>
              <w:rPr>
                <w:rStyle w:val="VerbatimChar"/>
              </w:rPr>
              <w:t xml:space="preserve">/v1/chat/completions</w:t>
            </w:r>
            <w:r>
              <w:t xml:space="preserve">,</w:t>
            </w:r>
            <w:r>
              <w:t xml:space="preserve"> </w:t>
            </w:r>
            <w:r>
              <w:rPr>
                <w:rStyle w:val="VerbatimChar"/>
              </w:rPr>
              <w:t xml:space="preserve">/v1/models</w:t>
            </w:r>
            <w:r>
              <w:t xml:space="preserve">,</w:t>
            </w:r>
            <w:r>
              <w:t xml:space="preserve"> </w:t>
            </w:r>
            <w:r>
              <w:rPr>
                <w:rStyle w:val="VerbatimChar"/>
              </w:rPr>
              <w:t xml:space="preserve">/v1/messages</w:t>
            </w:r>
            <w:r>
              <w:t xml:space="preserve">,</w:t>
            </w:r>
            <w:r>
              <w:t xml:space="preserve"> </w:t>
            </w:r>
            <w:r>
              <w:rPr>
                <w:rStyle w:val="VerbatimChar"/>
              </w:rPr>
              <w:t xml:space="preserve">/v1/responses</w:t>
            </w:r>
          </w:p>
        </w:tc>
        <w:tc>
          <w:tcPr/>
          <w:p>
            <w:pPr>
              <w:pStyle w:val="Compact"/>
              <w:jc w:val="left"/>
            </w:pPr>
            <w:r>
              <w:t xml:space="preserve">OpenAI-compatible inference, model discovery, API passthrough</w:t>
            </w:r>
          </w:p>
        </w:tc>
      </w:tr>
      <w:tr>
        <w:tc>
          <w:tcPr/>
          <w:p>
            <w:pPr>
              <w:pStyle w:val="Compact"/>
              <w:jc w:val="left"/>
            </w:pPr>
            <w:r>
              <w:t xml:space="preserve">Pipeline</w:t>
            </w:r>
          </w:p>
        </w:tc>
        <w:tc>
          <w:tcPr/>
          <w:p>
            <w:pPr>
              <w:pStyle w:val="Compact"/>
              <w:jc w:val="left"/>
            </w:pPr>
            <w:r>
              <w:t xml:space="preserve">18 ordered stages in</w:t>
            </w:r>
            <w:r>
              <w:t xml:space="preserve"> </w:t>
            </w:r>
            <w:r>
              <w:rPr>
                <w:rStyle w:val="VerbatimChar"/>
              </w:rPr>
              <w:t xml:space="preserve">pipeline.mjs</w:t>
            </w:r>
          </w:p>
        </w:tc>
        <w:tc>
          <w:tcPr/>
          <w:p>
            <w:pPr>
              <w:pStyle w:val="Compact"/>
              <w:jc w:val="left"/>
            </w:pPr>
            <w:r>
              <w:t xml:space="preserve">Authentication, validation, routing, rate limiting, dispatch, logging</w:t>
            </w:r>
          </w:p>
        </w:tc>
      </w:tr>
      <w:tr>
        <w:tc>
          <w:tcPr/>
          <w:p>
            <w:pPr>
              <w:pStyle w:val="Compact"/>
              <w:jc w:val="left"/>
            </w:pPr>
            <w:r>
              <w:t xml:space="preserve">Model routing</w:t>
            </w:r>
          </w:p>
        </w:tc>
        <w:tc>
          <w:tcPr/>
          <w:p>
            <w:pPr>
              <w:pStyle w:val="Compact"/>
              <w:jc w:val="left"/>
            </w:pPr>
            <w:r>
              <w:rPr>
                <w:rStyle w:val="VerbatimChar"/>
              </w:rPr>
              <w:t xml:space="preserve">model-router.mjs</w:t>
            </w:r>
            <w:r>
              <w:t xml:space="preserve">,</w:t>
            </w:r>
            <w:r>
              <w:t xml:space="preserve"> </w:t>
            </w:r>
            <w:r>
              <w:rPr>
                <w:rStyle w:val="VerbatimChar"/>
              </w:rPr>
              <w:t xml:space="preserve">models-dao.mjs</w:t>
            </w:r>
            <w:r>
              <w:t xml:space="preserve">,</w:t>
            </w:r>
            <w:r>
              <w:t xml:space="preserve"> </w:t>
            </w:r>
            <w:r>
              <w:rPr>
                <w:rStyle w:val="VerbatimChar"/>
              </w:rPr>
              <w:t xml:space="preserve">tiers-dao.mjs</w:t>
            </w:r>
          </w:p>
        </w:tc>
        <w:tc>
          <w:tcPr/>
          <w:p>
            <w:pPr>
              <w:pStyle w:val="Compact"/>
              <w:jc w:val="left"/>
            </w:pPr>
            <w:r>
              <w:t xml:space="preserve">Model resolution by name or tier with fallback chains</w:t>
            </w:r>
          </w:p>
        </w:tc>
      </w:tr>
      <w:tr>
        <w:tc>
          <w:tcPr/>
          <w:p>
            <w:pPr>
              <w:pStyle w:val="Compact"/>
              <w:jc w:val="left"/>
            </w:pPr>
            <w:r>
              <w:t xml:space="preserve">Upstream dispatch</w:t>
            </w:r>
          </w:p>
        </w:tc>
        <w:tc>
          <w:tcPr/>
          <w:p>
            <w:pPr>
              <w:pStyle w:val="Compact"/>
              <w:jc w:val="left"/>
            </w:pPr>
            <w:r>
              <w:rPr>
                <w:rStyle w:val="VerbatimChar"/>
              </w:rPr>
              <w:t xml:space="preserve">upstream-dispatch.mjs</w:t>
            </w:r>
            <w:r>
              <w:t xml:space="preserve">,</w:t>
            </w:r>
            <w:r>
              <w:t xml:space="preserve"> </w:t>
            </w:r>
            <w:r>
              <w:rPr>
                <w:rStyle w:val="VerbatimChar"/>
              </w:rPr>
              <w:t xml:space="preserve">retry.mjs</w:t>
            </w:r>
            <w:r>
              <w:t xml:space="preserve">, AchillesAgentLib</w:t>
            </w:r>
          </w:p>
        </w:tc>
        <w:tc>
          <w:tcPr/>
          <w:p>
            <w:pPr>
              <w:pStyle w:val="Compact"/>
              <w:jc w:val="left"/>
            </w:pPr>
            <w:r>
              <w:t xml:space="preserve">Provider-agnostic dispatch with exponential backoff retries</w:t>
            </w:r>
          </w:p>
        </w:tc>
      </w:tr>
      <w:tr>
        <w:tc>
          <w:tcPr/>
          <w:p>
            <w:pPr>
              <w:pStyle w:val="Compact"/>
              <w:jc w:val="left"/>
            </w:pPr>
            <w:r>
              <w:t xml:space="preserve">Stream handling</w:t>
            </w:r>
          </w:p>
        </w:tc>
        <w:tc>
          <w:tcPr/>
          <w:p>
            <w:pPr>
              <w:pStyle w:val="Compact"/>
              <w:jc w:val="left"/>
            </w:pPr>
            <w:r>
              <w:rPr>
                <w:rStyle w:val="VerbatimChar"/>
              </w:rPr>
              <w:t xml:space="preserve">stream-tap.mjs</w:t>
            </w:r>
          </w:p>
        </w:tc>
        <w:tc>
          <w:tcPr/>
          <w:p>
            <w:pPr>
              <w:pStyle w:val="Compact"/>
              <w:jc w:val="left"/>
            </w:pPr>
            <w:r>
              <w:t xml:space="preserve">SSE encoding, TTFB tracking, mid-stream error handling</w:t>
            </w:r>
          </w:p>
        </w:tc>
      </w:tr>
      <w:tr>
        <w:tc>
          <w:tcPr/>
          <w:p>
            <w:pPr>
              <w:pStyle w:val="Compact"/>
              <w:jc w:val="left"/>
            </w:pPr>
            <w:r>
              <w:t xml:space="preserve">Persistence</w:t>
            </w:r>
          </w:p>
        </w:tc>
        <w:tc>
          <w:tcPr/>
          <w:p>
            <w:pPr>
              <w:pStyle w:val="Compact"/>
              <w:jc w:val="left"/>
            </w:pPr>
            <w:r>
              <w:t xml:space="preserve">PostgreSQL with monthly partitioned</w:t>
            </w:r>
            <w:r>
              <w:t xml:space="preserve"> </w:t>
            </w:r>
            <w:r>
              <w:rPr>
                <w:rStyle w:val="VerbatimChar"/>
              </w:rPr>
              <w:t xml:space="preserve">call_logs</w:t>
            </w:r>
            <w:r>
              <w:t xml:space="preserve">,</w:t>
            </w:r>
            <w:r>
              <w:t xml:space="preserve"> </w:t>
            </w:r>
            <w:r>
              <w:rPr>
                <w:rStyle w:val="VerbatimChar"/>
              </w:rPr>
              <w:t xml:space="preserve">api_keys</w:t>
            </w:r>
            <w:r>
              <w:t xml:space="preserve">,</w:t>
            </w:r>
            <w:r>
              <w:t xml:space="preserve"> </w:t>
            </w:r>
            <w:r>
              <w:rPr>
                <w:rStyle w:val="VerbatimChar"/>
              </w:rPr>
              <w:t xml:space="preserve">model_configs</w:t>
            </w:r>
            <w:r>
              <w:t xml:space="preserve">,</w:t>
            </w:r>
            <w:r>
              <w:t xml:space="preserve"> </w:t>
            </w:r>
            <w:r>
              <w:rPr>
                <w:rStyle w:val="VerbatimChar"/>
              </w:rPr>
              <w:t xml:space="preserve">rate_limit_state</w:t>
            </w:r>
          </w:p>
        </w:tc>
        <w:tc>
          <w:tcPr/>
          <w:p>
            <w:pPr>
              <w:pStyle w:val="Compact"/>
              <w:jc w:val="left"/>
            </w:pPr>
            <w:r>
              <w:t xml:space="preserve">Audit trails, key storage, rate state, cost records</w:t>
            </w:r>
          </w:p>
        </w:tc>
      </w:tr>
      <w:tr>
        <w:tc>
          <w:tcPr/>
          <w:p>
            <w:pPr>
              <w:pStyle w:val="Compact"/>
              <w:jc w:val="left"/>
            </w:pPr>
            <w:r>
              <w:t xml:space="preserve">Management</w:t>
            </w:r>
          </w:p>
        </w:tc>
        <w:tc>
          <w:tcPr/>
          <w:p>
            <w:pPr>
              <w:pStyle w:val="Compact"/>
              <w:jc w:val="left"/>
            </w:pPr>
            <w:r>
              <w:t xml:space="preserve">Dashboard SPA,</w:t>
            </w:r>
            <w:r>
              <w:t xml:space="preserve"> </w:t>
            </w:r>
            <w:r>
              <w:rPr>
                <w:rStyle w:val="VerbatimChar"/>
              </w:rPr>
              <w:t xml:space="preserve">/api/v1/*</w:t>
            </w:r>
            <w:r>
              <w:t xml:space="preserve"> </w:t>
            </w:r>
            <w:r>
              <w:t xml:space="preserve">endpoints, SSE log streaming</w:t>
            </w:r>
          </w:p>
        </w:tc>
        <w:tc>
          <w:tcPr/>
          <w:p>
            <w:pPr>
              <w:pStyle w:val="Compact"/>
              <w:jc w:val="left"/>
            </w:pPr>
            <w:r>
              <w:t xml:space="preserve">Configuration, monitoring, real-time observability</w:t>
            </w:r>
          </w:p>
        </w:tc>
      </w:tr>
    </w:tbl>
    <w:bookmarkEnd w:id="34"/>
    <w:bookmarkStart w:id="35" w:name="features-1"/>
    <w:p>
      <w:pPr>
        <w:pStyle w:val="Heading3"/>
      </w:pPr>
      <w:r>
        <w:t xml:space="preserve">Features</w:t>
      </w:r>
    </w:p>
    <w:p>
      <w:pPr>
        <w:pStyle w:val="FirstParagraph"/>
      </w:pPr>
      <w:r>
        <w:rPr>
          <w:b/>
          <w:bCs/>
        </w:rPr>
        <w:t xml:space="preserve">Model routing and tier system.</w:t>
      </w:r>
      <w:r>
        <w:t xml:space="preserve"> </w:t>
      </w:r>
      <w:r>
        <w:t xml:space="preserve">Soul Gateway resolves the model identifier provided by the agent through a three-step strategy. First, it attempts a direct lookup in the</w:t>
      </w:r>
      <w:r>
        <w:t xml:space="preserve"> </w:t>
      </w:r>
      <w:r>
        <w:rPr>
          <w:rStyle w:val="VerbatimChar"/>
        </w:rPr>
        <w:t xml:space="preserve">model_configs</w:t>
      </w:r>
      <w:r>
        <w:t xml:space="preserve"> </w:t>
      </w:r>
      <w:r>
        <w:t xml:space="preserve">table by exact name. If no match is found, it consults the</w:t>
      </w:r>
      <w:r>
        <w:t xml:space="preserve"> </w:t>
      </w:r>
      <w:r>
        <w:rPr>
          <w:rStyle w:val="VerbatimChar"/>
        </w:rPr>
        <w:t xml:space="preserve">model_tiers</w:t>
      </w:r>
      <w:r>
        <w:t xml:space="preserve"> </w:t>
      </w:r>
      <w:r>
        <w:t xml:space="preserve">table, which groups models into logical tiers (e.g.,</w:t>
      </w:r>
      <w:r>
        <w:t xml:space="preserve"> </w:t>
      </w:r>
      <w:r>
        <w:t xml:space="preserve">“fast”</w:t>
      </w:r>
      <w:r>
        <w:t xml:space="preserve">,</w:t>
      </w:r>
      <w:r>
        <w:t xml:space="preserve"> </w:t>
      </w:r>
      <w:r>
        <w:t xml:space="preserve">“deep”</w:t>
      </w:r>
      <w:r>
        <w:t xml:space="preserve">) with an ordered list of candidate models and an optional fallback tier. The router selects the first enabled model in the tier; if all models in the tier are unavailable, it follows the fallback chain until a viable model is found. Each model configuration stores the upstream provider key, the provider-specific model identifier, pricing (input and output cost per million tokens), a maximum concurrency limit, and the context window size. This indirection means that agents can request a logical capability (</w:t>
      </w:r>
      <w:r>
        <w:t xml:space="preserve">“fast”</w:t>
      </w:r>
      <w:r>
        <w:t xml:space="preserve"> </w:t>
      </w:r>
      <w:r>
        <w:t xml:space="preserve">or</w:t>
      </w:r>
      <w:r>
        <w:t xml:space="preserve"> </w:t>
      </w:r>
      <w:r>
        <w:t xml:space="preserve">“deep”</w:t>
      </w:r>
      <w:r>
        <w:t xml:space="preserve">) rather than a specific model name, and the gateway can rebalance traffic, swap providers, or introduce new models without requiring changes to any agent code.</w:t>
      </w:r>
    </w:p>
    <w:p>
      <w:pPr>
        <w:pStyle w:val="BodyText"/>
      </w:pPr>
      <w:r>
        <w:rPr>
          <w:b/>
          <w:bCs/>
        </w:rPr>
        <w:t xml:space="preserve">API key management and encryption.</w:t>
      </w:r>
      <w:r>
        <w:t xml:space="preserve"> </w:t>
      </w:r>
      <w:r>
        <w:t xml:space="preserve">API keys are generated with the format</w:t>
      </w:r>
      <w:r>
        <w:t xml:space="preserve"> </w:t>
      </w:r>
      <w:r>
        <w:rPr>
          <w:rStyle w:val="VerbatimChar"/>
        </w:rPr>
        <w:t xml:space="preserve">sk-soul-&lt;64-hex-chars&gt;</w:t>
      </w:r>
      <w:r>
        <w:t xml:space="preserve"> </w:t>
      </w:r>
      <w:r>
        <w:t xml:space="preserve">and stored using a dual representation: a SHA-256 hash for constant-time lookup, and an AES-256-GCM encrypted copy for key recovery and management display. The encryption key is a 32-byte random value stored outside the database (in the Ploinky secret store or a persistent configuration file), ensuring that database compromise alone does not expose raw keys. Each key carries per-key operational limits: requests per minute (RPM, default 60), tokens per minute (TPM, default 100,000), an optional monthly spending budget, and an optional expiration timestamp. Keys can be revoked without deletion, preserving audit trail integrity. The dashboard displays only a hint (</w:t>
      </w:r>
      <w:r>
        <w:rPr>
          <w:rStyle w:val="VerbatimChar"/>
        </w:rPr>
        <w:t xml:space="preserve">sk-soul-abc…xyz</w:t>
      </w:r>
      <w:r>
        <w:t xml:space="preserve">) comprising the first twelve and last four characters, so that keys can be identified without exposing the full value.</w:t>
      </w:r>
    </w:p>
    <w:p>
      <w:pPr>
        <w:pStyle w:val="BodyText"/>
      </w:pPr>
      <w:r>
        <w:rPr>
          <w:b/>
          <w:bCs/>
        </w:rPr>
        <w:t xml:space="preserve">Rate limiting and budget enforcement.</w:t>
      </w:r>
      <w:r>
        <w:t xml:space="preserve"> </w:t>
      </w:r>
      <w:r>
        <w:t xml:space="preserve">Rate limiting operates on a sliding 60-second window per API key, with state stored atomically in PostgreSQL using</w:t>
      </w:r>
      <w:r>
        <w:t xml:space="preserve"> </w:t>
      </w:r>
      <w:r>
        <w:rPr>
          <w:rStyle w:val="VerbatimChar"/>
        </w:rPr>
        <w:t xml:space="preserve">ON CONFLICT</w:t>
      </w:r>
      <w:r>
        <w:t xml:space="preserve"> </w:t>
      </w:r>
      <w:r>
        <w:t xml:space="preserve">upserts. When the counter exceeds the key’s RPM limit, the gateway returns a 429 response with a</w:t>
      </w:r>
      <w:r>
        <w:t xml:space="preserve"> </w:t>
      </w:r>
      <w:r>
        <w:rPr>
          <w:rStyle w:val="VerbatimChar"/>
        </w:rPr>
        <w:t xml:space="preserve">Retry-After: 60</w:t>
      </w:r>
      <w:r>
        <w:t xml:space="preserve"> </w:t>
      </w:r>
      <w:r>
        <w:t xml:space="preserve">header. Token-per-minute tracking runs post-response and is recorded for observability but does not block requests, reflecting the practical reality that token counts are only known after inference completes. Monthly budget enforcement uses an in-memory cache with a 10-second TTL to avoid per-request database queries; when cumulative spend reaches the key’s budget, requests are blocked until the calendar month rolls over. Model-level concurrency is enforced through per-model semaphores with configurable slot limits (default: 3 concurrent requests per model) and a 60-second queue timeout, preventing any single model from being overwhelmed by concurrent requests.</w:t>
      </w:r>
    </w:p>
    <w:p>
      <w:pPr>
        <w:pStyle w:val="BodyText"/>
      </w:pPr>
      <w:r>
        <w:rPr>
          <w:b/>
          <w:bCs/>
        </w:rPr>
        <w:t xml:space="preserve">Content filtering.</w:t>
      </w:r>
      <w:r>
        <w:t xml:space="preserve"> </w:t>
      </w:r>
      <w:r>
        <w:t xml:space="preserve">A blacklist system allows administrators to define content policy rules that are evaluated before upstream dispatch. Each rule specifies a pattern, a match type (exact string, substring, or regular expression), and an action (currently</w:t>
      </w:r>
      <w:r>
        <w:t xml:space="preserve"> </w:t>
      </w:r>
      <w:r>
        <w:t xml:space="preserve">“block”</w:t>
      </w:r>
      <w:r>
        <w:t xml:space="preserve">). The pipeline concatenates all message content strings and scans against enabled rules; a match triggers a 400 response with the rule description and logs the matched pattern for audit. Rules can be created, updated, enabled, or disabled through the management API without restarting the gateway, enabling real-time policy adjustment.</w:t>
      </w:r>
    </w:p>
    <w:p>
      <w:pPr>
        <w:pStyle w:val="BodyText"/>
      </w:pPr>
      <w:r>
        <w:rPr>
          <w:b/>
          <w:bCs/>
        </w:rPr>
        <w:t xml:space="preserve">Loop detection.</w:t>
      </w:r>
      <w:r>
        <w:t xml:space="preserve"> </w:t>
      </w:r>
      <w:r>
        <w:t xml:space="preserve">Two complementary mechanisms guard against runaway agent behavior. Rapid-fire detection tracks per-session request frequency in a 60-second sliding window and blocks when the rate exceeds a configurable threshold (default: 50 requests per minute). Repeated-content detection computes SHA-256 hashes of message content concatenated with the model name and flags sequences of more than 10 consecutive identical requests from the same session. Both mechanisms use in-memory state with automatic eviction of stale entries every 5 minutes (30-minute inactivity threshold), balancing detection sensitivity against memory overhead.</w:t>
      </w:r>
    </w:p>
    <w:p>
      <w:pPr>
        <w:pStyle w:val="BodyText"/>
      </w:pPr>
      <w:r>
        <w:rPr>
          <w:b/>
          <w:bCs/>
        </w:rPr>
        <w:t xml:space="preserve">Retry logic with exponential backoff.</w:t>
      </w:r>
      <w:r>
        <w:t xml:space="preserve"> </w:t>
      </w:r>
      <w:r>
        <w:t xml:space="preserve">When an upstream provider returns a retryable error (429, 500, 502, 503, 504, or 408), the gateway automatically retries with exponential backoff (1s → 2s → 4s, capped at 30s) and ±20% jitter to prevent thundering herd effects. Non-retryable errors (400, 401, 402, 403, 404) are returned immediately. A peek-ahead mechanism consumes the first chunk from the streaming generator before returning to the caller; this catches synchronous errors (authentication failures, connection refused) early enough to retry with a different attempt. Once streaming has begun and chunks have been sent to the client, mid-stream errors are passed through as error events rather than retried. Each retry attempt is logged with its status code, error classification, and delay, producing a detailed</w:t>
      </w:r>
      <w:r>
        <w:t xml:space="preserve"> </w:t>
      </w:r>
      <w:r>
        <w:rPr>
          <w:rStyle w:val="VerbatimChar"/>
        </w:rPr>
        <w:t xml:space="preserve">retries_detail</w:t>
      </w:r>
      <w:r>
        <w:t xml:space="preserve"> </w:t>
      </w:r>
      <w:r>
        <w:t xml:space="preserve">array in the call log.</w:t>
      </w:r>
    </w:p>
    <w:p>
      <w:pPr>
        <w:pStyle w:val="BodyText"/>
      </w:pPr>
      <w:r>
        <w:rPr>
          <w:b/>
          <w:bCs/>
        </w:rPr>
        <w:t xml:space="preserve">Comprehensive audit logging.</w:t>
      </w:r>
      <w:r>
        <w:t xml:space="preserve"> </w:t>
      </w:r>
      <w:r>
        <w:t xml:space="preserve">Every inference request produces a structured call log record stored in a monthly-partitioned PostgreSQL table. The record captures the full request context (agent name, session ID, soul identity, requested and resolved model, streaming flag, message history, request size), the full response (content, status code, stop reason, response size), performance metrics (latency, time-to-first-byte, token counts), cost breakdown (input cost, output cost, total cost at 6-decimal precision), retry history, and classification flags (blacklist match, truncation, slow response, prompt size warning, cache hit). Indexes on common query dimensions (soul identity, model, API key, session, time, error type) support efficient dashboard queries and metric aggregation. Monthly partitioning enables automatic retention management: old partitions are dropped after a configurable period (default 90 days), while the system pre-creates partitions for the current month plus three months ahead.</w:t>
      </w:r>
    </w:p>
    <w:p>
      <w:pPr>
        <w:pStyle w:val="BodyText"/>
      </w:pPr>
      <w:r>
        <w:rPr>
          <w:b/>
          <w:bCs/>
        </w:rPr>
        <w:t xml:space="preserve">Agent and session tracking.</w:t>
      </w:r>
      <w:r>
        <w:t xml:space="preserve"> </w:t>
      </w:r>
      <w:r>
        <w:t xml:space="preserve">Soul Gateway automatically identifies the calling agent from the</w:t>
      </w:r>
      <w:r>
        <w:t xml:space="preserve"> </w:t>
      </w:r>
      <w:r>
        <w:rPr>
          <w:rStyle w:val="VerbatimChar"/>
        </w:rPr>
        <w:t xml:space="preserve">X-Soul-Agent</w:t>
      </w:r>
      <w:r>
        <w:t xml:space="preserve"> </w:t>
      </w:r>
      <w:r>
        <w:t xml:space="preserve">header or, if absent, by pattern-matching the</w:t>
      </w:r>
      <w:r>
        <w:t xml:space="preserve"> </w:t>
      </w:r>
      <w:r>
        <w:rPr>
          <w:rStyle w:val="VerbatimChar"/>
        </w:rPr>
        <w:t xml:space="preserve">User-Agent</w:t>
      </w:r>
      <w:r>
        <w:t xml:space="preserve"> </w:t>
      </w:r>
      <w:r>
        <w:t xml:space="preserve">header against known agent signatures (Claude Code, Codex CLI, Gemini CLI, Aider, Continue, Cursor, Copilot, Cline, Windsurf, and others). Sessions are resolved per API key and agent name: if a client provides an</w:t>
      </w:r>
      <w:r>
        <w:t xml:space="preserve"> </w:t>
      </w:r>
      <w:r>
        <w:rPr>
          <w:rStyle w:val="VerbatimChar"/>
        </w:rPr>
        <w:t xml:space="preserve">X-Soul-Session</w:t>
      </w:r>
      <w:r>
        <w:t xml:space="preserve"> </w:t>
      </w:r>
      <w:r>
        <w:t xml:space="preserve">header, it is used directly; otherwise, the gateway reuses the most recent session for that key-agent pair if the last request was within 30 minutes, or generates a new session UUID. This automatic session resolution enables per-session analytics, cost attribution, and activity tracking without requiring agents to implement session management.</w:t>
      </w:r>
    </w:p>
    <w:p>
      <w:pPr>
        <w:pStyle w:val="BodyText"/>
      </w:pPr>
      <w:r>
        <w:rPr>
          <w:b/>
          <w:bCs/>
        </w:rPr>
        <w:t xml:space="preserve">Response caching.</w:t>
      </w:r>
      <w:r>
        <w:t xml:space="preserve"> </w:t>
      </w:r>
      <w:r>
        <w:t xml:space="preserve">For non-streaming requests, Soul Gateway computes a SHA-256 hash of the message content concatenated with the resolved model name and checks for a previous successful response with the same hash. On a cache hit, the gateway returns the cached response with an</w:t>
      </w:r>
      <w:r>
        <w:t xml:space="preserve"> </w:t>
      </w:r>
      <w:r>
        <w:rPr>
          <w:rStyle w:val="VerbatimChar"/>
        </w:rPr>
        <w:t xml:space="preserve">X-Cache: HIT</w:t>
      </w:r>
      <w:r>
        <w:t xml:space="preserve"> </w:t>
      </w:r>
      <w:r>
        <w:t xml:space="preserve">header, bypassing upstream dispatch entirely. Cost is still calculated from the cached usage data so that the call log accurately reflects what the client received. This mechanism is particularly effective for agents that retry identical prompts after transient failures or that execute deterministic skill invocations with stable inputs.</w:t>
      </w:r>
    </w:p>
    <w:p>
      <w:pPr>
        <w:pStyle w:val="BodyText"/>
      </w:pPr>
      <w:r>
        <w:rPr>
          <w:b/>
          <w:bCs/>
        </w:rPr>
        <w:t xml:space="preserve">Real-time observability.</w:t>
      </w:r>
      <w:r>
        <w:t xml:space="preserve"> </w:t>
      </w:r>
      <w:r>
        <w:t xml:space="preserve">The dashboard provides live log streaming via Server-Sent Events, cost and usage metrics aggregated by model, API key, and time period, error rate breakdowns by type and model, and a hierarchical agent/session activity tree. The management API supports data export in CSV and JSON formats for integration with external analytics tools. WebSocket-based soul subscriptions allow external systems to monitor activity for specific soul identities in real time.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Mechanism</w:t>
            </w:r>
          </w:p>
        </w:tc>
        <w:tc>
          <w:tcPr/>
          <w:p>
            <w:pPr>
              <w:pStyle w:val="Compact"/>
              <w:jc w:val="left"/>
            </w:pPr>
            <w:r>
              <w:t xml:space="preserve">Operational benefit for multi-agent systems</w:t>
            </w:r>
          </w:p>
        </w:tc>
      </w:tr>
      <w:tr>
        <w:tc>
          <w:tcPr/>
          <w:p>
            <w:pPr>
              <w:pStyle w:val="Compact"/>
              <w:jc w:val="left"/>
            </w:pPr>
            <w:r>
              <w:t xml:space="preserve">Model routing with tiers</w:t>
            </w:r>
          </w:p>
        </w:tc>
        <w:tc>
          <w:tcPr/>
          <w:p>
            <w:pPr>
              <w:pStyle w:val="Compact"/>
              <w:jc w:val="left"/>
            </w:pPr>
            <w:r>
              <w:t xml:space="preserve">Direct lookup → tier resolution → fallback chain</w:t>
            </w:r>
          </w:p>
        </w:tc>
        <w:tc>
          <w:tcPr/>
          <w:p>
            <w:pPr>
              <w:pStyle w:val="Compact"/>
              <w:jc w:val="left"/>
            </w:pPr>
            <w:r>
              <w:t xml:space="preserve">Agents request capabilities, not specific models; provider changes are transparent</w:t>
            </w:r>
          </w:p>
        </w:tc>
      </w:tr>
      <w:tr>
        <w:tc>
          <w:tcPr/>
          <w:p>
            <w:pPr>
              <w:pStyle w:val="Compact"/>
              <w:jc w:val="left"/>
            </w:pPr>
            <w:r>
              <w:t xml:space="preserve">Encrypted API key management</w:t>
            </w:r>
          </w:p>
        </w:tc>
        <w:tc>
          <w:tcPr/>
          <w:p>
            <w:pPr>
              <w:pStyle w:val="Compact"/>
              <w:jc w:val="left"/>
            </w:pPr>
            <w:r>
              <w:t xml:space="preserve">SHA-256 lookup + AES-256-GCM storage</w:t>
            </w:r>
          </w:p>
        </w:tc>
        <w:tc>
          <w:tcPr/>
          <w:p>
            <w:pPr>
              <w:pStyle w:val="Compact"/>
              <w:jc w:val="left"/>
            </w:pPr>
            <w:r>
              <w:t xml:space="preserve">Credential security survives database compromise; per-key operational limits</w:t>
            </w:r>
          </w:p>
        </w:tc>
      </w:tr>
      <w:tr>
        <w:tc>
          <w:tcPr/>
          <w:p>
            <w:pPr>
              <w:pStyle w:val="Compact"/>
              <w:jc w:val="left"/>
            </w:pPr>
            <w:r>
              <w:t xml:space="preserve">Rate limiting (RPM/TPM)</w:t>
            </w:r>
          </w:p>
        </w:tc>
        <w:tc>
          <w:tcPr/>
          <w:p>
            <w:pPr>
              <w:pStyle w:val="Compact"/>
              <w:jc w:val="left"/>
            </w:pPr>
            <w:r>
              <w:t xml:space="preserve">Sliding window in PostgreSQL; per-key limits</w:t>
            </w:r>
          </w:p>
        </w:tc>
        <w:tc>
          <w:tcPr/>
          <w:p>
            <w:pPr>
              <w:pStyle w:val="Compact"/>
              <w:jc w:val="left"/>
            </w:pPr>
            <w:r>
              <w:t xml:space="preserve">Prevents credential abuse and resource exhaustion; fair sharing across agents</w:t>
            </w:r>
          </w:p>
        </w:tc>
      </w:tr>
      <w:tr>
        <w:tc>
          <w:tcPr/>
          <w:p>
            <w:pPr>
              <w:pStyle w:val="Compact"/>
              <w:jc w:val="left"/>
            </w:pPr>
            <w:r>
              <w:t xml:space="preserve">Monthly budget enforcement</w:t>
            </w:r>
          </w:p>
        </w:tc>
        <w:tc>
          <w:tcPr/>
          <w:p>
            <w:pPr>
              <w:pStyle w:val="Compact"/>
              <w:jc w:val="left"/>
            </w:pPr>
            <w:r>
              <w:t xml:space="preserve">In-memory cache with DB backing; per-key budgets</w:t>
            </w:r>
          </w:p>
        </w:tc>
        <w:tc>
          <w:tcPr/>
          <w:p>
            <w:pPr>
              <w:pStyle w:val="Compact"/>
              <w:jc w:val="left"/>
            </w:pPr>
            <w:r>
              <w:t xml:space="preserve">Cost control without per-request database overhead</w:t>
            </w:r>
          </w:p>
        </w:tc>
      </w:tr>
      <w:tr>
        <w:tc>
          <w:tcPr/>
          <w:p>
            <w:pPr>
              <w:pStyle w:val="Compact"/>
              <w:jc w:val="left"/>
            </w:pPr>
            <w:r>
              <w:t xml:space="preserve">Content filtering (blacklist)</w:t>
            </w:r>
          </w:p>
        </w:tc>
        <w:tc>
          <w:tcPr/>
          <w:p>
            <w:pPr>
              <w:pStyle w:val="Compact"/>
              <w:jc w:val="left"/>
            </w:pPr>
            <w:r>
              <w:t xml:space="preserve">Pattern matching (exact/substring/regex); runtime-updatable</w:t>
            </w:r>
          </w:p>
        </w:tc>
        <w:tc>
          <w:tcPr/>
          <w:p>
            <w:pPr>
              <w:pStyle w:val="Compact"/>
              <w:jc w:val="left"/>
            </w:pPr>
            <w:r>
              <w:t xml:space="preserve">Real-time content policy enforcement; no restart required</w:t>
            </w:r>
          </w:p>
        </w:tc>
      </w:tr>
      <w:tr>
        <w:tc>
          <w:tcPr/>
          <w:p>
            <w:pPr>
              <w:pStyle w:val="Compact"/>
              <w:jc w:val="left"/>
            </w:pPr>
            <w:r>
              <w:t xml:space="preserve">Loop detection</w:t>
            </w:r>
          </w:p>
        </w:tc>
        <w:tc>
          <w:tcPr/>
          <w:p>
            <w:pPr>
              <w:pStyle w:val="Compact"/>
              <w:jc w:val="left"/>
            </w:pPr>
            <w:r>
              <w:t xml:space="preserve">Rapid-fire + repeated-content; in-memory with auto-eviction</w:t>
            </w:r>
          </w:p>
        </w:tc>
        <w:tc>
          <w:tcPr/>
          <w:p>
            <w:pPr>
              <w:pStyle w:val="Compact"/>
              <w:jc w:val="left"/>
            </w:pPr>
            <w:r>
              <w:t xml:space="preserve">Guards against runaway agents; session-scoped detection</w:t>
            </w:r>
          </w:p>
        </w:tc>
      </w:tr>
      <w:tr>
        <w:tc>
          <w:tcPr/>
          <w:p>
            <w:pPr>
              <w:pStyle w:val="Compact"/>
              <w:jc w:val="left"/>
            </w:pPr>
            <w:r>
              <w:t xml:space="preserve">Exponential backoff retries</w:t>
            </w:r>
          </w:p>
        </w:tc>
        <w:tc>
          <w:tcPr/>
          <w:p>
            <w:pPr>
              <w:pStyle w:val="Compact"/>
              <w:jc w:val="left"/>
            </w:pPr>
            <w:r>
              <w:t xml:space="preserve">1s→2s→4s with jitter; peek-ahead for early error detection</w:t>
            </w:r>
          </w:p>
        </w:tc>
        <w:tc>
          <w:tcPr/>
          <w:p>
            <w:pPr>
              <w:pStyle w:val="Compact"/>
              <w:jc w:val="left"/>
            </w:pPr>
            <w:r>
              <w:t xml:space="preserve">Transparent error recovery; detailed retry audit trail</w:t>
            </w:r>
          </w:p>
        </w:tc>
      </w:tr>
      <w:tr>
        <w:tc>
          <w:tcPr/>
          <w:p>
            <w:pPr>
              <w:pStyle w:val="Compact"/>
              <w:jc w:val="left"/>
            </w:pPr>
            <w:r>
              <w:t xml:space="preserve">Partitioned audit logging</w:t>
            </w:r>
          </w:p>
        </w:tc>
        <w:tc>
          <w:tcPr/>
          <w:p>
            <w:pPr>
              <w:pStyle w:val="Compact"/>
              <w:jc w:val="left"/>
            </w:pPr>
            <w:r>
              <w:t xml:space="preserve">Monthly PostgreSQL partitions; 90-day retention</w:t>
            </w:r>
          </w:p>
        </w:tc>
        <w:tc>
          <w:tcPr/>
          <w:p>
            <w:pPr>
              <w:pStyle w:val="Compact"/>
              <w:jc w:val="left"/>
            </w:pPr>
            <w:r>
              <w:t xml:space="preserve">Complete request/response records; efficient time-range queries</w:t>
            </w:r>
          </w:p>
        </w:tc>
      </w:tr>
      <w:tr>
        <w:tc>
          <w:tcPr/>
          <w:p>
            <w:pPr>
              <w:pStyle w:val="Compact"/>
              <w:jc w:val="left"/>
            </w:pPr>
            <w:r>
              <w:t xml:space="preserve">Agent/session auto-detection</w:t>
            </w:r>
          </w:p>
        </w:tc>
        <w:tc>
          <w:tcPr/>
          <w:p>
            <w:pPr>
              <w:pStyle w:val="Compact"/>
              <w:jc w:val="left"/>
            </w:pPr>
            <w:r>
              <w:t xml:space="preserve">User-Agent parsing + header-based resolution</w:t>
            </w:r>
          </w:p>
        </w:tc>
        <w:tc>
          <w:tcPr/>
          <w:p>
            <w:pPr>
              <w:pStyle w:val="Compact"/>
              <w:jc w:val="left"/>
            </w:pPr>
            <w:r>
              <w:t xml:space="preserve">Cost attribution and session analytics without agent-side implementation</w:t>
            </w:r>
          </w:p>
        </w:tc>
      </w:tr>
      <w:tr>
        <w:tc>
          <w:tcPr/>
          <w:p>
            <w:pPr>
              <w:pStyle w:val="Compact"/>
              <w:jc w:val="left"/>
            </w:pPr>
            <w:r>
              <w:t xml:space="preserve">Response caching</w:t>
            </w:r>
          </w:p>
        </w:tc>
        <w:tc>
          <w:tcPr/>
          <w:p>
            <w:pPr>
              <w:pStyle w:val="Compact"/>
              <w:jc w:val="left"/>
            </w:pPr>
            <w:r>
              <w:t xml:space="preserve">Prompt hash lookup in call logs</w:t>
            </w:r>
          </w:p>
        </w:tc>
        <w:tc>
          <w:tcPr/>
          <w:p>
            <w:pPr>
              <w:pStyle w:val="Compact"/>
              <w:jc w:val="left"/>
            </w:pPr>
            <w:r>
              <w:t xml:space="preserve">Avoids redundant upstream calls for identical requests</w:t>
            </w:r>
          </w:p>
        </w:tc>
      </w:tr>
      <w:tr>
        <w:tc>
          <w:tcPr/>
          <w:p>
            <w:pPr>
              <w:pStyle w:val="Compact"/>
              <w:jc w:val="left"/>
            </w:pPr>
            <w:r>
              <w:t xml:space="preserve">Real-time dashboard</w:t>
            </w:r>
          </w:p>
        </w:tc>
        <w:tc>
          <w:tcPr/>
          <w:p>
            <w:pPr>
              <w:pStyle w:val="Compact"/>
              <w:jc w:val="left"/>
            </w:pPr>
            <w:r>
              <w:t xml:space="preserve">SSE log streaming, metrics APIs, activity trees</w:t>
            </w:r>
          </w:p>
        </w:tc>
        <w:tc>
          <w:tcPr/>
          <w:p>
            <w:pPr>
              <w:pStyle w:val="Compact"/>
              <w:jc w:val="left"/>
            </w:pPr>
            <w:r>
              <w:t xml:space="preserve">Live operational visibility; cost and error monitoring</w:t>
            </w:r>
          </w:p>
        </w:tc>
      </w:tr>
      <w:tr>
        <w:tc>
          <w:tcPr/>
          <w:p>
            <w:pPr>
              <w:pStyle w:val="Compact"/>
              <w:jc w:val="left"/>
            </w:pPr>
            <w:r>
              <w:t xml:space="preserve">Model concurrency control</w:t>
            </w:r>
          </w:p>
        </w:tc>
        <w:tc>
          <w:tcPr/>
          <w:p>
            <w:pPr>
              <w:pStyle w:val="Compact"/>
              <w:jc w:val="left"/>
            </w:pPr>
            <w:r>
              <w:t xml:space="preserve">Per-model semaphore with queue timeout</w:t>
            </w:r>
          </w:p>
        </w:tc>
        <w:tc>
          <w:tcPr/>
          <w:p>
            <w:pPr>
              <w:pStyle w:val="Compact"/>
              <w:jc w:val="left"/>
            </w:pPr>
            <w:r>
              <w:t xml:space="preserve">Prevents upstream overload; fair scheduling across concurrent agents</w:t>
            </w:r>
          </w:p>
        </w:tc>
      </w:tr>
    </w:tbl>
    <w:bookmarkEnd w:id="35"/>
    <w:bookmarkEnd w:id="36"/>
    <w:bookmarkStart w:id="38" w:name="achillesagentlib"/>
    <w:p>
      <w:pPr>
        <w:pStyle w:val="Heading2"/>
      </w:pPr>
      <w:r>
        <w:rPr>
          <w:b/>
          <w:bCs/>
        </w:rPr>
        <w:t xml:space="preserve">AchillesAgentLib</w:t>
      </w:r>
    </w:p>
    <w:p>
      <w:pPr>
        <w:pStyle w:val="FirstParagraph"/>
      </w:pPr>
      <w:r>
        <w:t xml:space="preserve">LLMAgents Class</w:t>
      </w:r>
    </w:p>
    <w:p>
      <w:pPr>
        <w:pStyle w:val="BodyText"/>
      </w:pPr>
      <w:r>
        <w:t xml:space="preserve">RecursiveSkilledAgent</w:t>
      </w:r>
    </w:p>
    <w:p>
      <w:pPr>
        <w:pStyle w:val="BodyText"/>
      </w:pPr>
      <w:r>
        <w:t xml:space="preserve">AgentSubsistems Interface</w:t>
      </w:r>
    </w:p>
    <w:p>
      <w:pPr>
        <w:pStyle w:val="BodyText"/>
      </w:pPr>
      <w:r>
        <w:t xml:space="preserve">Orchestrators Skills</w:t>
      </w:r>
    </w:p>
    <w:p>
      <w:pPr>
        <w:pStyle w:val="BodyText"/>
      </w:pPr>
      <w:r>
        <w:t xml:space="preserve">C-Skills</w:t>
      </w:r>
    </w:p>
    <w:p>
      <w:pPr>
        <w:pStyle w:val="BodyText"/>
      </w:pPr>
      <w:r>
        <w:t xml:space="preserve">G-Skills</w:t>
      </w:r>
    </w:p>
    <w:p>
      <w:pPr>
        <w:pStyle w:val="BodyText"/>
      </w:pPr>
      <w:r>
        <w:t xml:space="preserve">DB Table Skills</w:t>
      </w:r>
    </w:p>
    <w:p>
      <w:pPr>
        <w:pStyle w:val="BodyText"/>
      </w:pPr>
      <w:r>
        <w:t xml:space="preserve">Eval Suites</w:t>
      </w:r>
    </w:p>
    <w:p>
      <w:pPr>
        <w:pStyle w:val="Heading1"/>
        <w:numPr>
          <w:ilvl w:val="0"/>
          <w:numId w:val="1003"/>
        </w:numPr>
      </w:pPr>
      <w:bookmarkStart w:id="37" w:name="thirstworthy-ai-agents"/>
      <w:r>
        <w:rPr>
          <w:b/>
          <w:bCs/>
        </w:rPr>
        <w:t xml:space="preserve">Thirstworthy AI Agents</w:t>
      </w:r>
      <w:bookmarkEnd w:id="37"/>
    </w:p>
    <w:bookmarkEnd w:id="38"/>
    <w:bookmarkStart w:id="39" w:name="symbolic-reasoning"/>
    <w:p>
      <w:pPr>
        <w:pStyle w:val="Heading2"/>
      </w:pPr>
      <w:r>
        <w:rPr>
          <w:b/>
          <w:bCs/>
        </w:rPr>
        <w:t xml:space="preserve">Symbolic Reasoning</w:t>
      </w:r>
    </w:p>
    <w:bookmarkEnd w:id="39"/>
    <w:bookmarkStart w:id="40" w:name="section-2"/>
    <w:p>
      <w:pPr>
        <w:pStyle w:val="Heading2"/>
      </w:pPr>
    </w:p>
    <w:bookmarkEnd w:id="40"/>
    <w:bookmarkStart w:id="41" w:name="mrp-vm-vision"/>
    <w:p>
      <w:pPr>
        <w:pStyle w:val="Heading2"/>
      </w:pPr>
      <w:r>
        <w:rPr>
          <w:b/>
          <w:bCs/>
        </w:rPr>
        <w:t xml:space="preserve">MRP-VM Vision</w:t>
      </w:r>
    </w:p>
    <w:p>
      <w:pPr>
        <w:pStyle w:val="FirstParagraph"/>
      </w:pPr>
      <w:r>
        <w:t xml:space="preserve">The MRP-VM approach builds on an older idea of the authors—</w:t>
      </w:r>
      <w:r>
        <w:rPr>
          <w:b/>
          <w:bCs/>
        </w:rPr>
        <w:t xml:space="preserve">Meta-Rational Pragmatics (MRP)</w:t>
      </w:r>
      <w:r>
        <w:t xml:space="preserve">—and rearticulates it as a disciplined, engineering-oriented foundation for making “meaning” computational and executable. The motivation is straightforward but non-standard: in many contemporary settings, especially those involving complex documents, evolving knowledge bases, and AI systems deployed under heterogeneous constraints, “meaning” is not something that can be safely treated as a single, intrinsic object attached to an artifact. Instead, meaning behaves like the output of a</w:t>
      </w:r>
      <w:r>
        <w:t xml:space="preserve"> </w:t>
      </w:r>
      <w:r>
        <w:rPr>
          <w:i/>
          <w:iCs/>
        </w:rPr>
        <w:t xml:space="preserve">procedure</w:t>
      </w:r>
      <w:r>
        <w:t xml:space="preserve">—a repeatable method of judgment that decides what in the artefact matters, how it should be interpreted, what properties must hold, and what evidence is required before the artefact can be accepted for a given purpose.</w:t>
      </w:r>
      <w:r>
        <w:br/>
      </w:r>
      <w:r>
        <w:t xml:space="preserve">This stance departs from the ordinary hierarchy inherited from both classical linguistics and classical formal methods. The familiar picture is that</w:t>
      </w:r>
      <w:r>
        <w:t xml:space="preserve"> </w:t>
      </w:r>
      <w:r>
        <w:rPr>
          <w:b/>
          <w:bCs/>
        </w:rPr>
        <w:t xml:space="preserve">semantics comes first</w:t>
      </w:r>
      <w:r>
        <w:t xml:space="preserve">: it provides a stable core of meaning (denotation, truth conditions, compositional interpretation), while</w:t>
      </w:r>
      <w:r>
        <w:t xml:space="preserve"> </w:t>
      </w:r>
      <w:r>
        <w:rPr>
          <w:b/>
          <w:bCs/>
        </w:rPr>
        <w:t xml:space="preserve">pragmatics comes second</w:t>
      </w:r>
      <w:r>
        <w:t xml:space="preserve">: it adjusts or enriches that core using context (speaker intention, reference resolution, implicatures, situational constraints). This ordering is natural when one imagines language primarily as a vehicle for conveying propositions whose truth can, at least in principle, be evaluated against a shared world. It is also natural in software theory when one assumes a well-defined semantics for a programming language and then studies how programs behave under different environments.</w:t>
      </w:r>
      <w:r>
        <w:br/>
      </w:r>
      <w:r>
        <w:t xml:space="preserve">MRP-VM adopts an inverted perspective because the authors’ starting point is not “sentences in isolation” but</w:t>
      </w:r>
      <w:r>
        <w:t xml:space="preserve"> </w:t>
      </w:r>
      <w:r>
        <w:rPr>
          <w:b/>
          <w:bCs/>
        </w:rPr>
        <w:t xml:space="preserve">artefacts embedded in practice</w:t>
      </w:r>
      <w:r>
        <w:t xml:space="preserve">—documents, specifications, policies, narratives, and knowledge stores that are consumed by different agents for different ends. In such environments, the supposedly “semantic core” is rarely unique in an operational sense. A legal document can be read as a set of obligations, as a set of risks, as a set of negotiation levers, as a compliance checklist, or as a litigation exposure map; each reading extracts different content and uses different acceptance criteria. A technical specification can be interpreted as a contract for verification, as guidance for implementation, as a basis for threat modeling, or as a source of test generation; each interpretation demands different evidence and tolerates different ambiguities. Even a narrative text can be judged under multiple regimes—coherence, pacing, affective trajectory, rhetorical balance, cultural bias—none of which is reducible to a single denotational interpretation.</w:t>
      </w:r>
      <w:r>
        <w:br/>
      </w:r>
      <w:r>
        <w:t xml:space="preserve">In these cases, what matters in practice is not merely “what the artefact denotes,” but</w:t>
      </w:r>
      <w:r>
        <w:t xml:space="preserve"> </w:t>
      </w:r>
      <w:r>
        <w:rPr>
          <w:b/>
          <w:bCs/>
        </w:rPr>
        <w:t xml:space="preserve">how it is to be judged and used</w:t>
      </w:r>
      <w:r>
        <w:t xml:space="preserve">, under explicit constraints. Consequently, the notion of meaning that is most useful for engineering is not a single semantic object but a</w:t>
      </w:r>
      <w:r>
        <w:t xml:space="preserve"> </w:t>
      </w:r>
      <w:r>
        <w:rPr>
          <w:b/>
          <w:bCs/>
        </w:rPr>
        <w:t xml:space="preserve">meaning package</w:t>
      </w:r>
      <w:r>
        <w:t xml:space="preserve">: an operational interpretation plus the evidence that supports it plus an explicit verdict under declared criteria. From this standpoint, pragmatics is not an optional contextual layer; it is the mechanism that</w:t>
      </w:r>
      <w:r>
        <w:t xml:space="preserve"> </w:t>
      </w:r>
      <w:r>
        <w:rPr>
          <w:i/>
          <w:iCs/>
        </w:rPr>
        <w:t xml:space="preserve">constitutes</w:t>
      </w:r>
      <w:r>
        <w:t xml:space="preserve"> </w:t>
      </w:r>
      <w:r>
        <w:t xml:space="preserve">operational meaning by specifying (i) which fragments of the artefact are relevant, (ii) which properties are to be verified, (iii) which forms of evidence are acceptable, and (iv) which outcomes count as acceptance, rejection, or uncertainty.</w:t>
      </w:r>
      <w:r>
        <w:br/>
      </w:r>
      <w:r>
        <w:t xml:space="preserve">This is the sense in which the approach is “inverse” to common thinking. In the ordinary view, one first fixes meaning (semantics) and then asks how context modifies or supplements it (pragmatics). In MRP-VM, one first fixes a</w:t>
      </w:r>
      <w:r>
        <w:t xml:space="preserve"> </w:t>
      </w:r>
      <w:r>
        <w:rPr>
          <w:b/>
          <w:bCs/>
        </w:rPr>
        <w:t xml:space="preserve">judgment regime</w:t>
      </w:r>
      <w:r>
        <w:t xml:space="preserve"> </w:t>
      </w:r>
      <w:r>
        <w:t xml:space="preserve">(pragmatics) and thereby obtains a well-defined operational meaning for a given purpose and context; only in the special case where that judgment regime is stabilized, standardized, and context-minimized does it resemble what is traditionally called semantics. In other words,</w:t>
      </w:r>
      <w:r>
        <w:t xml:space="preserve"> </w:t>
      </w:r>
      <w:r>
        <w:rPr>
          <w:b/>
          <w:bCs/>
        </w:rPr>
        <w:t xml:space="preserve">semantics becomes a subcase of pragmatics</w:t>
      </w:r>
      <w:r>
        <w:t xml:space="preserve">: it is what you obtain when the pragmatic regime is engineered to be maximally stable and compositional across a well-defined class of contexts.</w:t>
      </w:r>
      <w:r>
        <w:br/>
      </w:r>
      <w:r>
        <w:t xml:space="preserve">MRP-VM then makes this philosophical inversion productive by treating pragmatics as a first-class, programmable object executed by a runtime. The goal is not to debate meaning abstractly, but to compile interpretive regimes into executable checks, initially using Z3 as a symbolic backend. Pragmatics, in this engineering sense, functions like a solver-guiding “system prompt”: it determines what must be extracted from the IR, how it is represented as constraints and queries, what constitutes admissible evidence (models, unsat cores, counterexamples, traces), and how acceptance is decided. Meaning is therefore not merely “interpreted,” but</w:t>
      </w:r>
      <w:r>
        <w:t xml:space="preserve"> </w:t>
      </w:r>
      <w:r>
        <w:rPr>
          <w:i/>
          <w:iCs/>
        </w:rPr>
        <w:t xml:space="preserve">computed</w:t>
      </w:r>
      <w:r>
        <w:t xml:space="preserve"> </w:t>
      </w:r>
      <w:r>
        <w:t xml:space="preserve">and accompanied by evidence that can be audited, reproduced, and compared across regimes.</w:t>
      </w:r>
      <w:r>
        <w:br/>
      </w:r>
      <w:r>
        <w:t xml:space="preserve">A reader can therefore view the inversion as a practical response to pluralism in real usage. The authors do not claim that there is no stable meaning; rather, they claim that stability is a</w:t>
      </w:r>
      <w:r>
        <w:t xml:space="preserve"> </w:t>
      </w:r>
      <w:r>
        <w:rPr>
          <w:i/>
          <w:iCs/>
        </w:rPr>
        <w:t xml:space="preserve">design choice</w:t>
      </w:r>
      <w:r>
        <w:t xml:space="preserve"> </w:t>
      </w:r>
      <w:r>
        <w:t xml:space="preserve">embodied in particular pragmatic regimes. When stability is required—e.g., for verification, compliance, or compositional reasoning—one selects or engineers pragmatic regimes that behave like classical semantics. When context sensitivity is unavoidable—e.g., risk surfacing, governance, bias analysis, or narrative quality evaluation—one uses pragmatic regimes whose criteria explicitly depend on context and whose outputs are justified by evidence. The outcome is a disciplined, computable notion of meaning that aligns with real-world demands, avoids the unrealistic expectation of a single universal semantics, and provides an explicit substrate on which symbolic reasoning and learning-based selection of interpretation strategies can be built.</w:t>
      </w:r>
    </w:p>
    <w:p>
      <w:pPr>
        <w:pStyle w:val="BodyText"/>
      </w:pPr>
      <w:r>
        <w:t xml:space="preserve">The guiding intuition is that for many artefacts (documents, knowledge bases, specifications, narratives, or software systems) meaning is not adequately captured by a single universal semantics that is supposed to cover all legitimate uses. In practice, an artefact is judged under multiple regimes: consistency verification, structural compliance, exhaustive legal risk surfacing, bias analysis, quality assessment, or domain-specific validation. Each regime selects different aspects of the artefact as relevant, applies different criteria, and demands different forms of evidence. Trying to compress all of these into one monolithic semantics typically produces either a formalization too abstract to decide anything useful, or a narrow formalization that overfits one use case and fails elsewhere. MRP proposes a reversal of the usual hierarchy:</w:t>
      </w:r>
      <w:r>
        <w:t xml:space="preserve"> </w:t>
      </w:r>
      <w:r>
        <w:rPr>
          <w:b/>
          <w:bCs/>
        </w:rPr>
        <w:t xml:space="preserve">pragmatics is primary</w:t>
      </w:r>
      <w:r>
        <w:t xml:space="preserve">, and</w:t>
      </w:r>
      <w:r>
        <w:t xml:space="preserve"> </w:t>
      </w:r>
      <w:r>
        <w:rPr>
          <w:b/>
          <w:bCs/>
        </w:rPr>
        <w:t xml:space="preserve">semantics is a stabilized subfamily of pragmatics</w:t>
      </w:r>
      <w:r>
        <w:t xml:space="preserve">.</w:t>
      </w:r>
      <w:r>
        <w:br/>
      </w:r>
      <w:r>
        <w:t xml:space="preserve">In MRP, a pragmatic is not an informal “interpretation.” It is an explicit, executable</w:t>
      </w:r>
      <w:r>
        <w:t xml:space="preserve"> </w:t>
      </w:r>
      <w:r>
        <w:rPr>
          <w:b/>
          <w:bCs/>
        </w:rPr>
        <w:t xml:space="preserve">verification-and-judgment regime</w:t>
      </w:r>
      <w:r>
        <w:t xml:space="preserve"> </w:t>
      </w:r>
      <w:r>
        <w:t xml:space="preserve">that specifies what should count as relevant content, what properties are to be checked, what evidence must be produced, and what constitutes acceptance or rejection under a declared context. Formally, one can treat a pragmatics as a procedure that maps an observer, an artefact, and a context to an operational meaning together with evidence and a verdict: it yields not only “what the artefact means,” but also</w:t>
      </w:r>
      <w:r>
        <w:t xml:space="preserve"> </w:t>
      </w:r>
      <w:r>
        <w:rPr>
          <w:i/>
          <w:iCs/>
        </w:rPr>
        <w:t xml:space="preserve">why</w:t>
      </w:r>
      <w:r>
        <w:t xml:space="preserve"> </w:t>
      </w:r>
      <w:r>
        <w:t xml:space="preserve">that meaning is justified under the chosen regime, in a form that can be audited and reproduced. The context is not a cosmetic parameter; it encodes the constraints and goals under which judgment is performed (e.g., jurisdiction, criticality, resource limits, risk posture, compliance mode). The observer is any entity capable of running such procedures: a human, a tool-augmented agent, or an organization with institutional rules.</w:t>
      </w:r>
      <w:r>
        <w:br/>
      </w:r>
      <w:r>
        <w:t xml:space="preserve">This framing makes it natural to classify</w:t>
      </w:r>
      <w:r>
        <w:t xml:space="preserve"> </w:t>
      </w:r>
      <w:r>
        <w:rPr>
          <w:i/>
          <w:iCs/>
        </w:rPr>
        <w:t xml:space="preserve">semantics</w:t>
      </w:r>
      <w:r>
        <w:t xml:space="preserve"> </w:t>
      </w:r>
      <w:r>
        <w:t xml:space="preserve">as a particular type of pragmatics: a pragmatics whose dependence on context is deliberately minimized and whose interpretation rules are standardized to yield stable denotations and compositional reasoning. In other words, semantics is pragmatics “frozen” into a convention that reliably produces the same kind of meaning package across a defined class of contexts. This explains why semantics is valuable—stability and compositionality are genuine engineering virtues—while also explaining why a single semantics rarely suffices for real artefacts that must support heterogeneous and sometimes competing modes of judgment.</w:t>
      </w:r>
    </w:p>
    <w:p>
      <w:pPr>
        <w:pStyle w:val="BodyText"/>
      </w:pPr>
      <w:r>
        <w:t xml:space="preserve">The proposed implementation direction,</w:t>
      </w:r>
      <w:r>
        <w:t xml:space="preserve"> </w:t>
      </w:r>
      <w:r>
        <w:rPr>
          <w:b/>
          <w:bCs/>
        </w:rPr>
        <w:t xml:space="preserve">MRP-VM (MetaRational Pragmatics Virtual Machine)</w:t>
      </w:r>
      <w:r>
        <w:t xml:space="preserve">, is best understood at the level of vision: a generic runtime that executes pragmatics programs over artefacts represented in a formal IR (e.g., SOP Lang IR that has a separate chapter allocated in this document) derived from natural language via a controlled natural language (CNL) normalization step. In its initial pragmatic instantiation, MRP-VM uses</w:t>
      </w:r>
      <w:r>
        <w:t xml:space="preserve"> </w:t>
      </w:r>
      <w:r>
        <w:rPr>
          <w:b/>
          <w:bCs/>
        </w:rPr>
        <w:t xml:space="preserve">Z3</w:t>
      </w:r>
      <w:r>
        <w:t xml:space="preserve"> </w:t>
      </w:r>
      <w:r>
        <w:t xml:space="preserve">as the primary symbolic backend. Here, pragmatics behave analogously to a “system prompt,” but for symbolic interpretation rather than natural language generation: a pragmatics program determines how IR constructs are mapped into Z3 sorts, predicates, and constraints; which queries are posed; which outcomes count as acceptance; and what evidence must be emitted (models, unsat cores, counterexamples, traces). The “meaning” of an artefact under a pragmatics is therefore an executable artifact—constraint systems and solver outcomes—rather than a purely descriptive text. Over time, other symbolic interpretation backends can be added (optimization, probabilistic inference, specialized analyzers), without changing the conceptual role of pragmatics as the regime that specifies relevance, judgment, and evidence.</w:t>
      </w:r>
    </w:p>
    <w:p>
      <w:pPr>
        <w:pStyle w:val="BodyText"/>
      </w:pPr>
      <w:r>
        <w:t xml:space="preserve">This perspective becomes particularly clarifying when connected to</w:t>
      </w:r>
      <w:r>
        <w:t xml:space="preserve"> </w:t>
      </w:r>
      <w:r>
        <w:rPr>
          <w:b/>
          <w:bCs/>
        </w:rPr>
        <w:t xml:space="preserve">inductive bias</w:t>
      </w:r>
      <w:r>
        <w:t xml:space="preserve">. In learning theory, inductive bias is the set of assumptions that makes generalization possible; it determines which hypotheses are preferred and which regularities are considered learnable. Under MRP, a</w:t>
      </w:r>
      <w:r>
        <w:t xml:space="preserve"> </w:t>
      </w:r>
      <w:r>
        <w:rPr>
          <w:b/>
          <w:bCs/>
        </w:rPr>
        <w:t xml:space="preserve">learning pragmatics</w:t>
      </w:r>
      <w:r>
        <w:t xml:space="preserve"> </w:t>
      </w:r>
      <w:r>
        <w:t xml:space="preserve">is precisely a mechanism that selects, tunes, or composes interpretative regimes (and their hypothesis spaces) based on feedback and constraints. Put differently, learning pragmatics do not merely “learn content”; they learn</w:t>
      </w:r>
      <w:r>
        <w:t xml:space="preserve"> </w:t>
      </w:r>
      <w:r>
        <w:rPr>
          <w:i/>
          <w:iCs/>
        </w:rPr>
        <w:t xml:space="preserve">how to judge</w:t>
      </w:r>
      <w:r>
        <w:t xml:space="preserve"> </w:t>
      </w:r>
      <w:r>
        <w:t xml:space="preserve">and</w:t>
      </w:r>
      <w:r>
        <w:t xml:space="preserve"> </w:t>
      </w:r>
      <w:r>
        <w:rPr>
          <w:i/>
          <w:iCs/>
        </w:rPr>
        <w:t xml:space="preserve">what to treat as relevant</w:t>
      </w:r>
      <w:r>
        <w:t xml:space="preserve"> </w:t>
      </w:r>
      <w:r>
        <w:t xml:space="preserve">under different contexts, which is exactly an inductive-bias selection problem. A pragmatic regime can be seen as a structured inductive bias over meanings: it defines the representational commitments (what features exist in the IR), the admissible transformations (what counts as a legitimate abstraction), the evaluators (what is optimized or constrained), and the evidence thresholds (what is required to claim acceptance). From this angle, MRP-VM can be interpreted as a framework for</w:t>
      </w:r>
      <w:r>
        <w:t xml:space="preserve"> </w:t>
      </w:r>
      <w:r>
        <w:rPr>
          <w:b/>
          <w:bCs/>
        </w:rPr>
        <w:t xml:space="preserve">explicit, programmable inductive biases</w:t>
      </w:r>
      <w:r>
        <w:t xml:space="preserve">: instead of hiding the bias inside an opaque model, the bias is expressed as a pragmatics program whose effects are visible in generated constraints, tests, and certificates. Learning then becomes the controlled adaptation of these biases—choosing among pragmatic regimes, adjusting their parameters, and trading off evidential strength against cost—rather than the pursuit of a single “true” semantics.</w:t>
      </w:r>
    </w:p>
    <w:p>
      <w:pPr>
        <w:pStyle w:val="BodyText"/>
      </w:pPr>
      <w:r>
        <w:t xml:space="preserve">The table below summarizes a concise taxonomy of pragmatic regimes relevant to the proposed approach, treating semantics and learning as specific subcases within a broader space of executable judgments.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Pragmatics type (MRP)</w:t>
            </w:r>
          </w:p>
        </w:tc>
        <w:tc>
          <w:tcPr/>
          <w:p>
            <w:pPr>
              <w:pStyle w:val="Compact"/>
            </w:pPr>
            <w:r>
              <w:t xml:space="preserve">What it operationalizes as “meaning”</w:t>
            </w:r>
          </w:p>
        </w:tc>
        <w:tc>
          <w:tcPr/>
          <w:p>
            <w:pPr>
              <w:pStyle w:val="Compact"/>
            </w:pPr>
            <w:r>
              <w:t xml:space="preserve">Typical evidence produced</w:t>
            </w:r>
          </w:p>
        </w:tc>
      </w:tr>
      <w:tr>
        <w:tc>
          <w:tcPr/>
          <w:p>
            <w:pPr>
              <w:pStyle w:val="Compact"/>
            </w:pPr>
            <w:r>
              <w:t xml:space="preserve">Semantic pragmatics (stabilized)</w:t>
            </w:r>
          </w:p>
        </w:tc>
        <w:tc>
          <w:tcPr/>
          <w:p>
            <w:pPr>
              <w:pStyle w:val="Compact"/>
            </w:pPr>
            <w:r>
              <w:t xml:space="preserve">Denotation under standardized rules; context minimized</w:t>
            </w:r>
          </w:p>
        </w:tc>
        <w:tc>
          <w:tcPr/>
          <w:p>
            <w:pPr>
              <w:pStyle w:val="Compact"/>
            </w:pPr>
            <w:r>
              <w:t xml:space="preserve">Models/derivations; repeatable interpretations</w:t>
            </w:r>
          </w:p>
        </w:tc>
      </w:tr>
      <w:tr>
        <w:tc>
          <w:tcPr/>
          <w:p>
            <w:pPr>
              <w:pStyle w:val="Compact"/>
            </w:pPr>
            <w:r>
              <w:t xml:space="preserve">Consistency pragmatics</w:t>
            </w:r>
          </w:p>
        </w:tc>
        <w:tc>
          <w:tcPr/>
          <w:p>
            <w:pPr>
              <w:pStyle w:val="Compact"/>
            </w:pPr>
            <w:r>
              <w:t xml:space="preserve">Global or local satisfiability/coherence of extracted claims</w:t>
            </w:r>
          </w:p>
        </w:tc>
        <w:tc>
          <w:tcPr/>
          <w:p>
            <w:pPr>
              <w:pStyle w:val="Compact"/>
            </w:pPr>
            <w:r>
              <w:t xml:space="preserve">Models; counterexamples; unsat cores</w:t>
            </w:r>
          </w:p>
        </w:tc>
      </w:tr>
      <w:tr>
        <w:tc>
          <w:tcPr/>
          <w:p>
            <w:pPr>
              <w:pStyle w:val="Compact"/>
            </w:pPr>
            <w:r>
              <w:t xml:space="preserve">Structural/compliance pragmatics</w:t>
            </w:r>
          </w:p>
        </w:tc>
        <w:tc>
          <w:tcPr/>
          <w:p>
            <w:pPr>
              <w:pStyle w:val="Compact"/>
            </w:pPr>
            <w:r>
              <w:t xml:space="preserve">Conformance to document/ SOP / legal structure and invariants</w:t>
            </w:r>
          </w:p>
        </w:tc>
        <w:tc>
          <w:tcPr/>
          <w:p>
            <w:pPr>
              <w:pStyle w:val="Compact"/>
            </w:pPr>
            <w:r>
              <w:t xml:space="preserve">Violations with provenance; trace of rule application</w:t>
            </w:r>
          </w:p>
        </w:tc>
      </w:tr>
      <w:tr>
        <w:tc>
          <w:tcPr/>
          <w:p>
            <w:pPr>
              <w:pStyle w:val="Compact"/>
            </w:pPr>
            <w:r>
              <w:t xml:space="preserve">Risk-surfacing pragmatics</w:t>
            </w:r>
          </w:p>
        </w:tc>
        <w:tc>
          <w:tcPr/>
          <w:p>
            <w:pPr>
              <w:pStyle w:val="Compact"/>
            </w:pPr>
            <w:r>
              <w:t xml:space="preserve">Exhaustive enumeration of risks/obligations/exceptions under a regime</w:t>
            </w:r>
          </w:p>
        </w:tc>
        <w:tc>
          <w:tcPr/>
          <w:p>
            <w:pPr>
              <w:pStyle w:val="Compact"/>
            </w:pPr>
            <w:r>
              <w:t xml:space="preserve">Risk graph; triggers/conditions; coverage report</w:t>
            </w:r>
          </w:p>
        </w:tc>
      </w:tr>
      <w:tr>
        <w:tc>
          <w:tcPr/>
          <w:p>
            <w:pPr>
              <w:pStyle w:val="Compact"/>
            </w:pPr>
            <w:r>
              <w:t xml:space="preserve">Bias/quality pragmatics</w:t>
            </w:r>
          </w:p>
        </w:tc>
        <w:tc>
          <w:tcPr/>
          <w:p>
            <w:pPr>
              <w:pStyle w:val="Compact"/>
            </w:pPr>
            <w:r>
              <w:t xml:space="preserve">Detectable bias patterns; representational asymmetries; harmful framing</w:t>
            </w:r>
          </w:p>
        </w:tc>
        <w:tc>
          <w:tcPr/>
          <w:p>
            <w:pPr>
              <w:pStyle w:val="Compact"/>
            </w:pPr>
            <w:r>
              <w:t xml:space="preserve">Matched patterns; statistics; minimal supporting spans</w:t>
            </w:r>
          </w:p>
        </w:tc>
      </w:tr>
      <w:tr>
        <w:tc>
          <w:tcPr/>
          <w:p>
            <w:pPr>
              <w:pStyle w:val="Compact"/>
            </w:pPr>
            <w:r>
              <w:t xml:space="preserve">Narrative/creative-quality pragmatics</w:t>
            </w:r>
          </w:p>
        </w:tc>
        <w:tc>
          <w:tcPr/>
          <w:p>
            <w:pPr>
              <w:pStyle w:val="Compact"/>
            </w:pPr>
            <w:r>
              <w:t xml:space="preserve">Operational “rhythm” or quality constraints (eg tension, action emotion dynamics, etc)</w:t>
            </w:r>
          </w:p>
        </w:tc>
        <w:tc>
          <w:tcPr/>
          <w:p>
            <w:pPr>
              <w:pStyle w:val="Compact"/>
            </w:pPr>
            <w:r>
              <w:t xml:space="preserve">Trajectories/metrics; violations; suggested edits</w:t>
            </w:r>
          </w:p>
        </w:tc>
      </w:tr>
      <w:tr>
        <w:tc>
          <w:tcPr/>
          <w:p>
            <w:pPr>
              <w:pStyle w:val="Compact"/>
            </w:pPr>
            <w:r>
              <w:t xml:space="preserve">Learning pragmatics (meta-pragmatics)</w:t>
            </w:r>
          </w:p>
        </w:tc>
        <w:tc>
          <w:tcPr/>
          <w:p>
            <w:pPr>
              <w:pStyle w:val="Compact"/>
            </w:pPr>
            <w:r>
              <w:t xml:space="preserve">Selection/tuning of pragmatic regimes (explicit inductive bias control)</w:t>
            </w:r>
          </w:p>
        </w:tc>
        <w:tc>
          <w:tcPr/>
          <w:p>
            <w:pPr>
              <w:pStyle w:val="Compact"/>
            </w:pPr>
            <w:r>
              <w:t xml:space="preserve">Policy logs; regret/cost curves; safety constraint traces</w:t>
            </w:r>
          </w:p>
        </w:tc>
      </w:tr>
      <w:tr>
        <w:tc>
          <w:tcPr/>
          <w:p>
            <w:pPr>
              <w:pStyle w:val="Compact"/>
            </w:pPr>
            <w:r>
              <w:t xml:space="preserve">Governance/audit pragmatics</w:t>
            </w:r>
          </w:p>
        </w:tc>
        <w:tc>
          <w:tcPr/>
          <w:p>
            <w:pPr>
              <w:pStyle w:val="Compact"/>
            </w:pPr>
            <w:r>
              <w:t xml:space="preserve">Reproducibility, traceability, and evidence obligations as first-class constraints</w:t>
            </w:r>
          </w:p>
        </w:tc>
        <w:tc>
          <w:tcPr/>
          <w:p>
            <w:pPr>
              <w:pStyle w:val="Compact"/>
            </w:pPr>
            <w:r>
              <w:t xml:space="preserve">Audit trail; provenance DAG; decision certificates</w:t>
            </w:r>
          </w:p>
        </w:tc>
      </w:tr>
    </w:tbl>
    <w:p>
      <w:pPr>
        <w:pStyle w:val="BodyText"/>
      </w:pPr>
      <w:r>
        <w:t xml:space="preserve">Under this unified view, different “ways of giving meaning” are not competing metaphysical claims but alternative executable regimes, each justified by its acceptance criteria and by the evidence it produces. Semantics remains important, but it is understood as one particular pragmatic posture—highly stabilized and convention-driven—suited to compositional reasoning and verification. Learning becomes the discipline of adapting and selecting pragmatic regimes, i.e., adapting explicit inductive biases under constraints, rather than searching for one universal semantics that must somehow fit every context. This makes the approach both philosophically coherent and practically oriented: it treats meaning as a reproducible computational artifact and turns the plurality of real-world uses into a structured, auditable design space.</w:t>
      </w:r>
    </w:p>
    <w:bookmarkEnd w:id="41"/>
    <w:bookmarkStart w:id="42" w:name="section-3"/>
    <w:p>
      <w:pPr>
        <w:pStyle w:val="Heading2"/>
      </w:pPr>
    </w:p>
    <w:bookmarkEnd w:id="42"/>
    <w:bookmarkStart w:id="43" w:name="vsa-architectures-and-ai-agents"/>
    <w:p>
      <w:pPr>
        <w:pStyle w:val="Heading2"/>
      </w:pPr>
      <w:r>
        <w:rPr>
          <w:b/>
          <w:bCs/>
        </w:rPr>
        <w:t xml:space="preserve">VSA Architectures and AI Agents</w:t>
      </w:r>
    </w:p>
    <w:bookmarkEnd w:id="43"/>
    <w:bookmarkEnd w:id="44"/>
    <w:bookmarkStart w:id="45" w:name="section-4"/>
    <w:p>
      <w:pPr>
        <w:pStyle w:val="Heading1"/>
      </w:pPr>
    </w:p>
    <w:bookmarkEnd w:id="45"/>
    <w:bookmarkStart w:id="50" w:name="iii.-sop-lang-ir-specifications"/>
    <w:p>
      <w:pPr>
        <w:pStyle w:val="Heading1"/>
      </w:pPr>
      <w:r>
        <w:rPr>
          <w:b/>
          <w:bCs/>
        </w:rPr>
        <w:t xml:space="preserve">III. SOP Lang IR Specifications</w:t>
      </w:r>
    </w:p>
    <w:bookmarkStart w:id="46" w:name="overview-and-design-goals"/>
    <w:p>
      <w:pPr>
        <w:pStyle w:val="Heading2"/>
      </w:pPr>
      <w:r>
        <w:rPr>
          <w:b/>
          <w:bCs/>
        </w:rPr>
        <w:t xml:space="preserve">Overview and design goals</w:t>
      </w:r>
    </w:p>
    <w:p>
      <w:pPr>
        <w:pStyle w:val="FirstParagraph"/>
      </w:pPr>
      <w:r>
        <w:t xml:space="preserve">SOP Lang IR (“SOP-IR”) is a minimal, near-natural-language intermediate representation for capturing semantics and pragmatics from any domain, including prose, legal text, technical writing, mathematics, and source code. SOP-IR represents meaning as reified statement objects that can be referenced, annotated, and linked, while avoiding JSON-like nesting and heavy punctuation. The language encodes what the source asserts or implies at the semantic level, but it does not prescribe how downstream systems must query, solve, or reason; instead, it aims to preserve traceability and structural stability so that multiple downstream tools (LLMs, symbolic solvers, validators, and auditors) can operate on the same artifact.</w:t>
      </w:r>
      <w:r>
        <w:br/>
      </w:r>
      <w:r>
        <w:t xml:space="preserve">SOP-IR is intentionally linear and token-based. Statements follow a stable subject–verb–arguments shape to support deterministic projection into controlled natural language for display and to provide constrained input to language models. The conceptual model is intentionally small: a statement is an atomic unit that defines exactly one referenceable object; references allow higher-order expression by letting statements talk about other statements or entities; scopes preserve contextual boundaries such as paragraphs, clauses, functions, and theorems; and macros provide optional standardization by expanding recurring patterns into ordinary statements.</w:t>
      </w:r>
    </w:p>
    <w:bookmarkEnd w:id="46"/>
    <w:bookmarkStart w:id="47" w:name="X0a18c40c20bbfe9218399342603640b67f2484f"/>
    <w:p>
      <w:pPr>
        <w:pStyle w:val="Heading2"/>
      </w:pPr>
      <w:r>
        <w:rPr>
          <w:b/>
          <w:bCs/>
        </w:rPr>
        <w:t xml:space="preserve">Syntax, lexicon, and annotations</w:t>
      </w:r>
      <w:r>
        <w:t xml:space="preserve"> </w:t>
      </w:r>
      <w:r>
        <w:t xml:space="preserve">{#syntax,-lexicon,-and-annotations}</w:t>
      </w:r>
    </w:p>
    <w:p>
      <w:pPr>
        <w:pStyle w:val="FirstParagraph"/>
      </w:pPr>
      <w:r>
        <w:t xml:space="preserve">SOP-IR uses whitespace-separated tokens. Multi-word symbols SHOULD use underscores (e.g.,</w:t>
      </w:r>
      <w:r>
        <w:t xml:space="preserve"> </w:t>
      </w:r>
      <w:r>
        <w:rPr>
          <w:rStyle w:val="VerbatimChar"/>
        </w:rPr>
        <w:t xml:space="preserve">Personal_Data</w:t>
      </w:r>
      <w:r>
        <w:t xml:space="preserve">,</w:t>
      </w:r>
      <w:r>
        <w:t xml:space="preserve"> </w:t>
      </w:r>
      <w:r>
        <w:rPr>
          <w:rStyle w:val="VerbatimChar"/>
        </w:rPr>
        <w:t xml:space="preserve">Neural_Network</w:t>
      </w:r>
      <w:r>
        <w:t xml:space="preserve">). Quoted strings are allowed only when spaces are unavoidable. Identifiers begin with</w:t>
      </w:r>
      <w:r>
        <w:t xml:space="preserve"> </w:t>
      </w:r>
      <w:r>
        <w:rPr>
          <w:rStyle w:val="VerbatimChar"/>
        </w:rPr>
        <w:t xml:space="preserve">@</w:t>
      </w:r>
      <w:r>
        <w:t xml:space="preserve">, and references begin with</w:t>
      </w:r>
      <w:r>
        <w:t xml:space="preserve"> </w:t>
      </w:r>
      <w:r>
        <w:rPr>
          <w:rStyle w:val="VerbatimChar"/>
        </w:rPr>
        <w:t xml:space="preserv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Construct</w:t>
            </w:r>
          </w:p>
        </w:tc>
        <w:tc>
          <w:tcPr/>
          <w:p>
            <w:pPr>
              <w:pStyle w:val="Compact"/>
            </w:pPr>
            <w:r>
              <w:t xml:space="preserve">Form</w:t>
            </w:r>
          </w:p>
        </w:tc>
        <w:tc>
          <w:tcPr/>
          <w:p>
            <w:pPr>
              <w:pStyle w:val="Compact"/>
            </w:pPr>
            <w:r>
              <w:t xml:space="preserve">Role</w:t>
            </w:r>
          </w:p>
        </w:tc>
      </w:tr>
      <w:tr>
        <w:tc>
          <w:tcPr/>
          <w:p>
            <w:pPr>
              <w:pStyle w:val="Compact"/>
            </w:pPr>
            <w:r>
              <w:t xml:space="preserve">Explicit ID</w:t>
            </w:r>
          </w:p>
        </w:tc>
        <w:tc>
          <w:tcPr/>
          <w:p>
            <w:pPr>
              <w:pStyle w:val="Compact"/>
            </w:pPr>
            <w:r>
              <w:rPr>
                <w:rStyle w:val="VerbatimChar"/>
              </w:rPr>
              <w:t xml:space="preserve">@name</w:t>
            </w:r>
            <w:r>
              <w:t xml:space="preserve"> </w:t>
            </w:r>
            <w:r>
              <w:t xml:space="preserve">where</w:t>
            </w:r>
            <w:r>
              <w:t xml:space="preserve"> </w:t>
            </w:r>
            <w:r>
              <w:rPr>
                <w:rStyle w:val="VerbatimChar"/>
              </w:rPr>
              <w:t xml:space="preserve">name</w:t>
            </w:r>
            <w:r>
              <w:t xml:space="preserve"> </w:t>
            </w:r>
            <w:r>
              <w:t xml:space="preserve">matches</w:t>
            </w:r>
            <w:r>
              <w:t xml:space="preserve"> </w:t>
            </w:r>
            <w:r>
              <w:rPr>
                <w:rStyle w:val="VerbatimChar"/>
              </w:rPr>
              <w:t xml:space="preserve">[A-Za-z0-9._-]+</w:t>
            </w:r>
          </w:p>
        </w:tc>
        <w:tc>
          <w:tcPr/>
          <w:p>
            <w:pPr>
              <w:pStyle w:val="Compact"/>
            </w:pPr>
            <w:r>
              <w:t xml:space="preserve">Defines a statement object with a stable identifier.</w:t>
            </w:r>
          </w:p>
        </w:tc>
      </w:tr>
      <w:tr>
        <w:tc>
          <w:tcPr/>
          <w:p>
            <w:pPr>
              <w:pStyle w:val="Compact"/>
            </w:pPr>
            <w:r>
              <w:t xml:space="preserve">Anonymous ID</w:t>
            </w:r>
          </w:p>
        </w:tc>
        <w:tc>
          <w:tcPr/>
          <w:p>
            <w:pPr>
              <w:pStyle w:val="Compact"/>
            </w:pPr>
            <w:r>
              <w:rPr>
                <w:rStyle w:val="VerbatimChar"/>
              </w:rPr>
              <w:t xml:space="preserve">@</w:t>
            </w:r>
          </w:p>
        </w:tc>
        <w:tc>
          <w:tcPr/>
          <w:p>
            <w:pPr>
              <w:pStyle w:val="Compact"/>
            </w:pPr>
            <w:r>
              <w:t xml:space="preserve">Introduces a fresh unique ID when the statement will not be referenced later.</w:t>
            </w:r>
          </w:p>
        </w:tc>
      </w:tr>
      <w:tr>
        <w:tc>
          <w:tcPr/>
          <w:p>
            <w:pPr>
              <w:pStyle w:val="Compact"/>
            </w:pPr>
            <w:r>
              <w:t xml:space="preserve">Reference</w:t>
            </w:r>
          </w:p>
        </w:tc>
        <w:tc>
          <w:tcPr/>
          <w:p>
            <w:pPr>
              <w:pStyle w:val="Compact"/>
            </w:pPr>
            <w:r>
              <w:rPr>
                <w:rStyle w:val="VerbatimChar"/>
              </w:rPr>
              <w:t xml:space="preserve">$name</w:t>
            </w:r>
          </w:p>
        </w:tc>
        <w:tc>
          <w:tcPr/>
          <w:p>
            <w:pPr>
              <w:pStyle w:val="Compact"/>
            </w:pPr>
            <w:r>
              <w:t xml:space="preserve">Refers to the object defined by</w:t>
            </w:r>
            <w:r>
              <w:t xml:space="preserve"> </w:t>
            </w:r>
            <w:r>
              <w:rPr>
                <w:rStyle w:val="VerbatimChar"/>
              </w:rPr>
              <w:t xml:space="preserve">@name</w:t>
            </w:r>
            <w:r>
              <w:t xml:space="preserve"> </w:t>
            </w:r>
            <w:r>
              <w:t xml:space="preserve">(including statements).</w:t>
            </w:r>
          </w:p>
        </w:tc>
      </w:tr>
    </w:tbl>
    <w:p>
      <w:pPr>
        <w:pStyle w:val="BodyText"/>
      </w:pPr>
      <w:r>
        <w:t xml:space="preserve">Every semantic statement line has a uniform shape.</w:t>
      </w:r>
    </w:p>
    <w:p>
      <w:pPr>
        <w:pStyle w:val="BodyText"/>
      </w:pPr>
      <w:r>
        <w:rPr>
          <w:rStyle w:val="VerbatimChar"/>
        </w:rPr>
        <w:t xml:space="preserve">@id command subject verb arg1 arg2 ... #keyword: text #keyword: text ...</w:t>
      </w:r>
    </w:p>
    <w:p>
      <w:pPr>
        <w:pStyle w:val="BodyText"/>
      </w:pPr>
      <w:r>
        <w:t xml:space="preserve">The</w:t>
      </w:r>
      <w:r>
        <w:t xml:space="preserve"> </w:t>
      </w:r>
      <w:r>
        <w:rPr>
          <w:rStyle w:val="VerbatimChar"/>
        </w:rPr>
        <w:t xml:space="preserve">command</w:t>
      </w:r>
      <w:r>
        <w:t xml:space="preserve"> </w:t>
      </w:r>
      <w:r>
        <w:t xml:space="preserve">is either one of the built-in commands or a macro name. The remainder is interpreted as subject–verb–arguments, and both subject and verb may themselves be references to support higher-order statements.</w:t>
      </w:r>
    </w:p>
    <w:p>
      <w:pPr>
        <w:pStyle w:val="BodyText"/>
      </w:pPr>
      <w:r>
        <w:t xml:space="preserve">Annotations are comment-style fragments attached to the statement object on that line. They provide provenance, context, and metadata and are the only mechanism for external pointers such as file locations, page ranges, clause identifiers, or commit hashes.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Keywords (defined by the spec)</w:t>
            </w:r>
          </w:p>
        </w:tc>
      </w:tr>
      <w:tr>
        <w:tc>
          <w:tcPr/>
          <w:p>
            <w:pPr>
              <w:pStyle w:val="Compact"/>
            </w:pPr>
            <w:r>
              <w:t xml:space="preserve">Universal</w:t>
            </w:r>
          </w:p>
        </w:tc>
        <w:tc>
          <w:tcPr/>
          <w:p>
            <w:pPr>
              <w:pStyle w:val="Compact"/>
            </w:pPr>
            <w:r>
              <w:rPr>
                <w:rStyle w:val="VerbatimChar"/>
              </w:rPr>
              <w:t xml:space="preserve">src</w:t>
            </w:r>
            <w:r>
              <w:t xml:space="preserve">,</w:t>
            </w:r>
            <w:r>
              <w:t xml:space="preserve"> </w:t>
            </w:r>
            <w:r>
              <w:rPr>
                <w:rStyle w:val="VerbatimChar"/>
              </w:rPr>
              <w:t xml:space="preserve">ctx</w:t>
            </w:r>
            <w:r>
              <w:t xml:space="preserve">,</w:t>
            </w:r>
            <w:r>
              <w:t xml:space="preserve"> </w:t>
            </w:r>
            <w:r>
              <w:rPr>
                <w:rStyle w:val="VerbatimChar"/>
              </w:rPr>
              <w:t xml:space="preserve">speaker</w:t>
            </w:r>
            <w:r>
              <w:t xml:space="preserve">,</w:t>
            </w:r>
            <w:r>
              <w:t xml:space="preserve"> </w:t>
            </w:r>
            <w:r>
              <w:rPr>
                <w:rStyle w:val="VerbatimChar"/>
              </w:rPr>
              <w:t xml:space="preserve">time</w:t>
            </w:r>
            <w:r>
              <w:t xml:space="preserve">,</w:t>
            </w:r>
            <w:r>
              <w:t xml:space="preserve"> </w:t>
            </w:r>
            <w:r>
              <w:rPr>
                <w:rStyle w:val="VerbatimChar"/>
              </w:rPr>
              <w:t xml:space="preserve">lang</w:t>
            </w:r>
            <w:r>
              <w:t xml:space="preserve">,</w:t>
            </w:r>
            <w:r>
              <w:t xml:space="preserve"> </w:t>
            </w:r>
            <w:r>
              <w:rPr>
                <w:rStyle w:val="VerbatimChar"/>
              </w:rPr>
              <w:t xml:space="preserve">id</w:t>
            </w:r>
            <w:r>
              <w:t xml:space="preserve">,</w:t>
            </w:r>
            <w:r>
              <w:t xml:space="preserve"> </w:t>
            </w:r>
            <w:r>
              <w:rPr>
                <w:rStyle w:val="VerbatimChar"/>
              </w:rPr>
              <w:t xml:space="preserve">note</w:t>
            </w:r>
            <w:r>
              <w:t xml:space="preserve">,</w:t>
            </w:r>
            <w:r>
              <w:t xml:space="preserve"> </w:t>
            </w:r>
            <w:r>
              <w:rPr>
                <w:rStyle w:val="VerbatimChar"/>
              </w:rPr>
              <w:t xml:space="preserve">confidence</w:t>
            </w:r>
          </w:p>
        </w:tc>
      </w:tr>
      <w:tr>
        <w:tc>
          <w:tcPr/>
          <w:p>
            <w:pPr>
              <w:pStyle w:val="Compact"/>
            </w:pPr>
            <w:r>
              <w:t xml:space="preserve">Legal / policy</w:t>
            </w:r>
          </w:p>
        </w:tc>
        <w:tc>
          <w:tcPr/>
          <w:p>
            <w:pPr>
              <w:pStyle w:val="Compact"/>
            </w:pPr>
            <w:r>
              <w:rPr>
                <w:rStyle w:val="VerbatimChar"/>
              </w:rPr>
              <w:t xml:space="preserve">jurisdiction</w:t>
            </w:r>
            <w:r>
              <w:t xml:space="preserve">,</w:t>
            </w:r>
            <w:r>
              <w:t xml:space="preserve"> </w:t>
            </w:r>
            <w:r>
              <w:rPr>
                <w:rStyle w:val="VerbatimChar"/>
              </w:rPr>
              <w:t xml:space="preserve">clause</w:t>
            </w:r>
            <w:r>
              <w:t xml:space="preserve">,</w:t>
            </w:r>
            <w:r>
              <w:t xml:space="preserve"> </w:t>
            </w:r>
            <w:r>
              <w:rPr>
                <w:rStyle w:val="VerbatimChar"/>
              </w:rPr>
              <w:t xml:space="preserve">authority</w:t>
            </w:r>
            <w:r>
              <w:t xml:space="preserve">,</w:t>
            </w:r>
            <w:r>
              <w:t xml:space="preserve"> </w:t>
            </w:r>
            <w:r>
              <w:rPr>
                <w:rStyle w:val="VerbatimChar"/>
              </w:rPr>
              <w:t xml:space="preserve">norm</w:t>
            </w:r>
            <w:r>
              <w:t xml:space="preserve">,</w:t>
            </w:r>
            <w:r>
              <w:t xml:space="preserve"> </w:t>
            </w:r>
            <w:r>
              <w:rPr>
                <w:rStyle w:val="VerbatimChar"/>
              </w:rPr>
              <w:t xml:space="preserve">penalty</w:t>
            </w:r>
          </w:p>
        </w:tc>
      </w:tr>
      <w:tr>
        <w:tc>
          <w:tcPr/>
          <w:p>
            <w:pPr>
              <w:pStyle w:val="Compact"/>
            </w:pPr>
            <w:r>
              <w:t xml:space="preserve">Code / software</w:t>
            </w:r>
          </w:p>
        </w:tc>
        <w:tc>
          <w:tcPr/>
          <w:p>
            <w:pPr>
              <w:pStyle w:val="Compact"/>
            </w:pPr>
            <w:r>
              <w:rPr>
                <w:rStyle w:val="VerbatimChar"/>
              </w:rPr>
              <w:t xml:space="preserve">repo</w:t>
            </w:r>
            <w:r>
              <w:t xml:space="preserve">,</w:t>
            </w:r>
            <w:r>
              <w:t xml:space="preserve"> </w:t>
            </w:r>
            <w:r>
              <w:rPr>
                <w:rStyle w:val="VerbatimChar"/>
              </w:rPr>
              <w:t xml:space="preserve">commit</w:t>
            </w:r>
            <w:r>
              <w:t xml:space="preserve">,</w:t>
            </w:r>
            <w:r>
              <w:t xml:space="preserve"> </w:t>
            </w:r>
            <w:r>
              <w:rPr>
                <w:rStyle w:val="VerbatimChar"/>
              </w:rPr>
              <w:t xml:space="preserve">file</w:t>
            </w:r>
            <w:r>
              <w:t xml:space="preserve">,</w:t>
            </w:r>
            <w:r>
              <w:t xml:space="preserve"> </w:t>
            </w:r>
            <w:r>
              <w:rPr>
                <w:rStyle w:val="VerbatimChar"/>
              </w:rPr>
              <w:t xml:space="preserve">range</w:t>
            </w:r>
            <w:r>
              <w:t xml:space="preserve">,</w:t>
            </w:r>
            <w:r>
              <w:t xml:space="preserve"> </w:t>
            </w:r>
            <w:r>
              <w:rPr>
                <w:rStyle w:val="VerbatimChar"/>
              </w:rPr>
              <w:t xml:space="preserve">symbol</w:t>
            </w:r>
            <w:r>
              <w:t xml:space="preserve">,</w:t>
            </w:r>
            <w:r>
              <w:t xml:space="preserve"> </w:t>
            </w:r>
            <w:r>
              <w:rPr>
                <w:rStyle w:val="VerbatimChar"/>
              </w:rPr>
              <w:t xml:space="preserve">build</w:t>
            </w:r>
            <w:r>
              <w:t xml:space="preserve">,</w:t>
            </w:r>
            <w:r>
              <w:t xml:space="preserve"> </w:t>
            </w:r>
            <w:r>
              <w:rPr>
                <w:rStyle w:val="VerbatimChar"/>
              </w:rPr>
              <w:t xml:space="preserve">severity</w:t>
            </w:r>
          </w:p>
        </w:tc>
      </w:tr>
      <w:tr>
        <w:tc>
          <w:tcPr/>
          <w:p>
            <w:pPr>
              <w:pStyle w:val="Compact"/>
            </w:pPr>
            <w:r>
              <w:t xml:space="preserve">Literature / narrative</w:t>
            </w:r>
          </w:p>
        </w:tc>
        <w:tc>
          <w:tcPr/>
          <w:p>
            <w:pPr>
              <w:pStyle w:val="Compact"/>
            </w:pPr>
            <w:r>
              <w:rPr>
                <w:rStyle w:val="VerbatimChar"/>
              </w:rPr>
              <w:t xml:space="preserve">chapter</w:t>
            </w:r>
            <w:r>
              <w:t xml:space="preserve">,</w:t>
            </w:r>
            <w:r>
              <w:t xml:space="preserve"> </w:t>
            </w:r>
            <w:r>
              <w:rPr>
                <w:rStyle w:val="VerbatimChar"/>
              </w:rPr>
              <w:t xml:space="preserve">scene</w:t>
            </w:r>
            <w:r>
              <w:t xml:space="preserve">,</w:t>
            </w:r>
            <w:r>
              <w:t xml:space="preserve"> </w:t>
            </w:r>
            <w:r>
              <w:rPr>
                <w:rStyle w:val="VerbatimChar"/>
              </w:rPr>
              <w:t xml:space="preserve">pov</w:t>
            </w:r>
            <w:r>
              <w:t xml:space="preserve">,</w:t>
            </w:r>
            <w:r>
              <w:t xml:space="preserve"> </w:t>
            </w:r>
            <w:r>
              <w:rPr>
                <w:rStyle w:val="VerbatimChar"/>
              </w:rPr>
              <w:t xml:space="preserve">theme</w:t>
            </w:r>
            <w:r>
              <w:t xml:space="preserve">,</w:t>
            </w:r>
            <w:r>
              <w:t xml:space="preserve"> </w:t>
            </w:r>
            <w:r>
              <w:rPr>
                <w:rStyle w:val="VerbatimChar"/>
              </w:rPr>
              <w:t xml:space="preserve">motif</w:t>
            </w:r>
          </w:p>
        </w:tc>
      </w:tr>
      <w:tr>
        <w:tc>
          <w:tcPr/>
          <w:p>
            <w:pPr>
              <w:pStyle w:val="Compact"/>
            </w:pPr>
            <w:r>
              <w:t xml:space="preserve">Mathematics / technical</w:t>
            </w:r>
          </w:p>
        </w:tc>
        <w:tc>
          <w:tcPr/>
          <w:p>
            <w:pPr>
              <w:pStyle w:val="Compact"/>
            </w:pPr>
            <w:r>
              <w:rPr>
                <w:rStyle w:val="VerbatimChar"/>
              </w:rPr>
              <w:t xml:space="preserve">section</w:t>
            </w:r>
            <w:r>
              <w:t xml:space="preserve">,</w:t>
            </w:r>
            <w:r>
              <w:t xml:space="preserve"> </w:t>
            </w:r>
            <w:r>
              <w:rPr>
                <w:rStyle w:val="VerbatimChar"/>
              </w:rPr>
              <w:t xml:space="preserve">assumption</w:t>
            </w:r>
            <w:r>
              <w:t xml:space="preserve">,</w:t>
            </w:r>
            <w:r>
              <w:t xml:space="preserve"> </w:t>
            </w:r>
            <w:r>
              <w:rPr>
                <w:rStyle w:val="VerbatimChar"/>
              </w:rPr>
              <w:t xml:space="preserve">theorem</w:t>
            </w:r>
            <w:r>
              <w:t xml:space="preserve">,</w:t>
            </w:r>
            <w:r>
              <w:t xml:space="preserve"> </w:t>
            </w:r>
            <w:r>
              <w:rPr>
                <w:rStyle w:val="VerbatimChar"/>
              </w:rPr>
              <w:t xml:space="preserve">lemma</w:t>
            </w:r>
            <w:r>
              <w:t xml:space="preserve">,</w:t>
            </w:r>
            <w:r>
              <w:t xml:space="preserve"> </w:t>
            </w:r>
            <w:r>
              <w:rPr>
                <w:rStyle w:val="VerbatimChar"/>
              </w:rPr>
              <w:t xml:space="preserve">definition</w:t>
            </w:r>
            <w:r>
              <w:t xml:space="preserve">,</w:t>
            </w:r>
            <w:r>
              <w:t xml:space="preserve"> </w:t>
            </w:r>
            <w:r>
              <w:rPr>
                <w:rStyle w:val="VerbatimChar"/>
              </w:rPr>
              <w:t xml:space="preserve">domain</w:t>
            </w:r>
          </w:p>
        </w:tc>
      </w:tr>
    </w:tbl>
    <w:bookmarkEnd w:id="47"/>
    <w:bookmarkStart w:id="48" w:name="Xb39b90ac772bba7e4620e9d6f6656ec3c3de04c"/>
    <w:p>
      <w:pPr>
        <w:pStyle w:val="Heading2"/>
      </w:pPr>
      <w:r>
        <w:rPr>
          <w:b/>
          <w:bCs/>
        </w:rPr>
        <w:t xml:space="preserve">Core commands, scopes, macros</w:t>
      </w:r>
      <w:r>
        <w:t xml:space="preserve"> </w:t>
      </w:r>
      <w:r>
        <w:t xml:space="preserve">{#core-commands,-scopes,-macros}</w:t>
      </w:r>
    </w:p>
    <w:p>
      <w:pPr>
        <w:pStyle w:val="FirstParagraph"/>
      </w:pPr>
      <w:r>
        <w:t xml:space="preserve">SOP-IR defines five built-in commands; everything else is expressed with these commands or by macros that expand into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Command</w:t>
            </w:r>
          </w:p>
        </w:tc>
        <w:tc>
          <w:tcPr/>
          <w:p>
            <w:pPr>
              <w:pStyle w:val="Compact"/>
            </w:pPr>
            <w:r>
              <w:t xml:space="preserve">Form</w:t>
            </w:r>
          </w:p>
        </w:tc>
        <w:tc>
          <w:tcPr/>
          <w:p>
            <w:pPr>
              <w:pStyle w:val="Compact"/>
            </w:pPr>
            <w:r>
              <w:t xml:space="preserve">Intended use</w:t>
            </w:r>
          </w:p>
        </w:tc>
      </w:tr>
      <w:tr>
        <w:tc>
          <w:tcPr/>
          <w:p>
            <w:pPr>
              <w:pStyle w:val="Compact"/>
            </w:pPr>
            <w:r>
              <w:rPr>
                <w:rStyle w:val="VerbatimChar"/>
              </w:rPr>
              <w:t xml:space="preserve">fact</w:t>
            </w:r>
          </w:p>
        </w:tc>
        <w:tc>
          <w:tcPr/>
          <w:p>
            <w:pPr>
              <w:pStyle w:val="Compact"/>
            </w:pPr>
            <w:r>
              <w:rPr>
                <w:rStyle w:val="VerbatimChar"/>
              </w:rPr>
              <w:t xml:space="preserve">@id fact S V A1 A2 ...</w:t>
            </w:r>
          </w:p>
        </w:tc>
        <w:tc>
          <w:tcPr/>
          <w:p>
            <w:pPr>
              <w:pStyle w:val="Compact"/>
            </w:pPr>
            <w:r>
              <w:t xml:space="preserve">Introduces an asserted proposition extracted from the source.</w:t>
            </w:r>
          </w:p>
        </w:tc>
      </w:tr>
      <w:tr>
        <w:tc>
          <w:tcPr/>
          <w:p>
            <w:pPr>
              <w:pStyle w:val="Compact"/>
            </w:pPr>
            <w:r>
              <w:rPr>
                <w:rStyle w:val="VerbatimChar"/>
              </w:rPr>
              <w:t xml:space="preserve">set</w:t>
            </w:r>
          </w:p>
        </w:tc>
        <w:tc>
          <w:tcPr/>
          <w:p>
            <w:pPr>
              <w:pStyle w:val="Compact"/>
            </w:pPr>
            <w:r>
              <w:rPr>
                <w:rStyle w:val="VerbatimChar"/>
              </w:rPr>
              <w:t xml:space="preserve">@id set $target key value</w:t>
            </w:r>
          </w:p>
        </w:tc>
        <w:tc>
          <w:tcPr/>
          <w:p>
            <w:pPr>
              <w:pStyle w:val="Compact"/>
            </w:pPr>
            <w:r>
              <w:t xml:space="preserve">Attaches pragmatic/meta properties to an object, typically a claim.</w:t>
            </w:r>
          </w:p>
        </w:tc>
      </w:tr>
      <w:tr>
        <w:tc>
          <w:tcPr/>
          <w:p>
            <w:pPr>
              <w:pStyle w:val="Compact"/>
            </w:pPr>
            <w:r>
              <w:rPr>
                <w:rStyle w:val="VerbatimChar"/>
              </w:rPr>
              <w:t xml:space="preserve">link</w:t>
            </w:r>
          </w:p>
        </w:tc>
        <w:tc>
          <w:tcPr/>
          <w:p>
            <w:pPr>
              <w:pStyle w:val="Compact"/>
            </w:pPr>
            <w:r>
              <w:rPr>
                <w:rStyle w:val="VerbatimChar"/>
              </w:rPr>
              <w:t xml:space="preserve">@id link $a relation $b</w:t>
            </w:r>
          </w:p>
        </w:tc>
        <w:tc>
          <w:tcPr/>
          <w:p>
            <w:pPr>
              <w:pStyle w:val="Compact"/>
            </w:pPr>
            <w:r>
              <w:t xml:space="preserve">Connects two objects by a labeled relation such as</w:t>
            </w:r>
            <w:r>
              <w:t xml:space="preserve"> </w:t>
            </w:r>
            <w:r>
              <w:rPr>
                <w:rStyle w:val="VerbatimChar"/>
              </w:rPr>
              <w:t xml:space="preserve">supports</w:t>
            </w:r>
            <w:r>
              <w:t xml:space="preserve"> </w:t>
            </w:r>
            <w:r>
              <w:t xml:space="preserve">or</w:t>
            </w:r>
            <w:r>
              <w:t xml:space="preserve"> </w:t>
            </w:r>
            <w:r>
              <w:rPr>
                <w:rStyle w:val="VerbatimChar"/>
              </w:rPr>
              <w:t xml:space="preserve">contradicts</w:t>
            </w:r>
            <w:r>
              <w:t xml:space="preserve">.</w:t>
            </w:r>
          </w:p>
        </w:tc>
      </w:tr>
      <w:tr>
        <w:tc>
          <w:tcPr/>
          <w:p>
            <w:pPr>
              <w:pStyle w:val="Compact"/>
            </w:pPr>
            <w:r>
              <w:rPr>
                <w:rStyle w:val="VerbatimChar"/>
              </w:rPr>
              <w:t xml:space="preserve">begin</w:t>
            </w:r>
            <w:r>
              <w:t xml:space="preserve"> </w:t>
            </w:r>
            <w:r>
              <w:t xml:space="preserve">/</w:t>
            </w:r>
            <w:r>
              <w:t xml:space="preserve"> </w:t>
            </w:r>
            <w:r>
              <w:rPr>
                <w:rStyle w:val="VerbatimChar"/>
              </w:rPr>
              <w:t xml:space="preserve">end</w:t>
            </w:r>
          </w:p>
        </w:tc>
        <w:tc>
          <w:tcPr/>
          <w:p>
            <w:pPr>
              <w:pStyle w:val="Compact"/>
            </w:pPr>
            <w:r>
              <w:rPr>
                <w:rStyle w:val="VerbatimChar"/>
              </w:rPr>
              <w:t xml:space="preserve">@scopeId begin ... end</w:t>
            </w:r>
          </w:p>
        </w:tc>
        <w:tc>
          <w:tcPr/>
          <w:p>
            <w:pPr>
              <w:pStyle w:val="Compact"/>
            </w:pPr>
            <w:r>
              <w:t xml:space="preserve">Introduces and terminates a scope boundary for context and provenance.</w:t>
            </w:r>
          </w:p>
        </w:tc>
      </w:tr>
      <w:tr>
        <w:tc>
          <w:tcPr/>
          <w:p>
            <w:pPr>
              <w:pStyle w:val="Compact"/>
            </w:pPr>
            <w:r>
              <w:rPr>
                <w:rStyle w:val="VerbatimChar"/>
              </w:rPr>
              <w:t xml:space="preserve">macro</w:t>
            </w:r>
          </w:p>
        </w:tc>
        <w:tc>
          <w:tcPr/>
          <w:p>
            <w:pPr>
              <w:pStyle w:val="Compact"/>
            </w:pPr>
            <w:r>
              <w:rPr>
                <w:rStyle w:val="VerbatimChar"/>
              </w:rPr>
              <w:t xml:space="preserve">@MacroName macro begin ... end</w:t>
            </w:r>
          </w:p>
        </w:tc>
        <w:tc>
          <w:tcPr/>
          <w:p>
            <w:pPr>
              <w:pStyle w:val="Compact"/>
            </w:pPr>
            <w:r>
              <w:t xml:space="preserve">Defines a macro that expands into ordinary SOP-IR statements.</w:t>
            </w:r>
          </w:p>
        </w:tc>
      </w:tr>
    </w:tbl>
    <w:p>
      <w:pPr>
        <w:pStyle w:val="BodyText"/>
      </w:pPr>
      <w:r>
        <w:t xml:space="preserve">Two conventions follow from this command set. Negation, modality, and uncertainty SHOULD be represented as</w:t>
      </w:r>
      <w:r>
        <w:t xml:space="preserve"> </w:t>
      </w:r>
      <w:r>
        <w:rPr>
          <w:rStyle w:val="VerbatimChar"/>
        </w:rPr>
        <w:t xml:space="preserve">set</w:t>
      </w:r>
      <w:r>
        <w:t xml:space="preserve"> </w:t>
      </w:r>
      <w:r>
        <w:t xml:space="preserve">statements on the claim object (e.g.,</w:t>
      </w:r>
      <w:r>
        <w:t xml:space="preserve"> </w:t>
      </w:r>
      <w:r>
        <w:rPr>
          <w:rStyle w:val="VerbatimChar"/>
        </w:rPr>
        <w:t xml:space="preserve">polarity negated</w:t>
      </w:r>
      <w:r>
        <w:t xml:space="preserve">,</w:t>
      </w:r>
      <w:r>
        <w:t xml:space="preserve"> </w:t>
      </w:r>
      <w:r>
        <w:rPr>
          <w:rStyle w:val="VerbatimChar"/>
        </w:rPr>
        <w:t xml:space="preserve">modality must</w:t>
      </w:r>
      <w:r>
        <w:t xml:space="preserve">,</w:t>
      </w:r>
      <w:r>
        <w:t xml:space="preserve"> </w:t>
      </w:r>
      <w:r>
        <w:rPr>
          <w:rStyle w:val="VerbatimChar"/>
        </w:rPr>
        <w:t xml:space="preserve">confidence 0.7</w:t>
      </w:r>
      <w:r>
        <w:t xml:space="preserve">) rather than by inventing negative predicates. Discourse relations between claims SHOULD be expressed explicitly via</w:t>
      </w:r>
      <w:r>
        <w:t xml:space="preserve"> </w:t>
      </w:r>
      <w:r>
        <w:rPr>
          <w:rStyle w:val="VerbatimChar"/>
        </w:rPr>
        <w:t xml:space="preserve">link</w:t>
      </w:r>
      <w:r>
        <w:t xml:space="preserve"> </w:t>
      </w:r>
      <w:r>
        <w:t xml:space="preserve">(e.g.,</w:t>
      </w:r>
      <w:r>
        <w:t xml:space="preserve"> </w:t>
      </w:r>
      <w:r>
        <w:rPr>
          <w:rStyle w:val="VerbatimChar"/>
        </w:rPr>
        <w:t xml:space="preserve">supports</w:t>
      </w:r>
      <w:r>
        <w:t xml:space="preserve">,</w:t>
      </w:r>
      <w:r>
        <w:t xml:space="preserve"> </w:t>
      </w:r>
      <w:r>
        <w:rPr>
          <w:rStyle w:val="VerbatimChar"/>
        </w:rPr>
        <w:t xml:space="preserve">contradicts</w:t>
      </w:r>
      <w:r>
        <w:t xml:space="preserve">) rather than being hidden inside verb choices.</w:t>
      </w:r>
    </w:p>
    <w:p>
      <w:pPr>
        <w:pStyle w:val="BodyText"/>
      </w:pPr>
      <w:r>
        <w:t xml:space="preserve">Scopes group statements that share a contextual boundary. Tools may treat scope annotations as defaults for contained statements, but SOP-IR does not require a specific inheritance mechanism. Macros provide syntactic sugar: parameters are positional placeholders</w:t>
      </w:r>
      <w:r>
        <w:t xml:space="preserve"> </w:t>
      </w:r>
      <w:r>
        <w:rPr>
          <w:rStyle w:val="VerbatimChar"/>
        </w:rPr>
        <w:t xml:space="preserve">$1</w:t>
      </w:r>
      <w:r>
        <w:t xml:space="preserve">,</w:t>
      </w:r>
      <w:r>
        <w:t xml:space="preserve"> </w:t>
      </w:r>
      <w:r>
        <w:rPr>
          <w:rStyle w:val="VerbatimChar"/>
        </w:rPr>
        <w:t xml:space="preserve">$2</w:t>
      </w:r>
      <w:r>
        <w:t xml:space="preserve">, … inside the macro body, and invocation uses the macro name in the</w:t>
      </w:r>
      <w:r>
        <w:t xml:space="preserve"> </w:t>
      </w:r>
      <w:r>
        <w:rPr>
          <w:rStyle w:val="VerbatimChar"/>
        </w:rPr>
        <w:t xml:space="preserve">command</w:t>
      </w:r>
      <w:r>
        <w:t xml:space="preserve"> </w:t>
      </w:r>
      <w:r>
        <w:t xml:space="preserve">position; any explicit local IDs inside a macro body must be rewritten into globally unique IDs by tooling.</w:t>
      </w:r>
    </w:p>
    <w:p>
      <w:pPr>
        <w:pStyle w:val="BodyText"/>
      </w:pPr>
      <w:r>
        <w:t xml:space="preserve">The examples below are compacted as tables because their role in this deliverable is illustrative: they demonstrate how the same statement and annotation machinery supports cross-domain traceability without changing the core language.</w:t>
      </w:r>
    </w:p>
    <w:bookmarkEnd w:id="48"/>
    <w:bookmarkStart w:id="49" w:name="domain-specific-examples"/>
    <w:p>
      <w:pPr>
        <w:pStyle w:val="Heading2"/>
      </w:pPr>
      <w:r>
        <w:rPr>
          <w:b/>
          <w:bCs/>
        </w:rPr>
        <w:t xml:space="preserve">Domain Specific Examples</w:t>
      </w:r>
    </w:p>
    <w:p>
      <w:pPr>
        <w:pStyle w:val="FirstParagraph"/>
      </w:pPr>
      <w:r>
        <w:rPr>
          <w:b/>
          <w:bCs/>
        </w:rPr>
        <w:t xml:space="preserve">Literature Domain</w:t>
      </w:r>
    </w:p>
    <w:p>
      <w:pPr>
        <w:pStyle w:val="BodyText"/>
      </w:pPr>
      <w:r>
        <w:t xml:space="preserve">In the context of narrative literature, this representation binds textual provenance, declares entities along with their semantic typing, and renders logical contradictions explicit within the data structure.</w:t>
      </w:r>
    </w:p>
    <w:p>
      <w:pPr>
        <w:pStyle w:val="BodyText"/>
      </w:pPr>
      <w:r>
        <w:t xml:space="preserve">@ch7</w:t>
      </w:r>
      <w:r>
        <w:t xml:space="preserve"> </w:t>
      </w:r>
      <w:r>
        <w:t xml:space="preserve">begin #src:novel.txt:310-330 #chapter:7 #pov:omniscient</w:t>
      </w:r>
      <w:r>
        <w:br/>
      </w:r>
      <w:r>
        <w:t xml:space="preserve">@e1</w:t>
      </w:r>
      <w:r>
        <w:t xml:space="preserve"> </w:t>
      </w:r>
      <w:r>
        <w:t xml:space="preserve">ent Elena</w:t>
      </w:r>
      <w:r>
        <w:br/>
      </w:r>
      <w:r>
        <w:t xml:space="preserve">@f1</w:t>
      </w:r>
      <w:r>
        <w:t xml:space="preserve"> </w:t>
      </w:r>
      <w:r>
        <w:t xml:space="preserve">fact Elena suspects Victor</w:t>
      </w:r>
      <w:r>
        <w:br/>
      </w:r>
      <w:r>
        <w:t xml:space="preserve">@f2</w:t>
      </w:r>
      <w:r>
        <w:t xml:space="preserve"> </w:t>
      </w:r>
      <w:r>
        <w:t xml:space="preserve">type Victor innocent</w:t>
      </w:r>
      <w:r>
        <w:br/>
      </w:r>
      <w:r>
        <w:t xml:space="preserve">@l1</w:t>
      </w:r>
      <w:r>
        <w:t xml:space="preserve"> </w:t>
      </w:r>
      <w:r>
        <w:t xml:space="preserve">link $f1 contradicts $f2</w:t>
      </w:r>
      <w:r>
        <w:br/>
      </w:r>
      <w:r>
        <w:t xml:space="preserve">end</w:t>
      </w:r>
    </w:p>
    <w:p>
      <w:pPr>
        <w:pStyle w:val="BodyText"/>
      </w:pPr>
      <w:r>
        <w:rPr>
          <w:b/>
          <w:bCs/>
        </w:rPr>
        <w:t xml:space="preserve">Legal Domain</w:t>
      </w:r>
      <w:r>
        <w:t xml:space="preserve"> </w:t>
      </w:r>
      <w:r>
        <w:t xml:space="preserve">For legal frameworks, this structure ensures the traceability of statutory clauses, formally encodes legal obligations, and attaches specific regulatory exceptions as first-class verifiable claims.</w:t>
      </w:r>
    </w:p>
    <w:p>
      <w:pPr>
        <w:pStyle w:val="BodyText"/>
      </w:pPr>
      <w:r>
        <w:t xml:space="preserve">@sec40</w:t>
      </w:r>
      <w:r>
        <w:t xml:space="preserve"> </w:t>
      </w:r>
      <w:r>
        <w:t xml:space="preserve">begin #src:dpa.md:40-46 #jurisdiction:EU #clause:Art17</w:t>
      </w:r>
      <w:r>
        <w:br/>
      </w:r>
      <w:r>
        <w:t xml:space="preserve">@r1</w:t>
      </w:r>
      <w:r>
        <w:t xml:space="preserve"> </w:t>
      </w:r>
      <w:r>
        <w:t xml:space="preserve">oblige Processor delete Personal_Data upon_Request</w:t>
      </w:r>
      <w:r>
        <w:br/>
      </w:r>
      <w:r>
        <w:t xml:space="preserve">@e1</w:t>
      </w:r>
      <w:r>
        <w:t xml:space="preserve"> </w:t>
      </w:r>
      <w:r>
        <w:t xml:space="preserve">except $r1 retention_required_by_law</w:t>
      </w:r>
      <w:r>
        <w:br/>
      </w:r>
      <w:r>
        <w:t xml:space="preserve">end</w:t>
      </w:r>
    </w:p>
    <w:p>
      <w:pPr>
        <w:pStyle w:val="BodyText"/>
      </w:pPr>
      <w:r>
        <w:rPr>
          <w:b/>
          <w:bCs/>
        </w:rPr>
        <w:t xml:space="preserve">Source Code Analysis</w:t>
      </w:r>
      <w:r>
        <w:t xml:space="preserve"> </w:t>
      </w:r>
      <w:r>
        <w:t xml:space="preserve">Within software repository analysis, the representation links code provenance metadata, defines function symbols, and systematically records both execution call graphs and state-effect relations.</w:t>
      </w:r>
    </w:p>
    <w:p>
      <w:pPr>
        <w:pStyle w:val="BodyText"/>
      </w:pPr>
      <w:r>
        <w:t xml:space="preserve">@file1</w:t>
      </w:r>
      <w:r>
        <w:t xml:space="preserve"> </w:t>
      </w:r>
      <w:r>
        <w:t xml:space="preserve">begin #repo:myrepo #commit:abc123 #file:api/users.ts #range:L1-L120</w:t>
      </w:r>
      <w:r>
        <w:br/>
      </w:r>
      <w:r>
        <w:t xml:space="preserve">@d1</w:t>
      </w:r>
      <w:r>
        <w:t xml:space="preserve"> </w:t>
      </w:r>
      <w:r>
        <w:t xml:space="preserve">fn handler_createUser api/users.ts</w:t>
      </w:r>
      <w:r>
        <w:br/>
      </w:r>
      <w:r>
        <w:t xml:space="preserve">@d2</w:t>
      </w:r>
      <w:r>
        <w:t xml:space="preserve"> </w:t>
      </w:r>
      <w:r>
        <w:t xml:space="preserve">calls handler_createUser validateInput</w:t>
      </w:r>
      <w:r>
        <w:br/>
      </w:r>
      <w:r>
        <w:t xml:space="preserve">@d3</w:t>
      </w:r>
      <w:r>
        <w:t xml:space="preserve"> </w:t>
      </w:r>
      <w:r>
        <w:t xml:space="preserve">writes handler_createUser database</w:t>
      </w:r>
      <w:r>
        <w:br/>
      </w:r>
      <w:r>
        <w:t xml:space="preserve">end</w:t>
      </w:r>
    </w:p>
    <w:p>
      <w:pPr>
        <w:pStyle w:val="BodyText"/>
      </w:pPr>
      <w:r>
        <w:rPr>
          <w:b/>
          <w:bCs/>
        </w:rPr>
        <w:t xml:space="preserve">Mathematical Proofs</w:t>
      </w:r>
      <w:r>
        <w:t xml:space="preserve"> </w:t>
      </w:r>
      <w:r>
        <w:t xml:space="preserve">In mathematical theorem proving, the format correlates the theorem to its original source material, formalizes the mathematical claim, and explicitly designates its normative or required modality.</w:t>
      </w:r>
    </w:p>
    <w:p>
      <w:pPr>
        <w:pStyle w:val="BodyText"/>
      </w:pPr>
      <w:r>
        <w:t xml:space="preserve">@math</w:t>
      </w:r>
      <w:r>
        <w:t xml:space="preserve"> </w:t>
      </w:r>
      <w:r>
        <w:t xml:space="preserve">begin #src:notes.txt:12-13 #theorem:T1</w:t>
      </w:r>
      <w:r>
        <w:br/>
      </w:r>
      <w:r>
        <w:t xml:space="preserve">@t1</w:t>
      </w:r>
      <w:r>
        <w:t xml:space="preserve"> </w:t>
      </w:r>
      <w:r>
        <w:t xml:space="preserve">fact theorem nonneg_square states x2_ge_0</w:t>
      </w:r>
      <w:r>
        <w:br/>
      </w:r>
      <w:r>
        <w:t xml:space="preserve">@m1</w:t>
      </w:r>
      <w:r>
        <w:t xml:space="preserve"> </w:t>
      </w:r>
      <w:r>
        <w:t xml:space="preserve">set $t1 modality must</w:t>
      </w:r>
      <w:r>
        <w:br/>
      </w:r>
      <w:r>
        <w:t xml:space="preserve">end</w:t>
      </w:r>
    </w:p>
    <w:p>
      <w:pPr>
        <w:pStyle w:val="BodyText"/>
      </w:pPr>
      <w:r>
        <w:t xml:space="preserve">For LLM-to-SOP-IR translation, the intended discipline is to emit only SOP-IR statements, to allocate explicit IDs only when later referenced, to group meaningful boundaries into scopes, to attach precise</w:t>
      </w:r>
      <w:r>
        <w:t xml:space="preserve"> </w:t>
      </w:r>
      <w:r>
        <w:rPr>
          <w:rStyle w:val="VerbatimChar"/>
        </w:rPr>
        <w:t xml:space="preserve">#src:</w:t>
      </w:r>
      <w:r>
        <w:t xml:space="preserve"> </w:t>
      </w:r>
      <w:r>
        <w:t xml:space="preserve">locators, and to represent negation/modality/uncertainty using</w:t>
      </w:r>
      <w:r>
        <w:t xml:space="preserve"> </w:t>
      </w:r>
      <w:r>
        <w:rPr>
          <w:rStyle w:val="VerbatimChar"/>
        </w:rPr>
        <w:t xml:space="preserve">set</w:t>
      </w:r>
      <w:r>
        <w:t xml:space="preserve"> </w:t>
      </w:r>
      <w:r>
        <w:t xml:space="preserve">statements (often via macros). New verb symbols, when unavoidable, should remain short, consistent, semantically transparent, and annotated with</w:t>
      </w:r>
      <w:r>
        <w:t xml:space="preserve"> </w:t>
      </w:r>
      <w:r>
        <w:rPr>
          <w:rStyle w:val="VerbatimChar"/>
        </w:rPr>
        <w:t xml:space="preserve">#note:</w:t>
      </w:r>
      <w:r>
        <w:t xml:space="preserve">.</w:t>
      </w:r>
    </w:p>
    <w:bookmarkEnd w:id="49"/>
    <w:bookmarkEnd w:id="50"/>
    <w:bookmarkStart w:id="51" w:name="section-5"/>
    <w:p>
      <w:pPr>
        <w:pStyle w:val="Heading1"/>
      </w:pPr>
    </w:p>
    <w:bookmarkEnd w:id="51"/>
    <w:bookmarkStart w:id="55" w:name="iv.-sop-lang-plan-specifications"/>
    <w:p>
      <w:pPr>
        <w:pStyle w:val="Heading1"/>
      </w:pPr>
      <w:r>
        <w:rPr>
          <w:b/>
          <w:bCs/>
        </w:rPr>
        <w:t xml:space="preserve">IV. SOP Lang Plan Specifications</w:t>
      </w:r>
    </w:p>
    <w:bookmarkStart w:id="52" w:name="overview-and-design-goals-1"/>
    <w:p>
      <w:pPr>
        <w:pStyle w:val="Heading2"/>
      </w:pPr>
      <w:r>
        <w:rPr>
          <w:b/>
          <w:bCs/>
        </w:rPr>
        <w:t xml:space="preserve">Overview and design goals</w:t>
      </w:r>
    </w:p>
    <w:p>
      <w:pPr>
        <w:pStyle w:val="FirstParagraph"/>
      </w:pPr>
      <w:r>
        <w:t xml:space="preserve">SOP Lang Plan (“SOP-Plan”) is a minimal planning representation for agentic execution loops. It is explicitly not a meaning representation: it does not encode semantics, pragmatics, discourse structure, provenance, or truth conditions. Its sole purpose is to express, as linear text, a set of skill invocations whose variable dependencies can be compiled deterministically into a dependency graph (typically a DAG) for efficient execution.</w:t>
      </w:r>
    </w:p>
    <w:p>
      <w:pPr>
        <w:pStyle w:val="BodyText"/>
      </w:pPr>
      <w:r>
        <w:t xml:space="preserve">The central abstraction is the “skill”. A skill generalizes a tool call by accepting inputs as strings and taking responsibility for parsing, validation, and execution, using deterministic methods (e.g., regular expressions or small grammars) where possible and LLM-based parsing where necessary. A skill may internally behave like a bounded sub-agent with its own constrained working context and optional secondary tool use, but SOP-Plan treats it as a single executable node with explicit inputs and outputs. This design supports environment-level context management: the orchestrator projects only the referenced variables required for each invocation, enabling minimal context slices and reducing repeated global deliberation.</w:t>
      </w:r>
    </w:p>
    <w:bookmarkEnd w:id="52"/>
    <w:bookmarkStart w:id="53" w:name="Xbbaff8359b6e3210a35981c33846fd2c66c0897"/>
    <w:p>
      <w:pPr>
        <w:pStyle w:val="Heading2"/>
      </w:pPr>
      <w:r>
        <w:rPr>
          <w:b/>
          <w:bCs/>
        </w:rPr>
        <w:t xml:space="preserve">Syntax, variables, dependency extraction, and compact examples</w:t>
      </w:r>
      <w:r>
        <w:t xml:space="preserve"> </w:t>
      </w:r>
      <w:r>
        <w:t xml:space="preserve">{#syntax,-variables,-dependency-extraction,-and-compact-examples}</w:t>
      </w:r>
    </w:p>
    <w:p>
      <w:pPr>
        <w:pStyle w:val="FirstParagraph"/>
      </w:pPr>
      <w:r>
        <w:t xml:space="preserve">Each line represents one planned skill call with one output binding.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Form</w:t>
            </w:r>
          </w:p>
        </w:tc>
        <w:tc>
          <w:tcPr/>
          <w:p>
            <w:pPr>
              <w:pStyle w:val="Compact"/>
            </w:pPr>
            <w:r>
              <w:t xml:space="preserve">Meaning</w:t>
            </w:r>
          </w:p>
        </w:tc>
      </w:tr>
      <w:tr>
        <w:tc>
          <w:tcPr/>
          <w:p>
            <w:pPr>
              <w:pStyle w:val="Compact"/>
            </w:pPr>
            <w:r>
              <w:t xml:space="preserve">Output binding</w:t>
            </w:r>
          </w:p>
        </w:tc>
        <w:tc>
          <w:tcPr/>
          <w:p>
            <w:pPr>
              <w:pStyle w:val="Compact"/>
            </w:pPr>
            <w:r>
              <w:rPr>
                <w:rStyle w:val="VerbatimChar"/>
              </w:rPr>
              <w:t xml:space="preserve">@outVar</w:t>
            </w:r>
            <w:r>
              <w:t xml:space="preserve"> </w:t>
            </w:r>
            <w:r>
              <w:t xml:space="preserve">or</w:t>
            </w:r>
            <w:r>
              <w:t xml:space="preserve"> </w:t>
            </w:r>
            <w:r>
              <w:rPr>
                <w:rStyle w:val="VerbatimChar"/>
              </w:rPr>
              <w:t xml:space="preserve">@</w:t>
            </w:r>
          </w:p>
        </w:tc>
        <w:tc>
          <w:tcPr/>
          <w:p>
            <w:pPr>
              <w:pStyle w:val="Compact"/>
            </w:pPr>
            <w:r>
              <w:t xml:space="preserve">Store the primary output under</w:t>
            </w:r>
            <w:r>
              <w:t xml:space="preserve"> </w:t>
            </w:r>
            <w:r>
              <w:rPr>
                <w:rStyle w:val="VerbatimChar"/>
              </w:rPr>
              <w:t xml:space="preserve">@outVar</w:t>
            </w:r>
            <w:r>
              <w:t xml:space="preserve">; use</w:t>
            </w:r>
            <w:r>
              <w:t xml:space="preserve"> </w:t>
            </w:r>
            <w:r>
              <w:rPr>
                <w:rStyle w:val="VerbatimChar"/>
              </w:rPr>
              <w:t xml:space="preserve">@</w:t>
            </w:r>
            <w:r>
              <w:t xml:space="preserve"> </w:t>
            </w:r>
            <w:r>
              <w:t xml:space="preserve">when output is intentionally ignored.</w:t>
            </w:r>
          </w:p>
        </w:tc>
      </w:tr>
      <w:tr>
        <w:tc>
          <w:tcPr/>
          <w:p>
            <w:pPr>
              <w:pStyle w:val="Compact"/>
            </w:pPr>
            <w:r>
              <w:t xml:space="preserve">Skill name</w:t>
            </w:r>
          </w:p>
        </w:tc>
        <w:tc>
          <w:tcPr/>
          <w:p>
            <w:pPr>
              <w:pStyle w:val="Compact"/>
            </w:pPr>
            <w:r>
              <w:rPr>
                <w:rStyle w:val="VerbatimChar"/>
              </w:rPr>
              <w:t xml:space="preserve">skillName</w:t>
            </w:r>
          </w:p>
        </w:tc>
        <w:tc>
          <w:tcPr/>
          <w:p>
            <w:pPr>
              <w:pStyle w:val="Compact"/>
            </w:pPr>
            <w:r>
              <w:t xml:space="preserve">Identifies the executable capability invoked by the orchestrator.</w:t>
            </w:r>
          </w:p>
        </w:tc>
      </w:tr>
      <w:tr>
        <w:tc>
          <w:tcPr/>
          <w:p>
            <w:pPr>
              <w:pStyle w:val="Compact"/>
            </w:pPr>
            <w:r>
              <w:t xml:space="preserve">Parameters</w:t>
            </w:r>
          </w:p>
        </w:tc>
        <w:tc>
          <w:tcPr/>
          <w:p>
            <w:pPr>
              <w:pStyle w:val="Compact"/>
            </w:pPr>
            <w:r>
              <w:rPr>
                <w:rStyle w:val="VerbatimChar"/>
              </w:rPr>
              <w:t xml:space="preserve">param1 param2 ...</w:t>
            </w:r>
          </w:p>
        </w:tc>
        <w:tc>
          <w:tcPr/>
          <w:p>
            <w:pPr>
              <w:pStyle w:val="Compact"/>
            </w:pPr>
            <w:r>
              <w:t xml:space="preserve">Whitespace-separated tokens or quoted strings; passed to the skill as strings after substitution.</w:t>
            </w:r>
          </w:p>
        </w:tc>
      </w:tr>
      <w:tr>
        <w:tc>
          <w:tcPr/>
          <w:p>
            <w:pPr>
              <w:pStyle w:val="Compact"/>
            </w:pPr>
            <w:r>
              <w:t xml:space="preserve">Variable reference</w:t>
            </w:r>
          </w:p>
        </w:tc>
        <w:tc>
          <w:tcPr/>
          <w:p>
            <w:pPr>
              <w:pStyle w:val="Compact"/>
            </w:pPr>
            <w:r>
              <w:rPr>
                <w:rStyle w:val="VerbatimChar"/>
              </w:rPr>
              <w:t xml:space="preserve">$var</w:t>
            </w:r>
          </w:p>
        </w:tc>
        <w:tc>
          <w:tcPr/>
          <w:p>
            <w:pPr>
              <w:pStyle w:val="Compact"/>
            </w:pPr>
            <w:r>
              <w:t xml:space="preserve">Denotes a value in the parent context or produced by an earlier call; multiple</w:t>
            </w:r>
            <w:r>
              <w:t xml:space="preserve"> </w:t>
            </w:r>
            <w:r>
              <w:rPr>
                <w:rStyle w:val="VerbatimChar"/>
              </w:rPr>
              <w:t xml:space="preserve">$var</w:t>
            </w:r>
            <w:r>
              <w:t xml:space="preserve"> </w:t>
            </w:r>
            <w:r>
              <w:t xml:space="preserve">may appear on the same line.</w:t>
            </w:r>
          </w:p>
        </w:tc>
      </w:tr>
    </w:tbl>
    <w:p>
      <w:pPr>
        <w:pStyle w:val="BodyText"/>
      </w:pPr>
      <w:r>
        <w:t xml:space="preserve">The dependency rule is deliberately minimal: a call depends on the producer of every</w:t>
      </w:r>
      <w:r>
        <w:t xml:space="preserve"> </w:t>
      </w:r>
      <w:r>
        <w:rPr>
          <w:rStyle w:val="VerbatimChar"/>
        </w:rPr>
        <w:t xml:space="preserve">$var</w:t>
      </w:r>
      <w:r>
        <w:t xml:space="preserve"> </w:t>
      </w:r>
      <w:r>
        <w:t xml:space="preserve">referenced in its parameter list. The orchestrator compiles the plan into a graph by scanning</w:t>
      </w:r>
      <w:r>
        <w:t xml:space="preserve"> </w:t>
      </w:r>
      <w:r>
        <w:rPr>
          <w:rStyle w:val="VerbatimChar"/>
        </w:rPr>
        <w:t xml:space="preserve">$...</w:t>
      </w:r>
      <w:r>
        <w:t xml:space="preserve"> </w:t>
      </w:r>
      <w:r>
        <w:t xml:space="preserve">occurrences and then executes the graph by topological ordering, with localized replanning only when failures or new information invalidate downstream nodes.</w:t>
      </w:r>
    </w:p>
    <w:p>
      <w:pPr>
        <w:pStyle w:val="BodyText"/>
      </w:pPr>
      <w:r>
        <w:t xml:space="preserve">The examples below are presented as a table to emphasize their role: they illustrate the determinism of dependency extraction and the practicality of minimal context projection per step.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 (SOP-Plan line)</w:t>
            </w:r>
          </w:p>
        </w:tc>
        <w:tc>
          <w:tcPr/>
          <w:p>
            <w:pPr>
              <w:pStyle w:val="Compact"/>
            </w:pPr>
            <w:r>
              <w:t xml:space="preserve">Dependency implication and role</w:t>
            </w:r>
          </w:p>
        </w:tc>
      </w:tr>
      <w:tr>
        <w:tc>
          <w:tcPr/>
          <w:p>
            <w:pPr>
              <w:pStyle w:val="Compact"/>
            </w:pPr>
            <w:r>
              <w:rPr>
                <w:rStyle w:val="VerbatimChar"/>
              </w:rPr>
              <w:t xml:space="preserve">@ctx select_context "auth only"</w:t>
            </w:r>
          </w:p>
        </w:tc>
        <w:tc>
          <w:tcPr/>
          <w:p>
            <w:pPr>
              <w:pStyle w:val="Compact"/>
            </w:pPr>
            <w:r>
              <w:t xml:space="preserve">Produces</w:t>
            </w:r>
            <w:r>
              <w:t xml:space="preserve"> </w:t>
            </w:r>
            <w:r>
              <w:rPr>
                <w:rStyle w:val="VerbatimChar"/>
              </w:rPr>
              <w:t xml:space="preserve">$ctx</w:t>
            </w:r>
            <w:r>
              <w:t xml:space="preserve">; defines a context slice policy for downstream skills.</w:t>
            </w:r>
          </w:p>
        </w:tc>
      </w:tr>
      <w:tr>
        <w:tc>
          <w:tcPr/>
          <w:p>
            <w:pPr>
              <w:pStyle w:val="Compact"/>
            </w:pPr>
            <w:r>
              <w:rPr>
                <w:rStyle w:val="VerbatimChar"/>
              </w:rPr>
              <w:t xml:space="preserve">@files load_files $ctx</w:t>
            </w:r>
          </w:p>
        </w:tc>
        <w:tc>
          <w:tcPr/>
          <w:p>
            <w:pPr>
              <w:pStyle w:val="Compact"/>
            </w:pPr>
            <w:r>
              <w:t xml:space="preserve">Depends on</w:t>
            </w:r>
            <w:r>
              <w:t xml:space="preserve"> </w:t>
            </w:r>
            <w:r>
              <w:rPr>
                <w:rStyle w:val="VerbatimChar"/>
              </w:rPr>
              <w:t xml:space="preserve">$ctx</w:t>
            </w:r>
            <w:r>
              <w:t xml:space="preserve">; loads only files implied by the selected context.</w:t>
            </w:r>
          </w:p>
        </w:tc>
      </w:tr>
      <w:tr>
        <w:tc>
          <w:tcPr/>
          <w:p>
            <w:pPr>
              <w:pStyle w:val="Compact"/>
            </w:pPr>
            <w:r>
              <w:rPr>
                <w:rStyle w:val="VerbatimChar"/>
              </w:rPr>
              <w:t xml:space="preserve">@eps analyze_code $files "entrypoints"</w:t>
            </w:r>
          </w:p>
        </w:tc>
        <w:tc>
          <w:tcPr/>
          <w:p>
            <w:pPr>
              <w:pStyle w:val="Compact"/>
            </w:pPr>
            <w:r>
              <w:t xml:space="preserve">Depends on</w:t>
            </w:r>
            <w:r>
              <w:t xml:space="preserve"> </w:t>
            </w:r>
            <w:r>
              <w:rPr>
                <w:rStyle w:val="VerbatimChar"/>
              </w:rPr>
              <w:t xml:space="preserve">$files</w:t>
            </w:r>
            <w:r>
              <w:t xml:space="preserve">; produces structured entrypoint candidates for planning.</w:t>
            </w:r>
          </w:p>
        </w:tc>
      </w:tr>
      <w:tr>
        <w:tc>
          <w:tcPr/>
          <w:p>
            <w:pPr>
              <w:pStyle w:val="Compact"/>
            </w:pPr>
            <w:r>
              <w:rPr>
                <w:rStyle w:val="VerbatimChar"/>
              </w:rPr>
              <w:t xml:space="preserve">@plan propose_plan $eps "refactor module X"</w:t>
            </w:r>
          </w:p>
        </w:tc>
        <w:tc>
          <w:tcPr/>
          <w:p>
            <w:pPr>
              <w:pStyle w:val="Compact"/>
            </w:pPr>
            <w:r>
              <w:t xml:space="preserve">Depends on</w:t>
            </w:r>
            <w:r>
              <w:t xml:space="preserve"> </w:t>
            </w:r>
            <w:r>
              <w:rPr>
                <w:rStyle w:val="VerbatimChar"/>
              </w:rPr>
              <w:t xml:space="preserve">$eps</w:t>
            </w:r>
            <w:r>
              <w:t xml:space="preserve">; produces a concrete plan artifact for modifications.</w:t>
            </w:r>
          </w:p>
        </w:tc>
      </w:tr>
      <w:tr>
        <w:tc>
          <w:tcPr/>
          <w:p>
            <w:pPr>
              <w:pStyle w:val="Compact"/>
            </w:pPr>
            <w:r>
              <w:rPr>
                <w:rStyle w:val="VerbatimChar"/>
              </w:rPr>
              <w:t xml:space="preserve">@patch apply_patch $plan</w:t>
            </w:r>
          </w:p>
        </w:tc>
        <w:tc>
          <w:tcPr/>
          <w:p>
            <w:pPr>
              <w:pStyle w:val="Compact"/>
            </w:pPr>
            <w:r>
              <w:t xml:space="preserve">Depends on</w:t>
            </w:r>
            <w:r>
              <w:t xml:space="preserve"> </w:t>
            </w:r>
            <w:r>
              <w:rPr>
                <w:rStyle w:val="VerbatimChar"/>
              </w:rPr>
              <w:t xml:space="preserve">$plan</w:t>
            </w:r>
            <w:r>
              <w:t xml:space="preserve">; materializes changes as a patch artifact.</w:t>
            </w:r>
          </w:p>
        </w:tc>
      </w:tr>
      <w:tr>
        <w:tc>
          <w:tcPr/>
          <w:p>
            <w:pPr>
              <w:pStyle w:val="Compact"/>
            </w:pPr>
            <w:r>
              <w:rPr>
                <w:rStyle w:val="VerbatimChar"/>
              </w:rPr>
              <w:t xml:space="preserve">@ok run_checks $patch "node --check"</w:t>
            </w:r>
          </w:p>
        </w:tc>
        <w:tc>
          <w:tcPr/>
          <w:p>
            <w:pPr>
              <w:pStyle w:val="Compact"/>
            </w:pPr>
            <w:r>
              <w:t xml:space="preserve">Depends on</w:t>
            </w:r>
            <w:r>
              <w:t xml:space="preserve"> </w:t>
            </w:r>
            <w:r>
              <w:rPr>
                <w:rStyle w:val="VerbatimChar"/>
              </w:rPr>
              <w:t xml:space="preserve">$patch</w:t>
            </w:r>
            <w:r>
              <w:t xml:space="preserve">; validates the outcome with a deterministic checker.</w:t>
            </w:r>
          </w:p>
        </w:tc>
      </w:tr>
    </w:tbl>
    <w:p>
      <w:pPr>
        <w:pStyle w:val="BodyText"/>
      </w:pPr>
      <w:r>
        <w:t xml:space="preserve">A second pattern illustrates multiple references in a single call.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 (SOP-Plan line)</w:t>
            </w:r>
          </w:p>
        </w:tc>
        <w:tc>
          <w:tcPr/>
          <w:p>
            <w:pPr>
              <w:pStyle w:val="Compact"/>
            </w:pPr>
            <w:r>
              <w:t xml:space="preserve">Dependency implication and role</w:t>
            </w:r>
          </w:p>
        </w:tc>
      </w:tr>
      <w:tr>
        <w:tc>
          <w:tcPr/>
          <w:p>
            <w:pPr>
              <w:pStyle w:val="Compact"/>
            </w:pPr>
            <w:r>
              <w:rPr>
                <w:rStyle w:val="VerbatimChar"/>
              </w:rPr>
              <w:t xml:space="preserve">@report compare_results $baseline $candidate "metrics"</w:t>
            </w:r>
          </w:p>
        </w:tc>
        <w:tc>
          <w:tcPr/>
          <w:p>
            <w:pPr>
              <w:pStyle w:val="Compact"/>
            </w:pPr>
            <w:r>
              <w:t xml:space="preserve">Depends on producers of</w:t>
            </w:r>
            <w:r>
              <w:t xml:space="preserve"> </w:t>
            </w:r>
            <w:r>
              <w:rPr>
                <w:rStyle w:val="VerbatimChar"/>
              </w:rPr>
              <w:t xml:space="preserve">$baseline</w:t>
            </w:r>
            <w:r>
              <w:t xml:space="preserve"> </w:t>
            </w:r>
            <w:r>
              <w:t xml:space="preserve">and</w:t>
            </w:r>
            <w:r>
              <w:t xml:space="preserve"> </w:t>
            </w:r>
            <w:r>
              <w:rPr>
                <w:rStyle w:val="VerbatimChar"/>
              </w:rPr>
              <w:t xml:space="preserve">$candidate</w:t>
            </w:r>
            <w:r>
              <w:t xml:space="preserve">; enables aggregation without re-reading global context.</w:t>
            </w:r>
          </w:p>
        </w:tc>
      </w:tr>
    </w:tbl>
    <w:p>
      <w:pPr>
        <w:pStyle w:val="BodyText"/>
      </w:pPr>
      <w:r>
        <w:t xml:space="preserve">SOP-Plan is intentionally strict and small: it has no scopes, no macros, and no annotation layer. The expressiveness is delegated to skills, while the environment retains deterministic parsing and graph compilation. This division of responsibility is the primary mechanism by which SOP-Plan supports efficiency: the plan externalizes dependencies, enables caching and selective recomputation at the node level, and allows the orchestrator to enforce minimal context budgets while keeping execution auditable.</w:t>
      </w:r>
    </w:p>
    <w:bookmarkEnd w:id="53"/>
    <w:bookmarkStart w:id="54" w:name="skills-return-semantics.-errors-handling"/>
    <w:p>
      <w:pPr>
        <w:pStyle w:val="Heading2"/>
      </w:pPr>
      <w:r>
        <w:rPr>
          <w:b/>
          <w:bCs/>
        </w:rPr>
        <w:t xml:space="preserve">Skills Return Semantics. Errors Handling</w:t>
      </w:r>
    </w:p>
    <w:p>
      <w:pPr>
        <w:pStyle w:val="FirstParagraph"/>
      </w:pPr>
      <w:r>
        <w:t xml:space="preserve">-variabile din sesiune loop</w:t>
      </w:r>
    </w:p>
    <w:p>
      <w:pPr>
        <w:pStyle w:val="BodyText"/>
      </w:pPr>
      <w:r>
        <w:t xml:space="preserve">-semantica variabile din sop lang plan</w:t>
      </w:r>
    </w:p>
    <w:bookmarkEnd w:id="54"/>
    <w:bookmarkEnd w:id="55"/>
    <w:bookmarkStart w:id="56" w:name="v.-conclusions.-risks-and-potential"/>
    <w:p>
      <w:pPr>
        <w:pStyle w:val="Heading1"/>
      </w:pPr>
      <w:r>
        <w:rPr>
          <w:b/>
          <w:bCs/>
        </w:rPr>
        <w:t xml:space="preserve">V. Conclusions. Risks and Potential</w:t>
      </w:r>
    </w:p>
    <w:p>
      <w:pPr>
        <w:pStyle w:val="FirstParagraph"/>
      </w:pPr>
      <w:r>
        <w:t xml:space="preserve">This progress note presents a single, explicit, and balanced conclusion derived from our ACHILLES effort to construct the Multi‑Agent Environment described in this document, while placing it in a broader, ongoing collective process: humanity’s attempt to understand the real effects of new cognitive and operational superpowers opened by AI. We treat this conclusion as provisional. The standards, practices, and wisdom required for responsible use are not finished products; they accumulate over time through repeated trials, failures, disciplined refinement, and critical replication by many independent teams. Our aim here is therefore not to claim closure, but to share a coherent synthesis of what repeatedly mattered in our experiments, and to invite others to push further, so that the field converges on practices that solve real problems rather than merely producing large volumes of plausible artifacts.</w:t>
      </w:r>
      <w:r>
        <w:br/>
      </w:r>
      <w:r>
        <w:t xml:space="preserve">The most important internal conclusion of the work so far is that the neuro‑symbolic direction articulated in the Trustworthy AI chapter is not optional architectural elegance. The closer we get to practical, deployable agentic workflows, the clearer it becomes that explicit semantics and real reasoning substrates are prerequisites for robustness, control, and scientific legitimacy. For the next years of the project, we expect to allocate the largest share of effort to this direction, while continuing to harden the surrounding deployment, governance, and evaluation infrastructure that makes it usable in practice.</w:t>
      </w:r>
      <w:r>
        <w:br/>
      </w:r>
      <w:r>
        <w:t xml:space="preserve">A key empirical shift motivating this stance is that LLM‑based agents have moved research practice from assisted writing toward workflow orchestration. In day‑to‑day work, agents can draft specifications, generate and refactor multi‑file codebases, propose tests, run tools, respond to execution feedback, and iterate rapidly. This produces a synthetic form of fast, locally fluent cognition, useful as a generator of candidates, alternatives, and scaffolding. Yet it remains fragile where research and engineering actually fail: long‑horizon constraint satisfaction, global coherence across artifacts, security‑critical implementation details, and epistemic integrity, particularly around citations and claims that appear authoritative.</w:t>
      </w:r>
      <w:r>
        <w:br/>
      </w:r>
      <w:r>
        <w:t xml:space="preserve">The practical consequence is that acceleration is real, but it changes the dominant bottleneck. When synthesis becomes cheap, epistemic control becomes scarce. In such conditions, the organization that benefits most is not the one that maximizes raw generation volume, but the one that engineers reliable acceptance machinery: processes and tooling that externalize constraints, separate proposal from acceptance, and force evidence to dominate narrative. Prompting is an interface for generation; it is not a proof method. A fluent rationale is not evidence. In our experience, the largest failures emerge precisely when teams mistake local plausibility for global correctness.</w:t>
      </w:r>
      <w:r>
        <w:br/>
      </w:r>
      <w:r>
        <w:t xml:space="preserve">A governance‑first methodology becomes essential because modern agents behave like a synthetic System 1: fast, persuasive, and locally coherent, but structurally biased toward continuation rather than refusal. This matters because agents are not consistently good at saying no when a premise is weak, a task is underspecified, or a line of inquiry is unproductive. They can elaborate half‑credible ideas indefinitely with confidence. Without explicit stopping rules, adversarial checks, and validation gates, they can waste time by expanding the wrong branch of the search tree, creating the appearance of productivity while silently increasing uncertainty. In a research setting, this is more dangerous than occasional errors; it is a systematic attractor toward superficiality and drift.</w:t>
      </w:r>
    </w:p>
    <w:p>
      <w:pPr>
        <w:pStyle w:val="BodyText"/>
      </w:pPr>
      <w:r>
        <w:t xml:space="preserve">We therefore treat specifications as governance rather than paperwork. A stable specification functions as external memory and as a boundary on interpretation. Importantly, this governance must operate at multiple granularities. A single global document is rarely sufficient under rapid iteration; we repeatedly found it necessary to constrain work at the level of modules, interfaces, files, and even individual behaviors that must remain invariant over time. This is not about rigidity; it is about preventing the silent reinterpretation that happens when an agent is asked to continue after inputs change. A concrete example is a multi‑file refactor: an agent can make locally sensible changes in each file while breaking a cross‑module contract that no single file makes explicit. Micro‑specs that declare invariants, data shapes, error semantics, security boundaries, allowed side effects, turn these hidden contracts into explicit artifacts that can be checked.</w:t>
      </w:r>
      <w:r>
        <w:br/>
      </w:r>
      <w:r>
        <w:t xml:space="preserve">Separation between generation and validation is the second necessary discipline. In practice, this means treating agent outputs as candidates that must pass independent gates: deterministic checks, structured review, reproducible tests, and, when claims are scientific, explicit verification against primary sources. This separation is not merely a quality improvement; it is a bias countermeasure. The main failure pattern we observed is fluent but wrong acceptance, where convincing prose and neat code are mistaken for correctness. A typical example is test generation: agents may propose tests that mirror the implementation, thereby proving what the code already does rather than what the system should do. Robust practice requires negative tests not derived from the implementation, scenario tests that reflect real failure modes, and manual verification of load‑bearing claims. When a result matters, one must demand evidence that is not produced by the same generative path that produced the artifact.</w:t>
      </w:r>
      <w:r>
        <w:br/>
      </w:r>
      <w:r>
        <w:t xml:space="preserve">Traceability becomes indispensable in agentic workflows because iteration is fast and histories are long. Without explicit mappings from requirements to implementation and tests, teams lose the ability to explain why a design is correct, what changed, and which constraints are still satisfied. Traceability is not bureaucratic overhead; it is the substrate for audit, regression control, reproducibility, and responsible dissemination within a consortium. The minimal requirement is that each important requirement has an identifiable place where it is enforced, by code, by test, or by a deterministic check, and that changes can be justified against explicit constraints rather than post‑hoc narratives.</w:t>
      </w:r>
      <w:r>
        <w:br/>
      </w:r>
      <w:r>
        <w:t xml:space="preserve">A related discipline is epistemic redundancy: deliberate, structured disagreement. In our experiments, forcing distinct roles, generator, critic, verifier, and security reviewer, reduced correlated error and prevented premature consensus. The point is not to multiply outputs; it is to create an internal approximation of peer review. When independent agents disagree, the disagreement is itself a signal: it identifies the parts of the system where assumptions are unclear, where semantics are underspecified, or where evidence is missing. In contrast, a single agent iterating on its own outputs tends to smooth over uncertainty and converge on a coherent story that may be wrong.</w:t>
      </w:r>
      <w:r>
        <w:br/>
      </w:r>
      <w:r>
        <w:t xml:space="preserve">Representational commitments are where the neuro‑symbolic thesis becomes concrete. Validation requires semantics. If a constraint is expressed only in informal language, the project will repeatedly pay a tax in ambiguity, and hallucinations will hide in the gap between what is meant and what can be checked. Typed interfaces, invariants, domain‑specific representations, and explicit theory layers are not aesthetic choices; they are ways of making constraints executable. This is also where we see the bridge between trustworthy and useful agentic systems: when constraints are formal enough to check, agents can move faster without making the system illegible, because acceptance does not depend on persuasion.</w:t>
      </w:r>
      <w:r>
        <w:br/>
      </w:r>
      <w:r>
        <w:t xml:space="preserve">Global coherence deserves explicit emphasis because it is precisely where synthetic System 1 fails most reliably. LLMs are optimized for local plausibility: they complete the next step well. But research and engineering fail at interfaces, over time, and under distribution shift. We therefore advocate evaluating cross‑artifact coherence, specifications versus code versus documentation, alongside long‑horizon invariants and regression suites. A frequent practical example is documentation drift: an agent updates code but leaves a design specification describing the old behavior, and later another agent uses the outdated specification as a premise for further work. Without coherence checks, the system becomes self‑inconsistent, and future iterations amplify the inconsistency.</w:t>
      </w:r>
      <w:r>
        <w:br/>
      </w:r>
      <w:r>
        <w:t xml:space="preserve">Several recurring failure modes follow from these dynamics. One is the substitution of engineering validation for explanation: teams become satisfied with passing tests while assumptions remain implicit and scientific claims remain unexamined. Another is superficial import of theory: agents accelerate literature reconnaissance but can flatten caveats, boundary conditions, and negative results, producing confident summaries that are not faithful to the primary sources. This is especially dangerous in ML research, where subtle experimental conditions determine whether a claim holds. A third failure mode is premature design lock-in: a working prototype creates inertia and collapses the design space too early, even when alternatives might dominate under different constraints. Finally, citation integrity is a structural risk: plausible references, misattribution, and invented bibliographies contaminate writing, sometimes invisibly. For research, citations must be treated as untrusted until verified; candidate references should be separated from curated bibliographies; and key claims must be audited against primary sources.</w:t>
      </w:r>
      <w:r>
        <w:br/>
      </w:r>
      <w:r>
        <w:t xml:space="preserve">Beyond epistemic risk, agentic acceleration creates security and operational risks. Generated code can look polished while embedding brittle error handling, unsafe defaults, supply‑chain vulnerabilities, or dangerous tool usage. Because agents can run tools and modify environments, the attack surface expands. We therefore emphasize sandboxed execution, static and dependency analysis, secret scanning, and explicit human approval for sensitive operations. In an agentic context, trustworthy must include not only correctness but controllability and safety under automation.</w:t>
      </w:r>
      <w:r>
        <w:br/>
      </w:r>
      <w:r>
        <w:t xml:space="preserve">These concerns are not purely internal to ACHILLES; they are visible in broader community discussions, and our own practical intuition aligns with them. It is plausible that large‑scale adoption of LLMs and AI‑agent automation could have long‑term negative impacts, with an especially evident attractor toward superficiality. For a period, these systems can create objective barriers to real understanding: they enable outcomes without comprehension, and they reward fluency over depth. Later, this gap can translate into serious failures for organizations, institutions, and society that becomes dependent on systems that few can truly explain or repair. The risk is particularly acute for newcomers who are still forming foundational mental models, because automation can short‑circuit the slow acquisition of conceptual structure. At the same time, for experienced practitioners, the near‑term opportunity is genuine: agents can remove incidental friction, expand the reachable design space, and help solve problems that previously exceeded time or coordination budgets. If used responsibly, this can allow today’s experts to leave future generations a clearer environment, better conceptual tools, and more legible systems.</w:t>
      </w:r>
      <w:r>
        <w:br/>
      </w:r>
      <w:r>
        <w:t xml:space="preserve">The optimistic claim, grounded in our evidence so far, is that the needed discipline is achievable. Explicit specifications, traceability, representational commitments, independent validation gates, and neuro‑symbolic reasoning layers can convert raw generative power into durable progress. The path forward is therefore neither uncritical acceleration nor defensive rejection, but engineered wisdom: building reviewer‑grade System‑2 infrastructure that makes falsification, audit, and reproducibility cheap enough to keep pace with synthesis. We invite broader replication and critical participation: more teams running comparable agentic experiments, more shared benchmarks for coherence and epistemic integrity, and more convergence on practices that keep research honest under acceleration. If this happens, the outcome will not be more content, but faster cycles of falsification, clearer cumulative knowledge, and engineered systems that solve real problems rather than merely generating plausible artifacts. In that sense, the ACHILLES effort can be read as one instance of a larger human trajectory: learning, together, how to inhabit a new dimension of experience opened by AI, without losing the virtues that make knowledge trustworthy.</w:t>
      </w:r>
    </w:p>
    <w:bookmarkEnd w:id="56"/>
    <w:bookmarkStart w:id="57" w:name="section-6"/>
    <w:p>
      <w:pPr>
        <w:pStyle w:val="Heading1"/>
      </w:pPr>
    </w:p>
    <w:bookmarkEnd w:id="57"/>
    <w:bookmarkStart w:id="58" w:name="references"/>
    <w:p>
      <w:pPr>
        <w:pStyle w:val="Heading1"/>
      </w:pPr>
      <w:r>
        <w:rPr>
          <w:b/>
          <w:bCs/>
        </w:rPr>
        <w:t xml:space="preserve">References</w:t>
      </w:r>
    </w:p>
    <w:p>
      <w:pPr>
        <w:pStyle w:val="FirstParagraph"/>
      </w:pPr>
      <w:r>
        <w:t xml:space="preserve">[1] Yao, S., Zhao, J., Yu, D., Du, N., Shafran, I., Narasimhan, K., &amp; Cao, Y. (2023).</w:t>
      </w:r>
      <w:r>
        <w:t xml:space="preserve"> </w:t>
      </w:r>
      <w:r>
        <w:rPr>
          <w:i/>
          <w:iCs/>
        </w:rPr>
        <w:t xml:space="preserve">ReAct: Synergizing Reasoning and Acting in Language Models</w:t>
      </w:r>
      <w:r>
        <w:t xml:space="preserve">. Proceedings of ICLR 2023. (arxiv.org)</w:t>
      </w:r>
    </w:p>
    <w:p>
      <w:pPr>
        <w:pStyle w:val="BodyText"/>
      </w:pPr>
      <w:r>
        <w:t xml:space="preserve">[2] Kanerva, P. (2009). Hyperdimensional computing: An introduction to computing in distributed representation with high-dimensional random vectors.</w:t>
      </w:r>
      <w:r>
        <w:t xml:space="preserve"> </w:t>
      </w:r>
      <w:r>
        <w:rPr>
          <w:i/>
          <w:iCs/>
        </w:rPr>
        <w:t xml:space="preserve">Cognitive Computation, 1</w:t>
      </w:r>
      <w:r>
        <w:t xml:space="preserve">(2), 139–159. (redwood.berkeley.edu)</w:t>
      </w:r>
    </w:p>
    <w:p>
      <w:pPr>
        <w:pStyle w:val="BodyText"/>
      </w:pPr>
      <w:r>
        <w:t xml:space="preserve">[3] Plate, T. A. (1995). Holographic Reduced Representations.</w:t>
      </w:r>
      <w:r>
        <w:t xml:space="preserve"> </w:t>
      </w:r>
      <w:r>
        <w:rPr>
          <w:i/>
          <w:iCs/>
        </w:rPr>
        <w:t xml:space="preserve">IEEE Transactions on Neural Networks, 6</w:t>
      </w:r>
      <w:r>
        <w:t xml:space="preserve">(3), 623–641. (redwood.berkeley.edu)</w:t>
      </w:r>
    </w:p>
    <w:p>
      <w:pPr>
        <w:pStyle w:val="BodyText"/>
      </w:pPr>
      <w:r>
        <w:t xml:space="preserve">[4] Kleyko, D., Rachkovskij, D. A., Osipov, E., &amp; Rahimi, A. (2022/2023). A survey on hyperdimensional computing aka vector symbolic architectures.</w:t>
      </w:r>
      <w:r>
        <w:t xml:space="preserve"> </w:t>
      </w:r>
      <w:r>
        <w:rPr>
          <w:i/>
          <w:iCs/>
        </w:rPr>
        <w:t xml:space="preserve">ACM Computing Surveys</w:t>
      </w:r>
      <w:r>
        <w:t xml:space="preserve">. (dl.acm.org)</w:t>
      </w:r>
    </w:p>
    <w:p>
      <w:pPr>
        <w:pStyle w:val="BodyText"/>
      </w:pPr>
      <w:r>
        <w:t xml:space="preserve">[D3.1] Achilles Project, WP3.</w:t>
      </w:r>
      <w:r>
        <w:t xml:space="preserve"> </w:t>
      </w:r>
      <w:r>
        <w:rPr>
          <w:i/>
          <w:iCs/>
        </w:rPr>
        <w:t xml:space="preserve">Deliverable D3.1 – Efficient AI Report (v1): Research of Efficiency in Multi-Agent Systems</w:t>
      </w:r>
      <w:r>
        <w:t xml:space="preserve">. Internal deliverable.</w:t>
      </w:r>
    </w:p>
    <w:p>
      <w:pPr>
        <w:pStyle w:val="BodyText"/>
      </w:pPr>
      <w:r>
        <w:t xml:space="preserve">[D3.3] Achilles Project, WP3.</w:t>
      </w:r>
      <w:r>
        <w:t xml:space="preserve"> </w:t>
      </w:r>
      <w:r>
        <w:rPr>
          <w:i/>
          <w:iCs/>
        </w:rPr>
        <w:t xml:space="preserve">Deliverable D3.3 – Multi-Agent Environment Report (v1)</w:t>
      </w:r>
      <w:r>
        <w:t xml:space="preserve">. Internal deliverable.</w:t>
      </w:r>
    </w:p>
    <w:p>
      <w:pPr>
        <w:pStyle w:val="BodyText"/>
      </w:pPr>
      <w:r>
        <w:t xml:space="preserve">[D6.1] Achilles Project, WP6.</w:t>
      </w:r>
      <w:r>
        <w:t xml:space="preserve"> </w:t>
      </w:r>
      <w:r>
        <w:rPr>
          <w:i/>
          <w:iCs/>
        </w:rPr>
        <w:t xml:space="preserve">Deliverable D6.1 – Achilles IDE (v1)</w:t>
      </w:r>
      <w:r>
        <w:t xml:space="preserve">. Internal deliverable.</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2026-03-05T10:41:53Z</dcterms:created>
  <dcterms:modified xsi:type="dcterms:W3CDTF">2026-03-05T10:41:53Z</dcterms:modified>
</cp:coreProperties>
</file>

<file path=docProps/custom.xml><?xml version="1.0" encoding="utf-8"?>
<Properties xmlns="http://schemas.openxmlformats.org/officeDocument/2006/custom-properties" xmlns:vt="http://schemas.openxmlformats.org/officeDocument/2006/docPropsVTypes"/>
</file>