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00"/>
        <w:jc w:val="center"/>
      </w:pPr>
      <w:r>
        <w:drawing>
          <wp:inline>
            <wp:extent cx="2423160" cy="1604397"/>
            <wp:docPr id="1" name="Picture 1"/>
            <wp:cNvGraphicFramePr>
              <a:graphicFrameLocks noChangeAspect="1"/>
            </wp:cNvGraphicFramePr>
            <a:graphic>
              <a:graphicData uri="http://schemas.openxmlformats.org/drawingml/2006/picture">
                <pic:pic>
                  <pic:nvPicPr>
                    <pic:cNvPr id="0" name="LOGO_UNIACC.png"/>
                    <pic:cNvPicPr/>
                  </pic:nvPicPr>
                  <pic:blipFill>
                    <a:blip r:embed="rId10"/>
                    <a:stretch>
                      <a:fillRect/>
                    </a:stretch>
                  </pic:blipFill>
                  <pic:spPr>
                    <a:xfrm>
                      <a:off x="0" y="0"/>
                      <a:ext cx="2423160" cy="1604397"/>
                    </a:xfrm>
                    <a:prstGeom prst="rect"/>
                  </pic:spPr>
                </pic:pic>
              </a:graphicData>
            </a:graphic>
          </wp:inline>
        </w:drawing>
      </w:r>
    </w:p>
    <w:p>
      <w:pPr>
        <w:pStyle w:val="BodyText"/>
        <w:spacing w:after="120"/>
        <w:jc w:val="center"/>
      </w:pPr>
      <w:r>
        <w:rPr>
          <w:rFonts w:ascii="Arial" w:hAnsi="Arial"/>
          <w:sz w:val="24"/>
        </w:rPr>
        <w:t xml:space="preserve">PSICOLOGÍA</w:t>
      </w:r>
      <w:r>
        <w:rPr>
          <w:rFonts w:ascii="Arial" w:hAnsi="Arial"/>
          <w:sz w:val="24"/>
        </w:rPr>
        <w:t xml:space="preserve"> </w:t>
      </w:r>
      <w:r>
        <w:rPr>
          <w:rFonts w:ascii="Arial" w:hAnsi="Arial"/>
          <w:sz w:val="24"/>
        </w:rPr>
        <w:t xml:space="preserve">EPISTEMOLOGÍA - 387 - 487971</w:t>
      </w:r>
    </w:p>
    <w:p>
      <w:pPr>
        <w:pStyle w:val="Title"/>
        <w:spacing w:after="120"/>
        <w:jc w:val="center"/>
      </w:pPr>
      <w:r>
        <w:rPr>
          <w:rFonts w:ascii="Arial" w:hAnsi="Arial"/>
          <w:b/>
          <w:bCs/>
          <w:sz w:val="32"/>
        </w:rPr>
        <w:t xml:space="preserve">IDENTIFICACIÓN DE LOS ENFOQUES DE LA EPISTEMOLOGÍA CIENTÍFICA</w:t>
      </w:r>
    </w:p>
    <w:p>
      <w:pPr>
        <w:pStyle w:val="BodyText"/>
        <w:spacing w:after="120"/>
        <w:jc w:val="center"/>
      </w:pPr>
      <w:r>
        <w:rPr>
          <w:rFonts w:ascii="Arial" w:hAnsi="Arial"/>
          <w:sz w:val="24"/>
        </w:rPr>
        <w:t xml:space="preserve">Trabajo de la Unidad 2</w:t>
      </w:r>
    </w:p>
    <w:p>
      <w:pPr>
        <w:pStyle w:val="BodyText"/>
        <w:spacing w:after="120"/>
        <w:jc w:val="center"/>
      </w:pPr>
      <w:r>
        <w:rPr>
          <w:rFonts w:ascii="Arial" w:hAnsi="Arial"/>
          <w:b/>
          <w:bCs/>
          <w:sz w:val="24"/>
        </w:rPr>
        <w:t xml:space="preserve">Estudiante:</w:t>
      </w:r>
      <w:r>
        <w:rPr>
          <w:rFonts w:ascii="Arial" w:hAnsi="Arial"/>
          <w:sz w:val="24"/>
        </w:rPr>
        <w:t xml:space="preserve"> </w:t>
      </w:r>
      <w:r>
        <w:rPr>
          <w:rFonts w:ascii="Arial" w:hAnsi="Arial"/>
          <w:sz w:val="24"/>
        </w:rPr>
        <w:t xml:space="preserve">Diego Ignacio Norambuena Miranda</w:t>
      </w:r>
    </w:p>
    <w:p>
      <w:pPr>
        <w:pStyle w:val="BodyText"/>
        <w:spacing w:after="120"/>
        <w:jc w:val="center"/>
      </w:pPr>
      <w:r>
        <w:rPr>
          <w:rFonts w:ascii="Arial" w:hAnsi="Arial"/>
          <w:b/>
          <w:bCs/>
          <w:sz w:val="24"/>
        </w:rPr>
        <w:t xml:space="preserve">Docente:</w:t>
      </w:r>
      <w:r>
        <w:rPr>
          <w:rFonts w:ascii="Arial" w:hAnsi="Arial"/>
          <w:sz w:val="24"/>
        </w:rPr>
        <w:t xml:space="preserve"> </w:t>
      </w:r>
      <w:r>
        <w:rPr>
          <w:rFonts w:ascii="Arial" w:hAnsi="Arial"/>
          <w:sz w:val="24"/>
        </w:rPr>
        <w:t xml:space="preserve">Olga Carmelita Gonzalez Mesa</w:t>
      </w:r>
    </w:p>
    <w:p>
      <w:pPr>
        <w:pStyle w:val="BodyText"/>
        <w:spacing w:after="120"/>
        <w:jc w:val="center"/>
      </w:pPr>
      <w:r>
        <w:rPr>
          <w:rFonts w:ascii="Arial" w:hAnsi="Arial"/>
          <w:sz w:val="24"/>
        </w:rPr>
        <w:t xml:space="preserve">Universidad de Artes, Ciencias y Comunicación (UNIACC)</w:t>
      </w:r>
    </w:p>
    <w:p>
      <w:pPr>
        <w:pStyle w:val="BodyText"/>
        <w:spacing w:after="120"/>
        <w:jc w:val="center"/>
      </w:pPr>
      <w:r>
        <w:rPr>
          <w:rFonts w:ascii="Arial" w:hAnsi="Arial"/>
          <w:sz w:val="24"/>
        </w:rPr>
        <w:t xml:space="preserve">19 de octubre de 2026</w:t>
      </w:r>
    </w:p>
    <w:p>
      <w:pPr>
        <w:pStyle w:val="BodyText"/>
        <w:spacing w:after="120"/>
        <w:jc w:val="center"/>
      </w:pPr>
      <w:r>
        <w:rPr>
          <w:rFonts w:ascii="Arial" w:hAnsi="Arial"/>
          <w:sz w:val="24"/>
        </w:rPr>
        <w:t xml:space="preserve">Logotipo: Universidad UNIACC (2013), Wikimedia Commons. Licencia CC BY-SA 4.0: https://creativecommons.org/licenses/by-sa/4.0/. Archivo: https://commons.wikimedia.org/wiki/File:LOGO_UNIACC.png</w:t>
      </w:r>
    </w:p>
    <w:bookmarkStart w:id="9" w:name="_b45b0e0cc75c14e905d0f8fd45a0cb842ab4f3a"/>
    <w:p>
      <w:pPr>
        <w:pStyle w:val="Heading2"/>
        <w:pageBreakBefore/>
        <w:jc w:val="center"/>
      </w:pPr>
      <w:r>
        <w:rPr>
          <w:rFonts w:ascii="Arial" w:hAnsi="Arial"/>
          <w:sz w:val="32"/>
        </w:rPr>
        <w:t xml:space="preserve">Pregunta 1. Positivismo lógico e historicismo: distinciones epistemológicas</w:t>
      </w:r>
    </w:p>
    <w:p>
      <w:pPr>
        <w:pStyle w:val="FirstParagraph"/>
        <w:spacing w:line="360" w:lineRule="auto" w:after="100"/>
        <w:jc w:val="both"/>
      </w:pPr>
      <w:r>
        <w:rPr>
          <w:rFonts w:ascii="Arial" w:hAnsi="Arial"/>
          <w:sz w:val="24"/>
        </w:rPr>
        <w:t xml:space="preserve">El positivismo lógico —también denominado empirismo lógico, aunque el movimiento reunió posturas diversas— procuró clarificar el conocimiento científico mediante el análisis lógico del lenguaje y la relación entre teoría y evidencia empírica. Dio importancia a la precisión de los enunciados, la observación y la contrastación; no todos sus representantes defendieron una verificación rígida (Creath, 2022).</w:t>
      </w:r>
      <w:r>
        <w:rPr>
          <w:rFonts w:ascii="Arial" w:hAnsi="Arial"/>
          <w:sz w:val="24"/>
        </w:rPr>
        <w:t xml:space="preserve"> </w:t>
      </w:r>
    </w:p>
    <w:p>
      <w:pPr>
        <w:pStyle w:val="BodyText"/>
        <w:spacing w:line="360" w:lineRule="auto" w:after="100"/>
        <w:jc w:val="both"/>
      </w:pPr>
      <w:r>
        <w:rPr>
          <w:rFonts w:ascii="Arial" w:hAnsi="Arial"/>
          <w:sz w:val="24"/>
        </w:rPr>
        <w:t xml:space="preserve">La perspectiva historicista, asociada en filosofía de la ciencia con Thomas Kuhn, subraya que la ciencia se desarrolla en comunidades históricas. Un paradigma articula problemas, métodos, instrumentos y estándares compartidos. La ciencia normal resuelve problemas dentro de ese marco; las anomalías persistentes pueden contribuir a una crisis y a una revolución científica (Kuhn, 2012).</w:t>
      </w:r>
      <w:r>
        <w:rPr>
          <w:rFonts w:ascii="Arial" w:hAnsi="Arial"/>
          <w:sz w:val="24"/>
        </w:rPr>
        <w:t xml:space="preserve"> </w:t>
      </w:r>
    </w:p>
    <w:p>
      <w:pPr>
        <w:pStyle w:val="BodyText"/>
        <w:spacing w:line="360" w:lineRule="auto" w:after="100"/>
        <w:jc w:val="both"/>
      </w:pPr>
      <w:r>
        <w:rPr>
          <w:rFonts w:ascii="Arial" w:hAnsi="Arial"/>
          <w:sz w:val="24"/>
        </w:rPr>
        <w:t xml:space="preserve">El tránsito del conductismo a la psicología cognitiva ilustra la diferencia. Desde una orientación lógico-empírica, una investigación sobre memoria debería operacionalizar el concepto y contrastar predicciones con indicadores observables, como el recuerdo correcto o el tiempo de respuesta. El foco recae en la claridad conceptual y la relación justificable entre afirmaciones y datos.</w:t>
      </w:r>
    </w:p>
    <w:p>
      <w:pPr>
        <w:pStyle w:val="BodyText"/>
        <w:spacing w:line="360" w:lineRule="auto" w:after="100"/>
        <w:jc w:val="both"/>
      </w:pPr>
      <w:r>
        <w:rPr>
          <w:rFonts w:ascii="Arial" w:hAnsi="Arial"/>
          <w:sz w:val="24"/>
        </w:rPr>
        <w:t xml:space="preserve">Una interpretación historicista preguntaría cómo cambiaron los problemas y supuestos de la psicología cuando ciertas explicaciones centradas en la conducta observable fueron insuficientes para explicar algunos fenómenos y cobraron importancia los procesos internos y los modelos de procesamiento de información. Esto no significa que todo conductismo fuera positivista ni que una sola anomalía causara la revolución cognitiva. La diferencia principal es de énfasis: análisis lógico-empírico de teorías y evidencia frente a reconstrucción histórica del cambio en los marcos de investigación.</w:t>
      </w:r>
    </w:p>
    <w:bookmarkEnd w:id="9"/>
    <w:bookmarkStart w:id="10" w:name="_054c1819e36da9cfd9598eff3e704c328f86260"/>
    <w:p>
      <w:pPr>
        <w:pStyle w:val="Heading2"/>
        <w:pageBreakBefore/>
        <w:jc w:val="center"/>
      </w:pPr>
      <w:r>
        <w:rPr>
          <w:rFonts w:ascii="Arial" w:hAnsi="Arial"/>
          <w:sz w:val="32"/>
        </w:rPr>
        <w:t xml:space="preserve">Pregunta 2. Un cambio de paradigma según Kuhn</w:t>
      </w:r>
    </w:p>
    <w:p>
      <w:pPr>
        <w:pStyle w:val="FirstParagraph"/>
        <w:spacing w:line="360" w:lineRule="auto" w:after="100"/>
        <w:jc w:val="both"/>
      </w:pPr>
      <w:r>
        <w:rPr>
          <w:rFonts w:ascii="Arial" w:hAnsi="Arial"/>
          <w:sz w:val="24"/>
        </w:rPr>
        <w:t xml:space="preserve">Considérese este ejemplo hipotético: una comunidad de psicólogos investiga errores de atención cuando las tareas se interrumpen por notificaciones digitales. En una etapa preparadigmática conviven explicaciones rivales, como fatiga, límites de capacidad e interrupciones. Se consolida un paradigma cuando una explicación compartida —la atención como recurso que se reduce sobre todo por la duración de la tarea— define problemas, procedimientos y criterios comunes. Comienza entonces la ciencia normal, que refina medidas y resuelve problemas dentro del marco aceptado (Kuhn, 2012).</w:t>
      </w:r>
      <w:r>
        <w:rPr>
          <w:rFonts w:ascii="Arial" w:hAnsi="Arial"/>
          <w:sz w:val="24"/>
        </w:rPr>
        <w:t xml:space="preserve"> </w:t>
      </w:r>
    </w:p>
    <w:p>
      <w:pPr>
        <w:pStyle w:val="BodyText"/>
        <w:spacing w:line="360" w:lineRule="auto" w:after="100"/>
        <w:jc w:val="both"/>
      </w:pPr>
      <w:r>
        <w:rPr>
          <w:rFonts w:ascii="Arial" w:hAnsi="Arial"/>
          <w:sz w:val="24"/>
        </w:rPr>
        <w:t xml:space="preserve">Luego aparecen anomalías reproducibles: personas con igual tiempo de trabajo muestran rendimientos distintos según la frecuencia y el contexto de las interrupciones, incluso al controlar sueño y fatiga. Si los ajustes ad hoc no explican estos resultados, puede surgir una crisis que debilite la confianza en los supuestos centrales. Una discrepancia aislada no produce automáticamente una revolución; importa su persistencia y relevancia.</w:t>
      </w:r>
    </w:p>
    <w:p>
      <w:pPr>
        <w:pStyle w:val="BodyText"/>
        <w:spacing w:line="360" w:lineRule="auto" w:after="100"/>
        <w:jc w:val="both"/>
      </w:pPr>
      <w:r>
        <w:rPr>
          <w:rFonts w:ascii="Arial" w:hAnsi="Arial"/>
          <w:sz w:val="24"/>
        </w:rPr>
        <w:t xml:space="preserve">La revolución ocurriría si un modelo alternativo —la atención como proceso ejecutivo sensible al contexto y al coste de alternar tareas— explicara mejor las anomalías y generara predicciones nuevas. La comunidad revisaría sus preguntas y mediciones. Después, una nueva ciencia normal desarrollaría ese paradigma mediante experimentos, replicaciones y delimitación de sus condiciones de validez.</w:t>
      </w:r>
    </w:p>
    <w:p>
      <w:pPr>
        <w:pStyle w:val="BodyText"/>
        <w:spacing w:line="360" w:lineRule="auto" w:after="100"/>
        <w:jc w:val="both"/>
      </w:pPr>
      <w:r>
        <w:rPr>
          <w:rFonts w:ascii="Arial" w:hAnsi="Arial"/>
          <w:sz w:val="24"/>
        </w:rPr>
        <w:t xml:space="preserve">El caso aplica las etapas de Kuhn: preparación, paradigma, ciencia normal, anomalías, crisis, revolución y nueva ciencia normal. No se trata de una secuencia mecánica, sino de una transformación del marco desde el cual se formulan e interpretan los problemas científicos (Bird, 2025).</w:t>
      </w:r>
      <w:r>
        <w:rPr>
          <w:rFonts w:ascii="Arial" w:hAnsi="Arial"/>
          <w:sz w:val="24"/>
        </w:rPr>
        <w:t xml:space="preserve"> </w:t>
      </w:r>
    </w:p>
    <w:bookmarkEnd w:id="10"/>
    <w:bookmarkStart w:id="11" w:name="_2ada0d382678edfb5fa6576504a0df1371c831c"/>
    <w:p>
      <w:pPr>
        <w:pStyle w:val="Heading2"/>
        <w:pageBreakBefore/>
        <w:jc w:val="center"/>
      </w:pPr>
      <w:r>
        <w:rPr>
          <w:rFonts w:ascii="Arial" w:hAnsi="Arial"/>
          <w:sz w:val="32"/>
        </w:rPr>
        <w:t xml:space="preserve">Pregunta 3. Por qué Quine no es un positivista lógico</w:t>
      </w:r>
    </w:p>
    <w:p>
      <w:pPr>
        <w:pStyle w:val="FirstParagraph"/>
        <w:spacing w:line="360" w:lineRule="auto" w:after="100"/>
        <w:jc w:val="both"/>
      </w:pPr>
      <w:r>
        <w:rPr>
          <w:rFonts w:ascii="Arial" w:hAnsi="Arial"/>
          <w:sz w:val="24"/>
        </w:rPr>
        <w:t xml:space="preserve">W. V. O. Quine usa la ciencia para reflexionar sobre el conocimiento, pero eso no lo convierte en positivista lógico. En “Two Dogmas of Empiricism” critica la separación tajante entre verdades analíticas —verdaderas por significado— y sintéticas —dependientes de los hechos—, así como el reduccionismo que pretende traducir cada enunciado significativo por separado a experiencias inmediatas (Quine, 1951).</w:t>
      </w:r>
      <w:r>
        <w:rPr>
          <w:rFonts w:ascii="Arial" w:hAnsi="Arial"/>
          <w:sz w:val="24"/>
        </w:rPr>
        <w:t xml:space="preserve"> </w:t>
      </w:r>
    </w:p>
    <w:p>
      <w:pPr>
        <w:pStyle w:val="BodyText"/>
        <w:spacing w:line="360" w:lineRule="auto" w:after="100"/>
        <w:jc w:val="both"/>
      </w:pPr>
      <w:r>
        <w:rPr>
          <w:rFonts w:ascii="Arial" w:hAnsi="Arial"/>
          <w:sz w:val="24"/>
        </w:rPr>
        <w:t xml:space="preserve">Su holismo sostiene que la experiencia pone a prueba redes de afirmaciones y supuestos, no siempre proposiciones aisladas. Si una predicción falla, el equipo puede revisar la hipótesis principal, una condición inicial, la medición o una hipótesis auxiliar. Por ejemplo, ante resultados inesperados en una tarea de memoria, no basta con declarar falsa la teoría: también deben examinarse la validez de la prueba y las condiciones de aplicación. Los datos son decisivos, pero no señalan por sí solos qué elemento del sistema debe abandonarse.</w:t>
      </w:r>
    </w:p>
    <w:p>
      <w:pPr>
        <w:pStyle w:val="BodyText"/>
        <w:spacing w:line="360" w:lineRule="auto" w:after="100"/>
        <w:jc w:val="both"/>
      </w:pPr>
      <w:r>
        <w:rPr>
          <w:rFonts w:ascii="Arial" w:hAnsi="Arial"/>
          <w:sz w:val="24"/>
        </w:rPr>
        <w:t xml:space="preserve">En “Epistemology Naturalized”, Quine propone estudiar empíricamente cómo la estimulación sensorial se relaciona con la formación de teorías, recurriendo también a la psicología (Quine, 1969).</w:t>
      </w:r>
      <w:r>
        <w:rPr>
          <w:rFonts w:ascii="Arial" w:hAnsi="Arial"/>
          <w:sz w:val="24"/>
        </w:rPr>
        <w:t xml:space="preserve"> </w:t>
      </w:r>
      <w:r>
        <w:rPr>
          <w:rFonts w:ascii="Arial" w:hAnsi="Arial"/>
          <w:sz w:val="24"/>
        </w:rPr>
        <w:t xml:space="preserve"> </w:t>
      </w:r>
      <w:r>
        <w:rPr>
          <w:rFonts w:ascii="Arial" w:hAnsi="Arial"/>
          <w:sz w:val="24"/>
        </w:rPr>
        <w:t xml:space="preserve">La epistemología pasa de buscar un fundamento externo y absolutamente seguro a investigar científicamente cómo las personas construyen conocimiento. Quine conserva preguntas empiristas, pero cuestiona dogmas importantes y transforma el método y el propósito de la epistemología. Por eso, no se lo puede clasificar simplemente como positivista lógico.</w:t>
      </w:r>
    </w:p>
    <w:bookmarkEnd w:id="11"/>
    <w:bookmarkStart w:id="12" w:name="_525d7cf3f8ead30d75d078142fb471d82686045"/>
    <w:p>
      <w:pPr>
        <w:pStyle w:val="Heading2"/>
        <w:pageBreakBefore/>
        <w:jc w:val="center"/>
      </w:pPr>
      <w:r>
        <w:rPr>
          <w:rFonts w:ascii="Arial" w:hAnsi="Arial"/>
          <w:sz w:val="32"/>
        </w:rPr>
        <w:t xml:space="preserve">Pregunta 4. Cambio conceptual en Nersessian</w:t>
      </w:r>
    </w:p>
    <w:p>
      <w:pPr>
        <w:pStyle w:val="FirstParagraph"/>
        <w:spacing w:line="360" w:lineRule="auto" w:after="100"/>
        <w:jc w:val="both"/>
      </w:pPr>
      <w:r>
        <w:rPr>
          <w:rFonts w:ascii="Arial" w:hAnsi="Arial"/>
          <w:sz w:val="24"/>
        </w:rPr>
        <w:t xml:space="preserve">Nersessian explica el cambio conceptual científico mediante el razonamiento basado en modelos, no solo mediante argumentos formales. Los científicos construyen, comparan y modifican representaciones para explorar posibilidades y producir explicaciones. Entre las estrategias se encuentran la modelización analógica y visual y los experimentos mentales; los modelos se evalúan según restricciones estructurales, causales y funcionales y su ajuste a la evidencia (Nersessian, 1992, 1999).</w:t>
      </w:r>
      <w:r>
        <w:rPr>
          <w:rFonts w:ascii="Arial" w:hAnsi="Arial"/>
          <w:sz w:val="24"/>
        </w:rPr>
        <w:t xml:space="preserve"> </w:t>
      </w:r>
    </w:p>
    <w:p>
      <w:pPr>
        <w:pStyle w:val="BodyText"/>
        <w:spacing w:line="360" w:lineRule="auto" w:after="100"/>
        <w:jc w:val="both"/>
      </w:pPr>
      <w:r>
        <w:rPr>
          <w:rFonts w:ascii="Arial" w:hAnsi="Arial"/>
          <w:sz w:val="24"/>
        </w:rPr>
        <w:t xml:space="preserve">Un ejemplo hipotético en psicología es pasar de concebir la memoria como una grabación fija a representarla como una red de recuerdos, claves contextuales e información posterior. La primera metáfora describe la conservación, pero explica con dificultad por qué un recuerdo puede cambiar al recuperarse en otro contexto o tras recibir nueva información.</w:t>
      </w:r>
    </w:p>
    <w:p>
      <w:pPr>
        <w:pStyle w:val="BodyText"/>
        <w:spacing w:line="360" w:lineRule="auto" w:after="100"/>
        <w:jc w:val="both"/>
      </w:pPr>
      <w:r>
        <w:rPr>
          <w:rFonts w:ascii="Arial" w:hAnsi="Arial"/>
          <w:sz w:val="24"/>
        </w:rPr>
        <w:t xml:space="preserve">Los investigadores podrían diseñar un modelo visual de nodos y conexiones cuya activación dependiera de las claves presentes. Una analogía con redes dinámicas permitiría imaginar mecanismos posibles, sin afirmar que la memoria humana sea literalmente un archivo informático. Un experimento mental preguntaría si el recuerdo de un mismo acontecimiento permanece idéntico tras recibir información contextual contradictoria.</w:t>
      </w:r>
    </w:p>
    <w:p>
      <w:pPr>
        <w:pStyle w:val="BodyText"/>
        <w:spacing w:line="360" w:lineRule="auto" w:after="100"/>
        <w:jc w:val="both"/>
      </w:pPr>
      <w:r>
        <w:rPr>
          <w:rFonts w:ascii="Arial" w:hAnsi="Arial"/>
          <w:sz w:val="24"/>
        </w:rPr>
        <w:t xml:space="preserve">De ese modelo se derivarían predicciones contrastables mediante tareas controladas de recuerdo. Si los datos no concordaran, habría que revisar su estructura o alcance; si lo apoyaran repetidamente, aumentaría su credibilidad sin quedar probado de forma definitiva. El cambio conceptual consiste en reconstruir representaciones y explicaciones mediante modelos, analogías y pruebas sucesivas, no solo en sustituir palabras. El ejemplo ilustra el método de Nersessian y no presenta resultados de un estudio ejecutado.</w:t>
      </w:r>
    </w:p>
    <w:bookmarkEnd w:id="12"/>
    <w:bookmarkStart w:id="13" w:name="_referencias"/>
    <w:p>
      <w:pPr>
        <w:pStyle w:val="Heading1"/>
        <w:pageBreakBefore/>
        <w:jc w:val="center"/>
      </w:pPr>
      <w:r>
        <w:rPr>
          <w:rFonts w:ascii="Arial" w:hAnsi="Arial"/>
          <w:sz w:val="32"/>
        </w:rPr>
        <w:t xml:space="preserve">Referencias</w:t>
      </w:r>
    </w:p>
    <w:p>
      <w:pPr>
        <w:pStyle w:val="FirstParagraph"/>
        <w:spacing w:after="120" w:line="360" w:lineRule="auto"/>
        <w:ind w:left="720" w:hanging="720"/>
        <w:jc w:val="left"/>
      </w:pPr>
      <w:r>
        <w:rPr>
          <w:rFonts w:ascii="Arial" w:hAnsi="Arial"/>
          <w:sz w:val="24"/>
        </w:rPr>
        <w:t xml:space="preserve">Bird, A. (2025). Thomas Kuhn. En E. N. Zalta y U. Nodelman (Eds.),</w:t>
      </w:r>
      <w:r>
        <w:rPr>
          <w:rFonts w:ascii="Arial" w:hAnsi="Arial"/>
          <w:sz w:val="24"/>
        </w:rPr>
        <w:t xml:space="preserve"> </w:t>
      </w:r>
      <w:r>
        <w:rPr>
          <w:rFonts w:ascii="Arial" w:hAnsi="Arial"/>
          <w:i/>
          <w:iCs/>
          <w:sz w:val="24"/>
        </w:rPr>
        <w:t xml:space="preserve">The Stanford encyclopedia of philosophy</w:t>
      </w:r>
      <w:r>
        <w:rPr>
          <w:rFonts w:ascii="Arial" w:hAnsi="Arial"/>
          <w:sz w:val="24"/>
        </w:rPr>
        <w:t xml:space="preserve"> </w:t>
      </w:r>
      <w:r>
        <w:rPr>
          <w:rFonts w:ascii="Arial" w:hAnsi="Arial"/>
          <w:sz w:val="24"/>
        </w:rPr>
        <w:t xml:space="preserve">(edición de otoño de 2025). Metaphysics Research Lab, Stanford University. https://plato.stanford.edu/archives/fall2025/entries/thomas-kuhn/</w:t>
      </w:r>
    </w:p>
    <w:p>
      <w:pPr>
        <w:pStyle w:val="BodyText"/>
        <w:spacing w:after="120" w:line="360" w:lineRule="auto"/>
        <w:ind w:left="720" w:hanging="720"/>
        <w:jc w:val="left"/>
      </w:pPr>
      <w:r>
        <w:rPr>
          <w:rFonts w:ascii="Arial" w:hAnsi="Arial"/>
          <w:sz w:val="24"/>
        </w:rPr>
        <w:t xml:space="preserve">Creath, R. (2022). Logical empiricism. En E. N. Zalta y U. Nodelman (Eds.),</w:t>
      </w:r>
      <w:r>
        <w:rPr>
          <w:rFonts w:ascii="Arial" w:hAnsi="Arial"/>
          <w:sz w:val="24"/>
        </w:rPr>
        <w:t xml:space="preserve"> </w:t>
      </w:r>
      <w:r>
        <w:rPr>
          <w:rFonts w:ascii="Arial" w:hAnsi="Arial"/>
          <w:i/>
          <w:iCs/>
          <w:sz w:val="24"/>
        </w:rPr>
        <w:t xml:space="preserve">The Stanford encyclopedia of philosophy</w:t>
      </w:r>
      <w:r>
        <w:rPr>
          <w:rFonts w:ascii="Arial" w:hAnsi="Arial"/>
          <w:sz w:val="24"/>
        </w:rPr>
        <w:t xml:space="preserve"> </w:t>
      </w:r>
      <w:r>
        <w:rPr>
          <w:rFonts w:ascii="Arial" w:hAnsi="Arial"/>
          <w:sz w:val="24"/>
        </w:rPr>
        <w:t xml:space="preserve">(edición de verano de 2024). Metaphysics Research Lab, Stanford University. https://plato.stanford.edu/archives/sum2024/entries/logical-empiricism/</w:t>
      </w:r>
    </w:p>
    <w:p>
      <w:pPr>
        <w:pStyle w:val="BodyText"/>
        <w:spacing w:after="120" w:line="360" w:lineRule="auto"/>
        <w:ind w:left="720" w:hanging="720"/>
        <w:jc w:val="left"/>
      </w:pPr>
      <w:r>
        <w:rPr>
          <w:rFonts w:ascii="Arial" w:hAnsi="Arial"/>
          <w:sz w:val="24"/>
        </w:rPr>
        <w:t xml:space="preserve">Kuhn, T. S. (2012).</w:t>
      </w:r>
      <w:r>
        <w:rPr>
          <w:rFonts w:ascii="Arial" w:hAnsi="Arial"/>
          <w:sz w:val="24"/>
        </w:rPr>
        <w:t xml:space="preserve"> </w:t>
      </w:r>
      <w:r>
        <w:rPr>
          <w:rFonts w:ascii="Arial" w:hAnsi="Arial"/>
          <w:i/>
          <w:iCs/>
          <w:sz w:val="24"/>
        </w:rPr>
        <w:t xml:space="preserve">The structure of scientific revolutions</w:t>
      </w:r>
      <w:r>
        <w:rPr>
          <w:rFonts w:ascii="Arial" w:hAnsi="Arial"/>
          <w:sz w:val="24"/>
        </w:rPr>
        <w:t xml:space="preserve"> </w:t>
      </w:r>
      <w:r>
        <w:rPr>
          <w:rFonts w:ascii="Arial" w:hAnsi="Arial"/>
          <w:sz w:val="24"/>
        </w:rPr>
        <w:t xml:space="preserve">(4.ª ed.). University of Chicago Press. (Obra original publicada en 1962).</w:t>
      </w:r>
    </w:p>
    <w:p>
      <w:pPr>
        <w:pStyle w:val="BodyText"/>
        <w:spacing w:after="120" w:line="360" w:lineRule="auto"/>
        <w:ind w:left="720" w:hanging="720"/>
        <w:jc w:val="left"/>
      </w:pPr>
      <w:r>
        <w:rPr>
          <w:rFonts w:ascii="Arial" w:hAnsi="Arial"/>
          <w:sz w:val="24"/>
        </w:rPr>
        <w:t xml:space="preserve">Nersessian, N. J. (1992). How do scientists think? Capturing the dynamics of conceptual change in science. En R. N. Giere (Ed.),</w:t>
      </w:r>
      <w:r>
        <w:rPr>
          <w:rFonts w:ascii="Arial" w:hAnsi="Arial"/>
          <w:sz w:val="24"/>
        </w:rPr>
        <w:t xml:space="preserve"> </w:t>
      </w:r>
      <w:r>
        <w:rPr>
          <w:rFonts w:ascii="Arial" w:hAnsi="Arial"/>
          <w:i/>
          <w:iCs/>
          <w:sz w:val="24"/>
        </w:rPr>
        <w:t xml:space="preserve">Cognitive models of science</w:t>
      </w:r>
      <w:r>
        <w:rPr>
          <w:rFonts w:ascii="Arial" w:hAnsi="Arial"/>
          <w:sz w:val="24"/>
        </w:rPr>
        <w:t xml:space="preserve"> </w:t>
      </w:r>
      <w:r>
        <w:rPr>
          <w:rFonts w:ascii="Arial" w:hAnsi="Arial"/>
          <w:sz w:val="24"/>
        </w:rPr>
        <w:t xml:space="preserve">(pp. 3–45). University of Minnesota Press. https://www.jstor.org/stable/10.5749/j.ctttsr75.5</w:t>
      </w:r>
    </w:p>
    <w:p>
      <w:pPr>
        <w:pStyle w:val="BodyText"/>
        <w:spacing w:after="120" w:line="360" w:lineRule="auto"/>
        <w:ind w:left="720" w:hanging="720"/>
        <w:jc w:val="left"/>
      </w:pPr>
      <w:r>
        <w:rPr>
          <w:rFonts w:ascii="Arial" w:hAnsi="Arial"/>
          <w:sz w:val="24"/>
        </w:rPr>
        <w:t xml:space="preserve">Nersessian, N. J. (1999). Model-based reasoning in conceptual change. En L. Magnani, N. J. Nersessian y P. Thagard (Eds.),</w:t>
      </w:r>
      <w:r>
        <w:rPr>
          <w:rFonts w:ascii="Arial" w:hAnsi="Arial"/>
          <w:sz w:val="24"/>
        </w:rPr>
        <w:t xml:space="preserve"> </w:t>
      </w:r>
      <w:r>
        <w:rPr>
          <w:rFonts w:ascii="Arial" w:hAnsi="Arial"/>
          <w:i/>
          <w:iCs/>
          <w:sz w:val="24"/>
        </w:rPr>
        <w:t xml:space="preserve">Model-based reasoning in scientific discovery</w:t>
      </w:r>
      <w:r>
        <w:rPr>
          <w:rFonts w:ascii="Arial" w:hAnsi="Arial"/>
          <w:sz w:val="24"/>
        </w:rPr>
        <w:t xml:space="preserve"> </w:t>
      </w:r>
      <w:r>
        <w:rPr>
          <w:rFonts w:ascii="Arial" w:hAnsi="Arial"/>
          <w:sz w:val="24"/>
        </w:rPr>
        <w:t xml:space="preserve">(pp. 5–22). Kluwer Academic/Plenum Publishers. https://doi.org/10.1007/978-1-4615-4813-3_1</w:t>
      </w:r>
    </w:p>
    <w:p>
      <w:pPr>
        <w:pStyle w:val="BodyText"/>
        <w:spacing w:after="120" w:line="360" w:lineRule="auto"/>
        <w:ind w:left="720" w:hanging="720"/>
        <w:jc w:val="left"/>
      </w:pPr>
      <w:r>
        <w:rPr>
          <w:rFonts w:ascii="Arial" w:hAnsi="Arial"/>
          <w:sz w:val="24"/>
        </w:rPr>
        <w:t xml:space="preserve">Quine, W. V. O. (1951). Two dogmas of empiricism.</w:t>
      </w:r>
      <w:r>
        <w:rPr>
          <w:rFonts w:ascii="Arial" w:hAnsi="Arial"/>
          <w:sz w:val="24"/>
        </w:rPr>
        <w:t xml:space="preserve"> </w:t>
      </w:r>
      <w:r>
        <w:rPr>
          <w:rFonts w:ascii="Arial" w:hAnsi="Arial"/>
          <w:i/>
          <w:iCs/>
          <w:sz w:val="24"/>
        </w:rPr>
        <w:t xml:space="preserve">The Philosophical Review, 60</w:t>
      </w:r>
      <w:r>
        <w:rPr>
          <w:rFonts w:ascii="Arial" w:hAnsi="Arial"/>
          <w:sz w:val="24"/>
        </w:rPr>
        <w:t xml:space="preserve">(1), 20–43. https://doi.org/10.2307/2181906</w:t>
      </w:r>
    </w:p>
    <w:p>
      <w:pPr>
        <w:pStyle w:val="BodyText"/>
        <w:spacing w:after="120" w:line="360" w:lineRule="auto"/>
        <w:ind w:left="720" w:hanging="720"/>
        <w:jc w:val="left"/>
      </w:pPr>
      <w:r>
        <w:rPr>
          <w:rFonts w:ascii="Arial" w:hAnsi="Arial"/>
          <w:sz w:val="24"/>
        </w:rPr>
        <w:t xml:space="preserve">Quine, W. V. O. (1969). Epistemology naturalized. En</w:t>
      </w:r>
      <w:r>
        <w:rPr>
          <w:rFonts w:ascii="Arial" w:hAnsi="Arial"/>
          <w:sz w:val="24"/>
        </w:rPr>
        <w:t xml:space="preserve"> </w:t>
      </w:r>
      <w:r>
        <w:rPr>
          <w:rFonts w:ascii="Arial" w:hAnsi="Arial"/>
          <w:i/>
          <w:iCs/>
          <w:sz w:val="24"/>
        </w:rPr>
        <w:t xml:space="preserve">Ontological relativity and other essays</w:t>
      </w:r>
      <w:r>
        <w:rPr>
          <w:rFonts w:ascii="Arial" w:hAnsi="Arial"/>
          <w:sz w:val="24"/>
        </w:rPr>
        <w:t xml:space="preserve"> </w:t>
      </w:r>
      <w:r>
        <w:rPr>
          <w:rFonts w:ascii="Arial" w:hAnsi="Arial"/>
          <w:sz w:val="24"/>
        </w:rPr>
        <w:t xml:space="preserve">(pp. 69–90). Columbia University Press. https://doi.org/10.7312/quin92204-004</w:t>
      </w:r>
    </w:p>
    <w:bookmarkEnd w:id="13"/>
    <w:sectPr>
      <w:headerReference w:type="default" r:id="rId9"/>
      <w:footnotePr>
        <w:numRestart w:val="eachSect"/>
      </w:footnotePr>
      <w:pgMar w:top="1417" w:bottom="1417" w:left="1417" w:right="1417" w:header="709" w:footer="7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80"/>
      <w:jc w:val="both"/>
    </w:pPr>
    <w:rPr>
      <w:rFonts w:ascii="Arial" w:hAnsi="Arial"/>
      <w:sz w:val="24"/>
    </w:rPr>
  </w:style>
  <w:style w:styleId="BodyText" w:type="paragraph">
    <w:name w:val="Body Text"/>
    <w:basedOn w:val="Normal"/>
    <w:link w:val="BodyTextChar"/>
    <w:qFormat/>
    <w:pPr>
      <w:spacing w:after="80" w:before="180" w:line="360" w:lineRule="auto"/>
      <w:jc w:val="both"/>
    </w:pPr>
    <w:rPr>
      <w:rFonts w:ascii="Arial" w:hAnsi="Arial"/>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360" w:lineRule="auto"/>
      <w:contextualSpacing/>
      <w:jc w:val="center"/>
    </w:pPr>
    <w:rPr>
      <w:rFonts w:asciiTheme="majorHAnsi" w:cstheme="majorBidi" w:eastAsiaTheme="majorEastAsia" w:hAnsiTheme="majorHAnsi" w:ascii="Arial" w:hAnsi="Arial"/>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360" w:lineRule="auto" w:after="120"/>
      <w:jc w:val="center"/>
    </w:pPr>
    <w:rPr>
      <w:rFonts w:cstheme="majorBidi" w:eastAsiaTheme="majorEastAsia" w:ascii="Arial" w:hAnsi="Arial"/>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jc w:val="center"/>
      <w:outlineLvl w:val="0"/>
    </w:pPr>
    <w:rPr>
      <w:rFonts w:asciiTheme="majorHAnsi" w:cstheme="majorBidi" w:eastAsiaTheme="majorEastAsia" w:hAnsiTheme="majorHAnsi" w:ascii="Arial" w:hAnsi="Arial"/>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360" w:lineRule="auto"/>
      <w:jc w:val="center"/>
      <w:outlineLvl w:val="1"/>
    </w:pPr>
    <w:rPr>
      <w:rFonts w:asciiTheme="majorHAnsi" w:cstheme="majorBidi" w:eastAsiaTheme="majorEastAsia" w:hAnsiTheme="majorHAnsi" w:ascii="Arial" w:hAnsi="Arial"/>
      <w:b/>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360" w:lineRule="auto"/>
      <w:jc w:val="center"/>
      <w:outlineLvl w:val="2"/>
    </w:pPr>
    <w:rPr>
      <w:rFonts w:cstheme="majorBidi" w:eastAsiaTheme="majorEastAsia" w:ascii="Arial" w:hAnsi="Arial"/>
      <w:b/>
      <w:color w:themeColor="accent1" w:themeShade="BF" w:val="0F4761"/>
      <w:sz w:val="3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de los enfoques de la epistemología científica</dc:title>
  <dc:creator>Diego Ignacio Norambuena Miranda</dc:creator>
  <cp:keywords>epistemología, positivismo lógico, Kuhn, Quine, Nersessian, APA 7</cp:keywords>
  <dcterms:created xsi:type="dcterms:W3CDTF">2026-10-19T07:20:23Z</dcterms:created>
  <dcterms:modified xsi:type="dcterms:W3CDTF">2026-10-19T07:20:23Z</dcterms:modified>
  <dc:subject>Psicología — Epistemología, Unidad 2</dc:subject>
</cp:coreProperties>
</file>

<file path=docProps/custom.xml><?xml version="1.0" encoding="utf-8"?>
<Properties xmlns="http://schemas.openxmlformats.org/officeDocument/2006/custom-properties" xmlns:vt="http://schemas.openxmlformats.org/officeDocument/2006/docPropsVTypes"/>
</file>