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E710BB" w14:textId="7330D623" w:rsidR="00655A36" w:rsidRDefault="00254768" w:rsidP="00254768">
      <w:pPr>
        <w:pStyle w:val="Pagedecouverture"/>
        <w:rPr>
          <w:noProof/>
        </w:rPr>
      </w:pPr>
      <w:bookmarkStart w:id="0" w:name="LW_BM_COVERPAGE"/>
      <w:r>
        <w:rPr>
          <w:noProof/>
        </w:rPr>
        <w:pict w14:anchorId="698234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3CD8F7D1-1146-4118-BC46-06F1965DC2E0" style="width:455.25pt;height:324pt">
            <v:imagedata r:id="rId11" o:title=""/>
          </v:shape>
        </w:pict>
      </w:r>
    </w:p>
    <w:bookmarkEnd w:id="0"/>
    <w:p w14:paraId="78984B0B" w14:textId="77777777" w:rsidR="00C27875" w:rsidRDefault="00C27875" w:rsidP="00C27875">
      <w:pPr>
        <w:rPr>
          <w:noProof/>
        </w:rPr>
        <w:sectPr w:rsidR="00C27875" w:rsidSect="00254768">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1906" w:h="16838"/>
          <w:pgMar w:top="1134" w:right="1417" w:bottom="1134" w:left="1417" w:header="709" w:footer="709" w:gutter="0"/>
          <w:pgNumType w:start="0"/>
          <w:cols w:space="720"/>
          <w:docGrid w:linePitch="326"/>
        </w:sectPr>
      </w:pPr>
    </w:p>
    <w:p w14:paraId="0A0A19E6" w14:textId="77777777" w:rsidR="00584AD0" w:rsidRDefault="00584AD0" w:rsidP="00655A36">
      <w:pPr>
        <w:pStyle w:val="Pagedecouverture"/>
        <w:rPr>
          <w:noProof/>
        </w:rPr>
      </w:pPr>
      <w:bookmarkStart w:id="1" w:name="_GoBack"/>
      <w:bookmarkEnd w:id="1"/>
    </w:p>
    <w:sdt>
      <w:sdtPr>
        <w:rPr>
          <w:rFonts w:ascii="Times New Roman" w:hAnsi="Times New Roman"/>
          <w:b w:val="0"/>
          <w:caps w:val="0"/>
          <w:noProof/>
        </w:rPr>
        <w:alias w:val="Table of Contents"/>
        <w:tag w:val="2OIKVGtmzwJ66PTlFMFRa4"/>
        <w:id w:val="1523909890"/>
      </w:sdtPr>
      <w:sdtEndPr>
        <w:rPr>
          <w:rFonts w:ascii="EC Square Sans Pro" w:hAnsi="EC Square Sans Pro"/>
        </w:rPr>
      </w:sdtEndPr>
      <w:sdtContent>
        <w:p w14:paraId="70E586DA" w14:textId="0F7C65AB" w:rsidR="00584AD0" w:rsidRPr="00BA5CF6" w:rsidRDefault="00254768">
          <w:pPr>
            <w:pStyle w:val="TOCHeading"/>
            <w:rPr>
              <w:rFonts w:ascii="EC Square Sans Pro" w:hAnsi="EC Square Sans Pro"/>
              <w:noProof/>
            </w:rPr>
          </w:pPr>
          <w:sdt>
            <w:sdtPr>
              <w:rPr>
                <w:rFonts w:ascii="EC Square Sans Pro" w:hAnsi="EC Square Sans Pro"/>
                <w:noProof/>
                <w:color w:val="0070C0"/>
              </w:rPr>
              <w:id w:val="156051746"/>
              <w:dataBinding w:xpath="/Texts/TOCHeading" w:storeItemID="{4EF90DE6-88B6-4264-9629-4D8DFDFE87D2}"/>
              <w:text w:multiLine="1"/>
            </w:sdtPr>
            <w:sdtEndPr/>
            <w:sdtContent>
              <w:r w:rsidR="00584AD0" w:rsidRPr="00C300C0">
                <w:rPr>
                  <w:rFonts w:ascii="EC Square Sans Pro" w:hAnsi="EC Square Sans Pro"/>
                  <w:noProof/>
                  <w:color w:val="0070C0"/>
                </w:rPr>
                <w:t>Table of Contents</w:t>
              </w:r>
            </w:sdtContent>
          </w:sdt>
        </w:p>
        <w:p w14:paraId="557E6CD4" w14:textId="2FFE3848" w:rsidR="00770917" w:rsidRDefault="00584AD0" w:rsidP="76352258">
          <w:pPr>
            <w:pStyle w:val="TOC1"/>
            <w:rPr>
              <w:rFonts w:asciiTheme="minorHAnsi" w:eastAsiaTheme="minorEastAsia" w:hAnsiTheme="minorHAnsi" w:cstheme="minorBidi"/>
              <w:noProof/>
              <w:kern w:val="2"/>
              <w:lang w:val="en-US" w:eastAsia="ja-JP"/>
              <w14:ligatures w14:val="standardContextual"/>
            </w:rPr>
          </w:pPr>
          <w:r w:rsidRPr="76352258">
            <w:rPr>
              <w:caps/>
              <w:noProof/>
            </w:rPr>
            <w:fldChar w:fldCharType="begin"/>
          </w:r>
          <w:r>
            <w:rPr>
              <w:noProof/>
            </w:rPr>
            <w:instrText>TOC \o "1-4" \h \t "Article;1;ChapterTitle;5;PartTitle;5;SectionTitle;5;AnnexTitle;6"</w:instrText>
          </w:r>
          <w:r w:rsidRPr="76352258">
            <w:rPr>
              <w:caps/>
              <w:noProof/>
            </w:rPr>
            <w:fldChar w:fldCharType="separate"/>
          </w:r>
          <w:hyperlink w:anchor="_Toc194300622" w:history="1">
            <w:r w:rsidR="00770917" w:rsidRPr="00C01C7D">
              <w:rPr>
                <w:rStyle w:val="Hyperlink"/>
                <w:noProof/>
              </w:rPr>
              <w:t>INTRODUCTION</w:t>
            </w:r>
            <w:r w:rsidR="00770917">
              <w:rPr>
                <w:noProof/>
              </w:rPr>
              <w:tab/>
            </w:r>
            <w:r w:rsidR="00770917">
              <w:rPr>
                <w:noProof/>
              </w:rPr>
              <w:fldChar w:fldCharType="begin"/>
            </w:r>
            <w:r w:rsidR="00770917">
              <w:rPr>
                <w:noProof/>
              </w:rPr>
              <w:instrText xml:space="preserve"> PAGEREF _Toc194300622 \h </w:instrText>
            </w:r>
            <w:r w:rsidR="00770917">
              <w:rPr>
                <w:noProof/>
              </w:rPr>
            </w:r>
            <w:r w:rsidR="00770917">
              <w:rPr>
                <w:noProof/>
              </w:rPr>
              <w:fldChar w:fldCharType="separate"/>
            </w:r>
            <w:r w:rsidR="001C730B">
              <w:rPr>
                <w:noProof/>
              </w:rPr>
              <w:t>2</w:t>
            </w:r>
            <w:r w:rsidR="00770917">
              <w:rPr>
                <w:noProof/>
              </w:rPr>
              <w:fldChar w:fldCharType="end"/>
            </w:r>
          </w:hyperlink>
        </w:p>
        <w:p w14:paraId="6E21D7C8" w14:textId="132222C6" w:rsidR="00770917" w:rsidRDefault="00254768">
          <w:pPr>
            <w:pStyle w:val="TOC1"/>
            <w:rPr>
              <w:rFonts w:asciiTheme="minorHAnsi" w:eastAsiaTheme="minorEastAsia" w:hAnsiTheme="minorHAnsi" w:cstheme="minorBidi"/>
              <w:noProof/>
              <w:kern w:val="2"/>
              <w:szCs w:val="24"/>
              <w:lang w:val="en-US" w:eastAsia="ja-JP"/>
              <w14:ligatures w14:val="standardContextual"/>
            </w:rPr>
          </w:pPr>
          <w:hyperlink w:anchor="_Toc194300623" w:history="1">
            <w:r w:rsidR="00770917" w:rsidRPr="00C01C7D">
              <w:rPr>
                <w:rStyle w:val="Hyperlink"/>
                <w:noProof/>
              </w:rPr>
              <w:t>Part 1: Key milestones in 2024</w:t>
            </w:r>
            <w:r w:rsidR="00770917">
              <w:rPr>
                <w:noProof/>
              </w:rPr>
              <w:tab/>
            </w:r>
            <w:r w:rsidR="00770917">
              <w:rPr>
                <w:noProof/>
              </w:rPr>
              <w:fldChar w:fldCharType="begin"/>
            </w:r>
            <w:r w:rsidR="00770917">
              <w:rPr>
                <w:noProof/>
              </w:rPr>
              <w:instrText xml:space="preserve"> PAGEREF _Toc194300623 \h </w:instrText>
            </w:r>
            <w:r w:rsidR="00770917">
              <w:rPr>
                <w:noProof/>
              </w:rPr>
            </w:r>
            <w:r w:rsidR="00770917">
              <w:rPr>
                <w:noProof/>
              </w:rPr>
              <w:fldChar w:fldCharType="separate"/>
            </w:r>
            <w:r w:rsidR="001C730B">
              <w:rPr>
                <w:noProof/>
              </w:rPr>
              <w:t>4</w:t>
            </w:r>
            <w:r w:rsidR="00770917">
              <w:rPr>
                <w:noProof/>
              </w:rPr>
              <w:fldChar w:fldCharType="end"/>
            </w:r>
          </w:hyperlink>
        </w:p>
        <w:p w14:paraId="235FFA89" w14:textId="0E954252"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24" w:history="1">
            <w:r w:rsidR="00770917" w:rsidRPr="00C01C7D">
              <w:rPr>
                <w:rStyle w:val="Hyperlink"/>
              </w:rPr>
              <w:t>1.1. General overview</w:t>
            </w:r>
            <w:r w:rsidR="00770917">
              <w:tab/>
            </w:r>
            <w:r w:rsidR="00770917">
              <w:fldChar w:fldCharType="begin"/>
            </w:r>
            <w:r w:rsidR="00770917">
              <w:instrText xml:space="preserve"> PAGEREF _Toc194300624 \h </w:instrText>
            </w:r>
            <w:r w:rsidR="00770917">
              <w:fldChar w:fldCharType="separate"/>
            </w:r>
            <w:r w:rsidR="001C730B">
              <w:t>4</w:t>
            </w:r>
            <w:r w:rsidR="00770917">
              <w:fldChar w:fldCharType="end"/>
            </w:r>
          </w:hyperlink>
        </w:p>
        <w:p w14:paraId="341B1C62" w14:textId="257FC917"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25" w:history="1">
            <w:r w:rsidR="00770917" w:rsidRPr="00C01C7D">
              <w:rPr>
                <w:rStyle w:val="Hyperlink"/>
              </w:rPr>
              <w:t>1.2. Compartment structure</w:t>
            </w:r>
            <w:r w:rsidR="00770917">
              <w:tab/>
            </w:r>
            <w:r w:rsidR="00770917">
              <w:fldChar w:fldCharType="begin"/>
            </w:r>
            <w:r w:rsidR="00770917">
              <w:instrText xml:space="preserve"> PAGEREF _Toc194300625 \h </w:instrText>
            </w:r>
            <w:r w:rsidR="00770917">
              <w:fldChar w:fldCharType="separate"/>
            </w:r>
            <w:r w:rsidR="001C730B">
              <w:t>5</w:t>
            </w:r>
            <w:r w:rsidR="00770917">
              <w:fldChar w:fldCharType="end"/>
            </w:r>
          </w:hyperlink>
        </w:p>
        <w:p w14:paraId="0F1CA170" w14:textId="6221915F"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26" w:history="1">
            <w:r w:rsidR="00770917" w:rsidRPr="00C01C7D">
              <w:rPr>
                <w:rStyle w:val="Hyperlink"/>
              </w:rPr>
              <w:t>1.3. Guarantee calls and payment claims</w:t>
            </w:r>
            <w:r w:rsidR="00770917">
              <w:tab/>
            </w:r>
            <w:r w:rsidR="00770917">
              <w:fldChar w:fldCharType="begin"/>
            </w:r>
            <w:r w:rsidR="00770917">
              <w:instrText xml:space="preserve"> PAGEREF _Toc194300626 \h </w:instrText>
            </w:r>
            <w:r w:rsidR="00770917">
              <w:fldChar w:fldCharType="separate"/>
            </w:r>
            <w:r w:rsidR="001C730B">
              <w:t>7</w:t>
            </w:r>
            <w:r w:rsidR="00770917">
              <w:fldChar w:fldCharType="end"/>
            </w:r>
          </w:hyperlink>
        </w:p>
        <w:p w14:paraId="586A0440" w14:textId="31AF9796"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27" w:history="1">
            <w:r w:rsidR="00770917" w:rsidRPr="00C01C7D">
              <w:rPr>
                <w:rStyle w:val="Hyperlink"/>
              </w:rPr>
              <w:t>1.4. Effective provisioning rate</w:t>
            </w:r>
            <w:r w:rsidR="00770917">
              <w:tab/>
            </w:r>
            <w:r w:rsidR="00770917">
              <w:fldChar w:fldCharType="begin"/>
            </w:r>
            <w:r w:rsidR="00770917">
              <w:instrText xml:space="preserve"> PAGEREF _Toc194300627 \h </w:instrText>
            </w:r>
            <w:r w:rsidR="00770917">
              <w:fldChar w:fldCharType="separate"/>
            </w:r>
            <w:r w:rsidR="001C730B">
              <w:t>10</w:t>
            </w:r>
            <w:r w:rsidR="00770917">
              <w:fldChar w:fldCharType="end"/>
            </w:r>
          </w:hyperlink>
        </w:p>
        <w:p w14:paraId="7631FEC9" w14:textId="7D9C2274" w:rsidR="00770917" w:rsidRDefault="00254768">
          <w:pPr>
            <w:pStyle w:val="TOC1"/>
            <w:rPr>
              <w:rFonts w:asciiTheme="minorHAnsi" w:eastAsiaTheme="minorEastAsia" w:hAnsiTheme="minorHAnsi" w:cstheme="minorBidi"/>
              <w:noProof/>
              <w:kern w:val="2"/>
              <w:szCs w:val="24"/>
              <w:lang w:val="en-US" w:eastAsia="ja-JP"/>
              <w14:ligatures w14:val="standardContextual"/>
            </w:rPr>
          </w:pPr>
          <w:hyperlink w:anchor="_Toc194300628" w:history="1">
            <w:r w:rsidR="00770917" w:rsidRPr="00C01C7D">
              <w:rPr>
                <w:rStyle w:val="Hyperlink"/>
                <w:noProof/>
              </w:rPr>
              <w:t>Part 2: Investment strategy, portfolio composition and performance</w:t>
            </w:r>
            <w:r w:rsidR="00770917">
              <w:rPr>
                <w:noProof/>
              </w:rPr>
              <w:tab/>
            </w:r>
            <w:r w:rsidR="00770917">
              <w:rPr>
                <w:noProof/>
              </w:rPr>
              <w:fldChar w:fldCharType="begin"/>
            </w:r>
            <w:r w:rsidR="00770917">
              <w:rPr>
                <w:noProof/>
              </w:rPr>
              <w:instrText xml:space="preserve"> PAGEREF _Toc194300628 \h </w:instrText>
            </w:r>
            <w:r w:rsidR="00770917">
              <w:rPr>
                <w:noProof/>
              </w:rPr>
            </w:r>
            <w:r w:rsidR="00770917">
              <w:rPr>
                <w:noProof/>
              </w:rPr>
              <w:fldChar w:fldCharType="separate"/>
            </w:r>
            <w:r w:rsidR="001C730B">
              <w:rPr>
                <w:noProof/>
              </w:rPr>
              <w:t>10</w:t>
            </w:r>
            <w:r w:rsidR="00770917">
              <w:rPr>
                <w:noProof/>
              </w:rPr>
              <w:fldChar w:fldCharType="end"/>
            </w:r>
          </w:hyperlink>
        </w:p>
        <w:p w14:paraId="770868AA" w14:textId="2343CEC9"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29" w:history="1">
            <w:r w:rsidR="00770917" w:rsidRPr="00C01C7D">
              <w:rPr>
                <w:rStyle w:val="Hyperlink"/>
              </w:rPr>
              <w:t>2.1. Composition and characteristics of the portfolio</w:t>
            </w:r>
            <w:r w:rsidR="00770917">
              <w:tab/>
            </w:r>
            <w:r w:rsidR="00770917">
              <w:fldChar w:fldCharType="begin"/>
            </w:r>
            <w:r w:rsidR="00770917">
              <w:instrText xml:space="preserve"> PAGEREF _Toc194300629 \h </w:instrText>
            </w:r>
            <w:r w:rsidR="00770917">
              <w:fldChar w:fldCharType="separate"/>
            </w:r>
            <w:r w:rsidR="001C730B">
              <w:t>11</w:t>
            </w:r>
            <w:r w:rsidR="00770917">
              <w:fldChar w:fldCharType="end"/>
            </w:r>
          </w:hyperlink>
        </w:p>
        <w:p w14:paraId="18A44782" w14:textId="0BE7CC34"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30" w:history="1">
            <w:r w:rsidR="00770917" w:rsidRPr="00C01C7D">
              <w:rPr>
                <w:rStyle w:val="Hyperlink"/>
              </w:rPr>
              <w:t>2.2. Environmental, social and governance (ESG) footprint</w:t>
            </w:r>
            <w:r w:rsidR="00770917">
              <w:tab/>
            </w:r>
            <w:r w:rsidR="00770917">
              <w:fldChar w:fldCharType="begin"/>
            </w:r>
            <w:r w:rsidR="00770917">
              <w:instrText xml:space="preserve"> PAGEREF _Toc194300630 \h </w:instrText>
            </w:r>
            <w:r w:rsidR="00770917">
              <w:fldChar w:fldCharType="separate"/>
            </w:r>
            <w:r w:rsidR="001C730B">
              <w:t>12</w:t>
            </w:r>
            <w:r w:rsidR="00770917">
              <w:fldChar w:fldCharType="end"/>
            </w:r>
          </w:hyperlink>
        </w:p>
        <w:p w14:paraId="7158028B" w14:textId="4EC6E167" w:rsidR="00770917" w:rsidRDefault="00254768">
          <w:pPr>
            <w:pStyle w:val="TOC2"/>
            <w:rPr>
              <w:rFonts w:asciiTheme="minorHAnsi" w:eastAsiaTheme="minorEastAsia" w:hAnsiTheme="minorHAnsi" w:cstheme="minorBidi"/>
              <w:kern w:val="2"/>
              <w:szCs w:val="24"/>
              <w:lang w:val="en-US" w:eastAsia="ja-JP"/>
              <w14:ligatures w14:val="standardContextual"/>
            </w:rPr>
          </w:pPr>
          <w:hyperlink w:anchor="_Toc194300631" w:history="1">
            <w:r w:rsidR="00770917" w:rsidRPr="00C01C7D">
              <w:rPr>
                <w:rStyle w:val="Hyperlink"/>
              </w:rPr>
              <w:t>2.3. CPF performance in 2024</w:t>
            </w:r>
            <w:r w:rsidR="00770917">
              <w:tab/>
            </w:r>
            <w:r w:rsidR="00770917">
              <w:fldChar w:fldCharType="begin"/>
            </w:r>
            <w:r w:rsidR="00770917">
              <w:instrText xml:space="preserve"> PAGEREF _Toc194300631 \h </w:instrText>
            </w:r>
            <w:r w:rsidR="00770917">
              <w:fldChar w:fldCharType="separate"/>
            </w:r>
            <w:r w:rsidR="001C730B">
              <w:t>12</w:t>
            </w:r>
            <w:r w:rsidR="00770917">
              <w:fldChar w:fldCharType="end"/>
            </w:r>
          </w:hyperlink>
        </w:p>
        <w:p w14:paraId="586670CD" w14:textId="6309D1D6" w:rsidR="00770917" w:rsidRDefault="00254768">
          <w:pPr>
            <w:pStyle w:val="TOC1"/>
            <w:rPr>
              <w:rFonts w:asciiTheme="minorHAnsi" w:eastAsiaTheme="minorEastAsia" w:hAnsiTheme="minorHAnsi" w:cstheme="minorBidi"/>
              <w:noProof/>
              <w:kern w:val="2"/>
              <w:szCs w:val="24"/>
              <w:lang w:val="en-US" w:eastAsia="ja-JP"/>
              <w14:ligatures w14:val="standardContextual"/>
            </w:rPr>
          </w:pPr>
          <w:hyperlink w:anchor="_Toc194300632" w:history="1">
            <w:r w:rsidR="00770917" w:rsidRPr="00C01C7D">
              <w:rPr>
                <w:rStyle w:val="Hyperlink"/>
                <w:noProof/>
              </w:rPr>
              <w:t>CONCLUSIONS</w:t>
            </w:r>
            <w:r w:rsidR="00770917">
              <w:rPr>
                <w:noProof/>
              </w:rPr>
              <w:tab/>
            </w:r>
            <w:r w:rsidR="00770917">
              <w:rPr>
                <w:noProof/>
              </w:rPr>
              <w:fldChar w:fldCharType="begin"/>
            </w:r>
            <w:r w:rsidR="00770917">
              <w:rPr>
                <w:noProof/>
              </w:rPr>
              <w:instrText xml:space="preserve"> PAGEREF _Toc194300632 \h </w:instrText>
            </w:r>
            <w:r w:rsidR="00770917">
              <w:rPr>
                <w:noProof/>
              </w:rPr>
            </w:r>
            <w:r w:rsidR="00770917">
              <w:rPr>
                <w:noProof/>
              </w:rPr>
              <w:fldChar w:fldCharType="separate"/>
            </w:r>
            <w:r w:rsidR="001C730B">
              <w:rPr>
                <w:noProof/>
              </w:rPr>
              <w:t>14</w:t>
            </w:r>
            <w:r w:rsidR="00770917">
              <w:rPr>
                <w:noProof/>
              </w:rPr>
              <w:fldChar w:fldCharType="end"/>
            </w:r>
          </w:hyperlink>
        </w:p>
        <w:p w14:paraId="30735115" w14:textId="6D024E4C" w:rsidR="00584AD0" w:rsidRDefault="00584AD0">
          <w:pPr>
            <w:rPr>
              <w:noProof/>
            </w:rPr>
          </w:pPr>
          <w:r w:rsidRPr="76352258">
            <w:rPr>
              <w:noProof/>
            </w:rPr>
            <w:fldChar w:fldCharType="end"/>
          </w:r>
        </w:p>
      </w:sdtContent>
    </w:sdt>
    <w:p w14:paraId="3806C079" w14:textId="77777777" w:rsidR="00584AD0" w:rsidRDefault="00584AD0">
      <w:pPr>
        <w:spacing w:after="0"/>
        <w:jc w:val="left"/>
        <w:rPr>
          <w:b/>
          <w:noProof/>
          <w:sz w:val="32"/>
        </w:rPr>
      </w:pPr>
      <w:r>
        <w:rPr>
          <w:noProof/>
        </w:rPr>
        <w:br w:type="page"/>
      </w:r>
    </w:p>
    <w:p w14:paraId="7118A2B4" w14:textId="67187A84" w:rsidR="003D6807" w:rsidRPr="003C5DD9" w:rsidRDefault="00584AD0" w:rsidP="000B0D9D">
      <w:pPr>
        <w:pStyle w:val="ChapterTitle"/>
        <w:jc w:val="left"/>
        <w:rPr>
          <w:noProof/>
          <w:color w:val="004376"/>
        </w:rPr>
      </w:pPr>
      <w:bookmarkStart w:id="2" w:name="_Toc194300622"/>
      <w:r w:rsidRPr="46DCAAA1">
        <w:rPr>
          <w:noProof/>
          <w:color w:val="004376"/>
        </w:rPr>
        <w:t>INTRODUCTION</w:t>
      </w:r>
      <w:bookmarkEnd w:id="2"/>
    </w:p>
    <w:p w14:paraId="4E5BBBAB" w14:textId="77777777" w:rsidR="00D5705C" w:rsidRPr="00464451" w:rsidRDefault="00D5705C" w:rsidP="00D5705C">
      <w:pPr>
        <w:rPr>
          <w:noProof/>
        </w:rPr>
      </w:pPr>
      <w:r w:rsidRPr="00464451">
        <w:rPr>
          <w:noProof/>
        </w:rPr>
        <w:t>This is the fourth annual report on the common provisioning fund (CPF)</w:t>
      </w:r>
      <w:r w:rsidRPr="00464451">
        <w:rPr>
          <w:rFonts w:ascii="Calibri" w:hAnsi="Calibri" w:cs="Calibri"/>
          <w:noProof/>
        </w:rPr>
        <w:t> </w:t>
      </w:r>
      <w:r w:rsidRPr="00464451">
        <w:rPr>
          <w:noProof/>
        </w:rPr>
        <w:t>(</w:t>
      </w:r>
      <w:r w:rsidRPr="00464451">
        <w:rPr>
          <w:rStyle w:val="FootnoteReference"/>
          <w:noProof/>
        </w:rPr>
        <w:footnoteReference w:id="2"/>
      </w:r>
      <w:r w:rsidRPr="00464451">
        <w:rPr>
          <w:noProof/>
        </w:rPr>
        <w:t>) covering the period from 1</w:t>
      </w:r>
      <w:r>
        <w:rPr>
          <w:rFonts w:ascii="Calibri" w:hAnsi="Calibri" w:cs="Calibri"/>
          <w:noProof/>
        </w:rPr>
        <w:t> </w:t>
      </w:r>
      <w:r w:rsidRPr="00464451">
        <w:rPr>
          <w:noProof/>
        </w:rPr>
        <w:t>January 2024 to 31</w:t>
      </w:r>
      <w:r>
        <w:rPr>
          <w:rFonts w:ascii="Calibri" w:hAnsi="Calibri" w:cs="Calibri"/>
          <w:noProof/>
        </w:rPr>
        <w:t> </w:t>
      </w:r>
      <w:r w:rsidRPr="00464451">
        <w:rPr>
          <w:noProof/>
        </w:rPr>
        <w:t xml:space="preserve">December 2024. It outlines </w:t>
      </w:r>
      <w:r>
        <w:rPr>
          <w:noProof/>
        </w:rPr>
        <w:t xml:space="preserve">the </w:t>
      </w:r>
      <w:r w:rsidRPr="00464451">
        <w:rPr>
          <w:noProof/>
        </w:rPr>
        <w:t xml:space="preserve">key developments related to the functioning of the CPF in 2024, </w:t>
      </w:r>
      <w:r>
        <w:rPr>
          <w:noProof/>
        </w:rPr>
        <w:t xml:space="preserve">and </w:t>
      </w:r>
      <w:r w:rsidRPr="00464451">
        <w:rPr>
          <w:noProof/>
        </w:rPr>
        <w:t>presents the main financial and risk parameters</w:t>
      </w:r>
      <w:r>
        <w:rPr>
          <w:noProof/>
        </w:rPr>
        <w:t xml:space="preserve"> and </w:t>
      </w:r>
      <w:r w:rsidRPr="00464451">
        <w:rPr>
          <w:noProof/>
        </w:rPr>
        <w:t xml:space="preserve">the fund’s annual performance. It also presents the results of </w:t>
      </w:r>
      <w:r>
        <w:rPr>
          <w:noProof/>
        </w:rPr>
        <w:t xml:space="preserve">the Commission's </w:t>
      </w:r>
      <w:r w:rsidRPr="00464451">
        <w:rPr>
          <w:noProof/>
        </w:rPr>
        <w:t xml:space="preserve">actions to enhance the fund’s longer-term performance </w:t>
      </w:r>
      <w:r>
        <w:rPr>
          <w:noProof/>
        </w:rPr>
        <w:t>by</w:t>
      </w:r>
      <w:r w:rsidRPr="00464451">
        <w:rPr>
          <w:noProof/>
        </w:rPr>
        <w:t xml:space="preserve"> introducing a diversified investment universe.</w:t>
      </w:r>
    </w:p>
    <w:p w14:paraId="34138CB8" w14:textId="388D177C" w:rsidR="00584AD0" w:rsidRPr="008B332F" w:rsidRDefault="30845F7B" w:rsidP="3296F9E0">
      <w:pPr>
        <w:rPr>
          <w:noProof/>
        </w:rPr>
      </w:pPr>
      <w:r w:rsidRPr="4DBF2F1D">
        <w:rPr>
          <w:noProof/>
        </w:rPr>
        <w:t>The CPF, established under Article 21</w:t>
      </w:r>
      <w:r w:rsidR="000469B7">
        <w:rPr>
          <w:noProof/>
        </w:rPr>
        <w:t>2</w:t>
      </w:r>
      <w:r w:rsidRPr="4DBF2F1D">
        <w:rPr>
          <w:noProof/>
        </w:rPr>
        <w:t xml:space="preserve"> of </w:t>
      </w:r>
      <w:r w:rsidR="000469B7" w:rsidRPr="00CA4025">
        <w:rPr>
          <w:noProof/>
        </w:rPr>
        <w:t>Regulation (EU, Euratom) 2018/1046 of the European Parliament and of the Council of 18 July 2018 on the financial rules applicable to the general budget of the Union</w:t>
      </w:r>
      <w:r w:rsidR="47A15B01">
        <w:rPr>
          <w:noProof/>
        </w:rPr>
        <w:t>,</w:t>
      </w:r>
      <w:r w:rsidRPr="4DBF2F1D">
        <w:rPr>
          <w:noProof/>
        </w:rPr>
        <w:t xml:space="preserve"> holds all provisions set aside by the EU budget </w:t>
      </w:r>
      <w:r w:rsidR="19EA656B" w:rsidRPr="5ED0CC72">
        <w:rPr>
          <w:rFonts w:eastAsia="EC Square Sans Pro" w:cs="EC Square Sans Pro"/>
          <w:noProof/>
        </w:rPr>
        <w:t xml:space="preserve">or contributed by participating Member States </w:t>
      </w:r>
      <w:r w:rsidRPr="4DBF2F1D">
        <w:rPr>
          <w:noProof/>
        </w:rPr>
        <w:t xml:space="preserve">to cover </w:t>
      </w:r>
      <w:r w:rsidR="00D5705C">
        <w:rPr>
          <w:noProof/>
        </w:rPr>
        <w:t xml:space="preserve">the </w:t>
      </w:r>
      <w:r w:rsidRPr="4DBF2F1D">
        <w:rPr>
          <w:noProof/>
        </w:rPr>
        <w:t>risk of losses on operations guar</w:t>
      </w:r>
      <w:r w:rsidR="7436B8E2">
        <w:rPr>
          <w:noProof/>
        </w:rPr>
        <w:t>a</w:t>
      </w:r>
      <w:r w:rsidRPr="4DBF2F1D">
        <w:rPr>
          <w:noProof/>
        </w:rPr>
        <w:t>nteed by the internal</w:t>
      </w:r>
      <w:r w:rsidRPr="00584AD0">
        <w:rPr>
          <w:rFonts w:cs="Calibri"/>
          <w:noProof/>
        </w:rPr>
        <w:t> </w:t>
      </w:r>
      <w:r w:rsidRPr="00584AD0">
        <w:rPr>
          <w:noProof/>
        </w:rPr>
        <w:t>(</w:t>
      </w:r>
      <w:r w:rsidR="00584AD0">
        <w:rPr>
          <w:rStyle w:val="FootnoteReference"/>
          <w:noProof/>
        </w:rPr>
        <w:footnoteReference w:id="3"/>
      </w:r>
      <w:r>
        <w:rPr>
          <w:noProof/>
        </w:rPr>
        <w:t>)</w:t>
      </w:r>
      <w:r w:rsidRPr="4DBF2F1D">
        <w:rPr>
          <w:noProof/>
        </w:rPr>
        <w:t xml:space="preserve"> and external</w:t>
      </w:r>
      <w:r w:rsidRPr="00584AD0">
        <w:rPr>
          <w:rFonts w:cs="Calibri"/>
          <w:noProof/>
        </w:rPr>
        <w:t> </w:t>
      </w:r>
      <w:r w:rsidRPr="00584AD0">
        <w:rPr>
          <w:noProof/>
        </w:rPr>
        <w:t>(</w:t>
      </w:r>
      <w:r w:rsidR="00584AD0">
        <w:rPr>
          <w:rStyle w:val="FootnoteReference"/>
          <w:noProof/>
        </w:rPr>
        <w:footnoteReference w:id="4"/>
      </w:r>
      <w:r>
        <w:rPr>
          <w:noProof/>
        </w:rPr>
        <w:t>)</w:t>
      </w:r>
      <w:r w:rsidRPr="4DBF2F1D">
        <w:rPr>
          <w:noProof/>
        </w:rPr>
        <w:t xml:space="preserve"> guarantees implemented by the European Union. In addition to budgetary guarantees, provisions are held in the CPF in respect of </w:t>
      </w:r>
      <w:r>
        <w:rPr>
          <w:noProof/>
        </w:rPr>
        <w:t xml:space="preserve">most of </w:t>
      </w:r>
      <w:r w:rsidR="72998AEE">
        <w:rPr>
          <w:noProof/>
        </w:rPr>
        <w:t xml:space="preserve">the </w:t>
      </w:r>
      <w:r w:rsidR="756DD3D3">
        <w:rPr>
          <w:noProof/>
        </w:rPr>
        <w:t>macro-</w:t>
      </w:r>
      <w:r w:rsidR="756DD3D3" w:rsidRPr="4DBF2F1D">
        <w:rPr>
          <w:noProof/>
        </w:rPr>
        <w:t>financial</w:t>
      </w:r>
      <w:r w:rsidRPr="4DBF2F1D">
        <w:rPr>
          <w:noProof/>
        </w:rPr>
        <w:t xml:space="preserve"> assistance </w:t>
      </w:r>
      <w:r w:rsidR="756DD3D3">
        <w:rPr>
          <w:noProof/>
        </w:rPr>
        <w:t xml:space="preserve">(MFA) </w:t>
      </w:r>
      <w:r w:rsidRPr="4DBF2F1D">
        <w:rPr>
          <w:noProof/>
        </w:rPr>
        <w:t>loans to third counties</w:t>
      </w:r>
      <w:r w:rsidR="041C816B" w:rsidRPr="00584AD0">
        <w:rPr>
          <w:rFonts w:cs="Calibri"/>
          <w:noProof/>
        </w:rPr>
        <w:t> </w:t>
      </w:r>
      <w:r w:rsidR="72BFA618" w:rsidRPr="00740B92">
        <w:rPr>
          <w:noProof/>
        </w:rPr>
        <w:t>(</w:t>
      </w:r>
      <w:r w:rsidR="00740B92">
        <w:rPr>
          <w:rStyle w:val="FootnoteReference"/>
          <w:noProof/>
        </w:rPr>
        <w:footnoteReference w:id="5"/>
      </w:r>
      <w:r w:rsidR="72BFA618">
        <w:rPr>
          <w:noProof/>
        </w:rPr>
        <w:t>)</w:t>
      </w:r>
      <w:r w:rsidR="19FFA70C">
        <w:rPr>
          <w:noProof/>
        </w:rPr>
        <w:t xml:space="preserve">. </w:t>
      </w:r>
      <w:r w:rsidRPr="4DBF2F1D">
        <w:rPr>
          <w:noProof/>
        </w:rPr>
        <w:t>The provisions held in the CPF constitute the capital reserve from which funds are drawn to meet guarantee calls on supported operations and other outflows.</w:t>
      </w:r>
    </w:p>
    <w:p w14:paraId="6D0A3845" w14:textId="581C4F59" w:rsidR="00584AD0" w:rsidRPr="008B332F" w:rsidRDefault="366DC1BC" w:rsidP="00584AD0">
      <w:pPr>
        <w:rPr>
          <w:noProof/>
        </w:rPr>
      </w:pPr>
      <w:r w:rsidRPr="46DCAAA1">
        <w:rPr>
          <w:noProof/>
        </w:rPr>
        <w:t>The CPF became operational in January 2021. At the end of 202</w:t>
      </w:r>
      <w:r w:rsidR="255218B3" w:rsidRPr="46DCAAA1">
        <w:rPr>
          <w:noProof/>
        </w:rPr>
        <w:t>4</w:t>
      </w:r>
      <w:r w:rsidRPr="46DCAAA1">
        <w:rPr>
          <w:noProof/>
        </w:rPr>
        <w:t xml:space="preserve"> its </w:t>
      </w:r>
      <w:r w:rsidR="00C9424F">
        <w:rPr>
          <w:noProof/>
        </w:rPr>
        <w:t xml:space="preserve">net assets value </w:t>
      </w:r>
      <w:r w:rsidRPr="46DCAAA1">
        <w:rPr>
          <w:noProof/>
        </w:rPr>
        <w:t>stood at EUR</w:t>
      </w:r>
      <w:r w:rsidRPr="46DCAAA1">
        <w:rPr>
          <w:rFonts w:ascii="Calibri" w:hAnsi="Calibri" w:cs="Calibri"/>
          <w:noProof/>
        </w:rPr>
        <w:t> </w:t>
      </w:r>
      <w:r w:rsidR="62A48DDE" w:rsidRPr="46DCAAA1">
        <w:rPr>
          <w:rFonts w:cs="Calibri"/>
          <w:noProof/>
        </w:rPr>
        <w:t>23.</w:t>
      </w:r>
      <w:r w:rsidR="00C9424F">
        <w:rPr>
          <w:rFonts w:cs="Calibri"/>
          <w:noProof/>
        </w:rPr>
        <w:t>18</w:t>
      </w:r>
      <w:r w:rsidRPr="46DCAAA1">
        <w:rPr>
          <w:noProof/>
          <w:lang w:val="en-US"/>
        </w:rPr>
        <w:t xml:space="preserve"> </w:t>
      </w:r>
      <w:r w:rsidRPr="46DCAAA1">
        <w:rPr>
          <w:noProof/>
        </w:rPr>
        <w:t>billion, making it the largest investment portfolio directly managed by the Commission.</w:t>
      </w:r>
    </w:p>
    <w:p w14:paraId="3C1DAF92" w14:textId="699A9484" w:rsidR="00584AD0" w:rsidRPr="0096112C" w:rsidRDefault="00876692" w:rsidP="4F7746DA">
      <w:pPr>
        <w:rPr>
          <w:rFonts w:eastAsia="EC Square Sans Pro"/>
          <w:noProof/>
        </w:rPr>
      </w:pPr>
      <w:r>
        <w:rPr>
          <w:rFonts w:eastAsia="EC Square Sans Pro" w:cs="EC Square Sans Pro"/>
          <w:noProof/>
        </w:rPr>
        <w:t>T</w:t>
      </w:r>
      <w:r w:rsidR="31AFE464" w:rsidRPr="5ED0CC72">
        <w:rPr>
          <w:rFonts w:eastAsia="EC Square Sans Pro" w:cs="EC Square Sans Pro"/>
          <w:noProof/>
        </w:rPr>
        <w:t xml:space="preserve">he CPF successfully navigated market </w:t>
      </w:r>
      <w:r w:rsidR="65A33B2B" w:rsidRPr="5ED0CC72">
        <w:rPr>
          <w:rFonts w:eastAsia="EC Square Sans Pro" w:cs="EC Square Sans Pro"/>
          <w:noProof/>
        </w:rPr>
        <w:t xml:space="preserve">volatility </w:t>
      </w:r>
      <w:r w:rsidR="31AFE464" w:rsidRPr="5ED0CC72">
        <w:rPr>
          <w:rFonts w:eastAsia="EC Square Sans Pro" w:cs="EC Square Sans Pro"/>
          <w:noProof/>
        </w:rPr>
        <w:t>in 2024</w:t>
      </w:r>
      <w:r w:rsidR="501DB95C" w:rsidRPr="5ED0CC72">
        <w:rPr>
          <w:rFonts w:eastAsia="EC Square Sans Pro" w:cs="EC Square Sans Pro"/>
          <w:noProof/>
        </w:rPr>
        <w:t>,</w:t>
      </w:r>
      <w:r w:rsidR="31AFE464" w:rsidRPr="5ED0CC72">
        <w:rPr>
          <w:rFonts w:eastAsia="EC Square Sans Pro" w:cs="EC Square Sans Pro"/>
          <w:noProof/>
        </w:rPr>
        <w:t xml:space="preserve"> with a balanced exposure to multiple asset classes. </w:t>
      </w:r>
      <w:r w:rsidR="00795828">
        <w:rPr>
          <w:rFonts w:eastAsia="EC Square Sans Pro" w:cs="EC Square Sans Pro"/>
          <w:noProof/>
        </w:rPr>
        <w:t>T</w:t>
      </w:r>
      <w:r w:rsidR="31AFE464" w:rsidRPr="5ED0CC72">
        <w:rPr>
          <w:rFonts w:eastAsia="EC Square Sans Pro" w:cs="EC Square Sans Pro"/>
          <w:noProof/>
        </w:rPr>
        <w:t xml:space="preserve">he CPF’s diversification into equities further enhanced its overall </w:t>
      </w:r>
      <w:r w:rsidR="1B4CAE12" w:rsidRPr="5ED0CC72">
        <w:rPr>
          <w:rFonts w:eastAsia="EC Square Sans Pro" w:cs="EC Square Sans Pro"/>
          <w:noProof/>
        </w:rPr>
        <w:t>performance</w:t>
      </w:r>
      <w:r w:rsidR="31AFE464" w:rsidRPr="5ED0CC72">
        <w:rPr>
          <w:rFonts w:eastAsia="EC Square Sans Pro" w:cs="EC Square Sans Pro"/>
          <w:noProof/>
        </w:rPr>
        <w:t xml:space="preserve">. </w:t>
      </w:r>
      <w:r w:rsidR="778A27E6" w:rsidRPr="5ED0CC72">
        <w:rPr>
          <w:rFonts w:eastAsia="EC Square Sans Pro" w:cs="EC Square Sans Pro"/>
          <w:noProof/>
        </w:rPr>
        <w:t xml:space="preserve">The portfolio achieved an </w:t>
      </w:r>
      <w:r w:rsidR="31AFE464" w:rsidRPr="5ED0CC72">
        <w:rPr>
          <w:rFonts w:eastAsia="EC Square Sans Pro" w:cs="EC Square Sans Pro"/>
          <w:noProof/>
        </w:rPr>
        <w:t>absolute return</w:t>
      </w:r>
      <w:r w:rsidR="00060817" w:rsidRPr="00060817">
        <w:rPr>
          <w:rFonts w:eastAsia="EC Square Sans Pro" w:cs="Calibri"/>
          <w:noProof/>
        </w:rPr>
        <w:t> </w:t>
      </w:r>
      <w:r w:rsidR="00060817" w:rsidRPr="00060817">
        <w:rPr>
          <w:rFonts w:eastAsia="EC Square Sans Pro" w:cs="EC Square Sans Pro"/>
          <w:noProof/>
        </w:rPr>
        <w:t>(</w:t>
      </w:r>
      <w:r w:rsidR="00060817">
        <w:rPr>
          <w:rStyle w:val="FootnoteReference"/>
          <w:rFonts w:eastAsia="EC Square Sans Pro" w:cs="EC Square Sans Pro"/>
          <w:noProof/>
        </w:rPr>
        <w:footnoteReference w:id="6"/>
      </w:r>
      <w:r w:rsidR="00060817">
        <w:rPr>
          <w:rFonts w:eastAsia="EC Square Sans Pro" w:cs="EC Square Sans Pro"/>
          <w:noProof/>
        </w:rPr>
        <w:t>)</w:t>
      </w:r>
      <w:r w:rsidR="31AFE464" w:rsidRPr="5ED0CC72">
        <w:rPr>
          <w:rFonts w:eastAsia="EC Square Sans Pro" w:cs="EC Square Sans Pro"/>
          <w:noProof/>
        </w:rPr>
        <w:t xml:space="preserve"> of 3.57%</w:t>
      </w:r>
      <w:r w:rsidR="35F2E7B8" w:rsidRPr="5ED0CC72">
        <w:rPr>
          <w:rFonts w:eastAsia="EC Square Sans Pro" w:cs="EC Square Sans Pro"/>
          <w:noProof/>
        </w:rPr>
        <w:t xml:space="preserve">. </w:t>
      </w:r>
      <w:r w:rsidR="003F7023" w:rsidRPr="003F7023">
        <w:rPr>
          <w:rFonts w:eastAsia="EC Square Sans Pro" w:cs="EC Square Sans Pro"/>
          <w:noProof/>
        </w:rPr>
        <w:t xml:space="preserve">Combined with the 2023 result (+5.21%), this has </w:t>
      </w:r>
      <w:r w:rsidR="00517F8D">
        <w:rPr>
          <w:rFonts w:eastAsia="EC Square Sans Pro" w:cs="EC Square Sans Pro"/>
          <w:noProof/>
        </w:rPr>
        <w:t xml:space="preserve">almost fully </w:t>
      </w:r>
      <w:r w:rsidR="003F7023" w:rsidRPr="003F7023">
        <w:rPr>
          <w:rFonts w:eastAsia="EC Square Sans Pro" w:cs="EC Square Sans Pro"/>
          <w:noProof/>
        </w:rPr>
        <w:t>offset the losses incurred in 2022, a year marked by the steepest global bond sell-off seen in</w:t>
      </w:r>
      <w:r w:rsidR="00517F8D">
        <w:rPr>
          <w:rFonts w:eastAsia="EC Square Sans Pro" w:cs="EC Square Sans Pro"/>
          <w:noProof/>
        </w:rPr>
        <w:t xml:space="preserve"> half a century</w:t>
      </w:r>
      <w:r w:rsidR="003F7023" w:rsidRPr="003F7023">
        <w:rPr>
          <w:rFonts w:eastAsia="EC Square Sans Pro" w:cs="EC Square Sans Pro"/>
          <w:noProof/>
        </w:rPr>
        <w:t>.</w:t>
      </w:r>
      <w:r w:rsidR="74CDF640" w:rsidRPr="5ED0CC72">
        <w:rPr>
          <w:rFonts w:eastAsia="EC Square Sans Pro" w:cs="EC Square Sans Pro"/>
          <w:noProof/>
        </w:rPr>
        <w:t>.</w:t>
      </w:r>
      <w:r w:rsidR="31AFE464" w:rsidRPr="5ED0CC72">
        <w:rPr>
          <w:rFonts w:eastAsia="EC Square Sans Pro" w:cs="EC Square Sans Pro"/>
          <w:noProof/>
        </w:rPr>
        <w:t xml:space="preserve"> </w:t>
      </w:r>
      <w:r w:rsidR="00091154" w:rsidRPr="00091154">
        <w:rPr>
          <w:rFonts w:eastAsia="EC Square Sans Pro" w:cs="EC Square Sans Pro"/>
          <w:noProof/>
        </w:rPr>
        <w:t xml:space="preserve">The results have </w:t>
      </w:r>
      <w:r w:rsidR="00517F8D">
        <w:rPr>
          <w:rFonts w:eastAsia="EC Square Sans Pro" w:cs="EC Square Sans Pro"/>
          <w:noProof/>
        </w:rPr>
        <w:t xml:space="preserve">restored </w:t>
      </w:r>
      <w:r w:rsidR="00091154" w:rsidRPr="00091154">
        <w:rPr>
          <w:rFonts w:eastAsia="EC Square Sans Pro" w:cs="EC Square Sans Pro"/>
          <w:noProof/>
        </w:rPr>
        <w:t xml:space="preserve">the CPF’s  capacity </w:t>
      </w:r>
      <w:r w:rsidR="00517F8D">
        <w:rPr>
          <w:rFonts w:eastAsia="EC Square Sans Pro" w:cs="EC Square Sans Pro"/>
          <w:noProof/>
        </w:rPr>
        <w:t xml:space="preserve">to absorb losses over the lifetime of </w:t>
      </w:r>
      <w:r w:rsidR="00091154" w:rsidRPr="00091154">
        <w:rPr>
          <w:rFonts w:eastAsia="EC Square Sans Pro" w:cs="EC Square Sans Pro"/>
          <w:noProof/>
        </w:rPr>
        <w:t>the budgetary guarantee programmes</w:t>
      </w:r>
      <w:r w:rsidR="00091154">
        <w:rPr>
          <w:rFonts w:eastAsia="EC Square Sans Pro" w:cs="EC Square Sans Pro"/>
          <w:noProof/>
        </w:rPr>
        <w:t>.</w:t>
      </w:r>
      <w:r w:rsidR="31AFE464" w:rsidRPr="5ED0CC72">
        <w:rPr>
          <w:rFonts w:eastAsia="EC Square Sans Pro" w:cs="EC Square Sans Pro"/>
          <w:noProof/>
        </w:rPr>
        <w:t xml:space="preserve"> </w:t>
      </w:r>
      <w:r w:rsidR="039AAAE1" w:rsidRPr="5ED0CC72">
        <w:rPr>
          <w:rFonts w:eastAsia="EC Square Sans Pro" w:cs="EC Square Sans Pro"/>
          <w:noProof/>
        </w:rPr>
        <w:t xml:space="preserve">Looking ahead, the current elevated interest-rate environment provides a prudent basis for medium-term performance, subject to </w:t>
      </w:r>
      <w:r w:rsidR="00D5705C">
        <w:rPr>
          <w:rFonts w:eastAsia="EC Square Sans Pro" w:cs="EC Square Sans Pro"/>
          <w:noProof/>
        </w:rPr>
        <w:t xml:space="preserve">the </w:t>
      </w:r>
      <w:r w:rsidR="039AAAE1" w:rsidRPr="5ED0CC72">
        <w:rPr>
          <w:rFonts w:eastAsia="EC Square Sans Pro" w:cs="EC Square Sans Pro"/>
          <w:noProof/>
        </w:rPr>
        <w:t xml:space="preserve">heightened uncertainty linked to geopolitical developments that could </w:t>
      </w:r>
      <w:r w:rsidR="0B99ACB8" w:rsidRPr="5ED0CC72">
        <w:rPr>
          <w:rFonts w:eastAsia="EC Square Sans Pro" w:cs="EC Square Sans Pro"/>
          <w:noProof/>
        </w:rPr>
        <w:t xml:space="preserve">have a strong bearing on </w:t>
      </w:r>
      <w:r w:rsidR="039AAAE1" w:rsidRPr="5ED0CC72">
        <w:rPr>
          <w:rFonts w:eastAsia="EC Square Sans Pro" w:cs="EC Square Sans Pro"/>
          <w:noProof/>
        </w:rPr>
        <w:t>market conditions</w:t>
      </w:r>
      <w:r w:rsidR="002B0D85">
        <w:rPr>
          <w:rFonts w:eastAsia="EC Square Sans Pro" w:cs="EC Square Sans Pro"/>
          <w:noProof/>
        </w:rPr>
        <w:t>,</w:t>
      </w:r>
      <w:r w:rsidR="039AAAE1" w:rsidRPr="5ED0CC72">
        <w:rPr>
          <w:rFonts w:eastAsia="EC Square Sans Pro" w:cs="EC Square Sans Pro"/>
          <w:noProof/>
        </w:rPr>
        <w:t>.</w:t>
      </w:r>
    </w:p>
    <w:p w14:paraId="36564DAF" w14:textId="100EBE25" w:rsidR="00584AD0" w:rsidRDefault="002A32C9" w:rsidP="46DCAAA1">
      <w:pPr>
        <w:rPr>
          <w:noProof/>
        </w:rPr>
      </w:pPr>
      <w:r w:rsidRPr="00464451">
        <w:rPr>
          <w:noProof/>
        </w:rPr>
        <w:t>This report focuses on issues related to the management of CPF assets. The evolution of contingent liabilities arising from budgetary guarantees and EU lending, against which CPF assets are held as provisions, is discussed in a separate report under Article</w:t>
      </w:r>
      <w:r>
        <w:rPr>
          <w:rFonts w:ascii="Calibri" w:hAnsi="Calibri" w:cs="Calibri"/>
          <w:noProof/>
        </w:rPr>
        <w:t> </w:t>
      </w:r>
      <w:r w:rsidRPr="00464451">
        <w:rPr>
          <w:noProof/>
        </w:rPr>
        <w:t>256 of the Financial Regulation.</w:t>
      </w:r>
      <w:r w:rsidR="00584AD0" w:rsidRPr="46DCAAA1">
        <w:rPr>
          <w:noProof/>
        </w:rPr>
        <w:br w:type="page"/>
      </w:r>
    </w:p>
    <w:p w14:paraId="26187D1B" w14:textId="1523938E" w:rsidR="00584AD0" w:rsidRPr="00A34164" w:rsidRDefault="009D5B05" w:rsidP="00A34164">
      <w:pPr>
        <w:pStyle w:val="Heading1"/>
        <w:rPr>
          <w:noProof/>
        </w:rPr>
      </w:pPr>
      <w:bookmarkStart w:id="3" w:name="_Toc194300623"/>
      <w:r w:rsidRPr="46DCAAA1">
        <w:rPr>
          <w:noProof/>
        </w:rPr>
        <w:t xml:space="preserve">Part </w:t>
      </w:r>
      <w:r w:rsidR="00A34164" w:rsidRPr="46DCAAA1">
        <w:rPr>
          <w:noProof/>
        </w:rPr>
        <w:t>1</w:t>
      </w:r>
      <w:r w:rsidRPr="46DCAAA1">
        <w:rPr>
          <w:noProof/>
        </w:rPr>
        <w:t xml:space="preserve">: </w:t>
      </w:r>
      <w:r w:rsidR="00584AD0" w:rsidRPr="46DCAAA1">
        <w:rPr>
          <w:noProof/>
        </w:rPr>
        <w:t xml:space="preserve">Key </w:t>
      </w:r>
      <w:r w:rsidR="00F135BC" w:rsidRPr="46DCAAA1">
        <w:rPr>
          <w:noProof/>
        </w:rPr>
        <w:t>m</w:t>
      </w:r>
      <w:r w:rsidR="00584AD0" w:rsidRPr="46DCAAA1">
        <w:rPr>
          <w:noProof/>
        </w:rPr>
        <w:t>ilestones in 202</w:t>
      </w:r>
      <w:r w:rsidR="272BAD8F" w:rsidRPr="46DCAAA1">
        <w:rPr>
          <w:noProof/>
        </w:rPr>
        <w:t>4</w:t>
      </w:r>
      <w:bookmarkEnd w:id="3"/>
    </w:p>
    <w:p w14:paraId="5910C738" w14:textId="7F32C21F" w:rsidR="00F135BC" w:rsidRPr="00A34164" w:rsidRDefault="00A34164" w:rsidP="00A34164">
      <w:pPr>
        <w:pStyle w:val="Heading2"/>
      </w:pPr>
      <w:bookmarkStart w:id="4" w:name="_Toc194300624"/>
      <w:r w:rsidRPr="00A34164">
        <w:t>1.</w:t>
      </w:r>
      <w:r w:rsidR="00F135BC" w:rsidRPr="00A34164">
        <w:t>1. General overview</w:t>
      </w:r>
      <w:bookmarkEnd w:id="4"/>
    </w:p>
    <w:p w14:paraId="089C4894" w14:textId="77777777" w:rsidR="00DA6D2F" w:rsidRPr="00464451" w:rsidRDefault="00DA6D2F" w:rsidP="00DA6D2F">
      <w:pPr>
        <w:rPr>
          <w:noProof/>
        </w:rPr>
      </w:pPr>
      <w:r w:rsidRPr="00464451">
        <w:rPr>
          <w:noProof/>
        </w:rPr>
        <w:t xml:space="preserve">As in previous years, the fund was managed in line with </w:t>
      </w:r>
      <w:r>
        <w:rPr>
          <w:noProof/>
        </w:rPr>
        <w:t xml:space="preserve">the </w:t>
      </w:r>
      <w:r w:rsidRPr="00464451">
        <w:rPr>
          <w:noProof/>
        </w:rPr>
        <w:t>procedures under its established governance structure</w:t>
      </w:r>
      <w:r w:rsidRPr="00464451">
        <w:rPr>
          <w:rFonts w:ascii="Calibri" w:hAnsi="Calibri" w:cs="Calibri"/>
          <w:noProof/>
        </w:rPr>
        <w:t> </w:t>
      </w:r>
      <w:r w:rsidRPr="00464451">
        <w:rPr>
          <w:noProof/>
        </w:rPr>
        <w:t>(</w:t>
      </w:r>
      <w:r w:rsidRPr="00464451">
        <w:rPr>
          <w:rStyle w:val="FootnoteReference"/>
          <w:noProof/>
        </w:rPr>
        <w:footnoteReference w:id="7"/>
      </w:r>
      <w:r w:rsidRPr="00464451">
        <w:rPr>
          <w:noProof/>
        </w:rPr>
        <w:t>), and with</w:t>
      </w:r>
      <w:r>
        <w:rPr>
          <w:noProof/>
        </w:rPr>
        <w:t xml:space="preserve"> no</w:t>
      </w:r>
      <w:r w:rsidRPr="00464451">
        <w:rPr>
          <w:noProof/>
        </w:rPr>
        <w:t xml:space="preserve"> operational incidents.</w:t>
      </w:r>
    </w:p>
    <w:p w14:paraId="6E9917ED" w14:textId="77777777" w:rsidR="00DA6D2F" w:rsidRPr="00464451" w:rsidRDefault="00DA6D2F" w:rsidP="00DA6D2F">
      <w:pPr>
        <w:pStyle w:val="Text1"/>
        <w:ind w:left="0"/>
        <w:rPr>
          <w:noProof/>
        </w:rPr>
      </w:pPr>
      <w:r w:rsidRPr="00464451">
        <w:rPr>
          <w:noProof/>
        </w:rPr>
        <w:t>As at 31</w:t>
      </w:r>
      <w:r>
        <w:rPr>
          <w:rFonts w:ascii="Calibri" w:hAnsi="Calibri" w:cs="Calibri"/>
          <w:noProof/>
        </w:rPr>
        <w:t> </w:t>
      </w:r>
      <w:r w:rsidRPr="00464451">
        <w:rPr>
          <w:noProof/>
        </w:rPr>
        <w:t>December 2024, the value of net assets</w:t>
      </w:r>
      <w:r w:rsidRPr="00464451">
        <w:rPr>
          <w:rFonts w:ascii="Calibri" w:hAnsi="Calibri" w:cs="Calibri"/>
          <w:noProof/>
        </w:rPr>
        <w:t> </w:t>
      </w:r>
      <w:r w:rsidRPr="00464451">
        <w:rPr>
          <w:noProof/>
        </w:rPr>
        <w:t>(</w:t>
      </w:r>
      <w:r w:rsidRPr="00464451">
        <w:rPr>
          <w:rStyle w:val="FootnoteReference"/>
          <w:noProof/>
        </w:rPr>
        <w:footnoteReference w:id="8"/>
      </w:r>
      <w:r w:rsidRPr="00464451">
        <w:rPr>
          <w:noProof/>
        </w:rPr>
        <w:t>) was EUR</w:t>
      </w:r>
      <w:r>
        <w:rPr>
          <w:rFonts w:ascii="Calibri" w:hAnsi="Calibri" w:cs="Calibri"/>
          <w:noProof/>
        </w:rPr>
        <w:t> </w:t>
      </w:r>
      <w:r w:rsidRPr="00464451">
        <w:rPr>
          <w:noProof/>
        </w:rPr>
        <w:t>23.2 billion, representing an increase of EUR</w:t>
      </w:r>
      <w:r>
        <w:rPr>
          <w:rFonts w:ascii="Calibri" w:hAnsi="Calibri" w:cs="Calibri"/>
          <w:noProof/>
        </w:rPr>
        <w:t> </w:t>
      </w:r>
      <w:r w:rsidRPr="00464451">
        <w:rPr>
          <w:noProof/>
        </w:rPr>
        <w:t>4.5 billion on end-2023 (a 24% increase over the year). In 2024 the CPF received EUR</w:t>
      </w:r>
      <w:r>
        <w:rPr>
          <w:rFonts w:ascii="Calibri" w:hAnsi="Calibri" w:cs="Calibri"/>
          <w:noProof/>
        </w:rPr>
        <w:t> </w:t>
      </w:r>
      <w:r w:rsidRPr="00464451">
        <w:rPr>
          <w:noProof/>
        </w:rPr>
        <w:t xml:space="preserve">3.6 billion </w:t>
      </w:r>
      <w:r>
        <w:rPr>
          <w:noProof/>
        </w:rPr>
        <w:t>in</w:t>
      </w:r>
      <w:r w:rsidRPr="00464451">
        <w:rPr>
          <w:noProof/>
        </w:rPr>
        <w:t xml:space="preserve"> net contributions from the EU budget </w:t>
      </w:r>
      <w:r w:rsidRPr="00464451">
        <w:rPr>
          <w:rFonts w:eastAsia="EC Square Sans Pro" w:cs="EC Square Sans Pro"/>
          <w:noProof/>
        </w:rPr>
        <w:t xml:space="preserve">or </w:t>
      </w:r>
      <w:r>
        <w:rPr>
          <w:rFonts w:eastAsia="EC Square Sans Pro" w:cs="EC Square Sans Pro"/>
          <w:noProof/>
        </w:rPr>
        <w:t xml:space="preserve">contributions from </w:t>
      </w:r>
      <w:r w:rsidRPr="00464451">
        <w:rPr>
          <w:rFonts w:eastAsia="EC Square Sans Pro" w:cs="EC Square Sans Pro"/>
          <w:noProof/>
        </w:rPr>
        <w:t>participating Member States and EFTA countries</w:t>
      </w:r>
      <w:r w:rsidRPr="00464451">
        <w:rPr>
          <w:noProof/>
        </w:rPr>
        <w:t>. The remainder of the increase in portfolio value (EUR</w:t>
      </w:r>
      <w:r>
        <w:rPr>
          <w:rFonts w:ascii="Calibri" w:hAnsi="Calibri" w:cs="Calibri"/>
          <w:noProof/>
        </w:rPr>
        <w:t> </w:t>
      </w:r>
      <w:r w:rsidRPr="00464451">
        <w:rPr>
          <w:noProof/>
        </w:rPr>
        <w:t>840 million) results from the increased market value of existing assets.</w:t>
      </w:r>
    </w:p>
    <w:sdt>
      <w:sdtPr>
        <w:rPr>
          <w:b w:val="0"/>
          <w:i/>
          <w:iCs w:val="0"/>
          <w:noProof/>
          <w:color w:val="auto"/>
          <w:sz w:val="20"/>
          <w:szCs w:val="20"/>
        </w:rPr>
        <w:alias w:val="Picture"/>
        <w:tag w:val="Yevoz0GxKA7SLcZiEquUa5"/>
        <w:id w:val="1057662255"/>
        <w:placeholder>
          <w:docPart w:val="BEB4DC98972D4373BC68DF0783B4DF7E"/>
        </w:placeholder>
      </w:sdtPr>
      <w:sdtEndPr>
        <w:rPr>
          <w:i w:val="0"/>
          <w:sz w:val="24"/>
          <w:szCs w:val="24"/>
        </w:rPr>
      </w:sdtEndPr>
      <w:sdtContent>
        <w:p w14:paraId="76D8FEA9" w14:textId="723CCC6C" w:rsidR="00A41318" w:rsidRDefault="00A41318" w:rsidP="00EF12DA">
          <w:pPr>
            <w:pStyle w:val="FigureTitle1"/>
            <w:rPr>
              <w:noProof/>
            </w:rPr>
          </w:pPr>
          <w:r w:rsidRPr="00EF12DA">
            <w:rPr>
              <w:noProof/>
            </w:rPr>
            <w:t xml:space="preserve">Figure </w:t>
          </w:r>
          <w:r w:rsidR="00930C2A">
            <w:rPr>
              <w:noProof/>
            </w:rPr>
            <w:fldChar w:fldCharType="begin"/>
          </w:r>
          <w:r w:rsidR="00930C2A">
            <w:rPr>
              <w:noProof/>
            </w:rPr>
            <w:instrText xml:space="preserve"> SEQ Figure \* ARABIC </w:instrText>
          </w:r>
          <w:r w:rsidR="00930C2A">
            <w:rPr>
              <w:noProof/>
            </w:rPr>
            <w:fldChar w:fldCharType="separate"/>
          </w:r>
          <w:r w:rsidR="006406CC" w:rsidRPr="00EF12DA">
            <w:rPr>
              <w:noProof/>
            </w:rPr>
            <w:t>1</w:t>
          </w:r>
          <w:r w:rsidR="00930C2A">
            <w:rPr>
              <w:noProof/>
            </w:rPr>
            <w:fldChar w:fldCharType="end"/>
          </w:r>
          <w:r w:rsidRPr="00EF12DA">
            <w:rPr>
              <w:noProof/>
            </w:rPr>
            <w:t>:</w:t>
          </w:r>
          <w:r w:rsidRPr="00EF12DA">
            <w:rPr>
              <w:rFonts w:ascii="Calibri" w:hAnsi="Calibri" w:cs="Calibri"/>
              <w:noProof/>
            </w:rPr>
            <w:t> </w:t>
          </w:r>
          <w:r w:rsidRPr="00EF12DA">
            <w:rPr>
              <w:noProof/>
            </w:rPr>
            <w:t xml:space="preserve">Evolution of </w:t>
          </w:r>
          <w:r w:rsidR="00DA6D2F">
            <w:rPr>
              <w:noProof/>
            </w:rPr>
            <w:t xml:space="preserve">the </w:t>
          </w:r>
          <w:r w:rsidRPr="00EF12DA">
            <w:rPr>
              <w:noProof/>
            </w:rPr>
            <w:t>CPF’s net asset value</w:t>
          </w:r>
          <w:r w:rsidR="00AD032D" w:rsidRPr="00EF12DA">
            <w:rPr>
              <w:noProof/>
            </w:rPr>
            <w:t xml:space="preserve"> (EUR billion)</w:t>
          </w:r>
        </w:p>
        <w:p w14:paraId="5D1EF03A" w14:textId="511CE2F2" w:rsidR="00210FA9" w:rsidRDefault="00534A9C" w:rsidP="46DCAAA1">
          <w:pPr>
            <w:pStyle w:val="Text1"/>
            <w:ind w:left="0"/>
            <w:rPr>
              <w:noProof/>
            </w:rPr>
          </w:pPr>
          <w:r w:rsidRPr="00534A9C">
            <w:rPr>
              <w:noProof/>
            </w:rPr>
            <w:t xml:space="preserve"> </w:t>
          </w:r>
        </w:p>
        <w:p w14:paraId="08F6B5C0" w14:textId="5A722BAC" w:rsidR="00BE1BDB" w:rsidRPr="00210FA9" w:rsidRDefault="00BE1BDB" w:rsidP="46DCAAA1">
          <w:pPr>
            <w:pStyle w:val="Text1"/>
            <w:ind w:left="0"/>
            <w:rPr>
              <w:noProof/>
            </w:rPr>
          </w:pPr>
          <w:r w:rsidRPr="00BE1BDB">
            <w:rPr>
              <w:noProof/>
              <w:lang w:eastAsia="en-GB"/>
            </w:rPr>
            <w:drawing>
              <wp:inline distT="0" distB="0" distL="0" distR="0" wp14:anchorId="690255BA" wp14:editId="0D4CC6FC">
                <wp:extent cx="5760720" cy="3456305"/>
                <wp:effectExtent l="0" t="0" r="0" b="0"/>
                <wp:docPr id="276854783" name="Picture 4">
                  <a:extLst xmlns:a="http://schemas.openxmlformats.org/drawingml/2006/main">
                    <a:ext uri="{FF2B5EF4-FFF2-40B4-BE49-F238E27FC236}">
                      <a16:creationId xmlns:a16="http://schemas.microsoft.com/office/drawing/2014/main" id="{CE2BB37B-2750-19AA-9784-9D11521C49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E2BB37B-2750-19AA-9784-9D11521C49D4}"/>
                            </a:ext>
                          </a:extLst>
                        </pic:cNvPr>
                        <pic:cNvPicPr>
                          <a:picLocks noChangeAspect="1"/>
                        </pic:cNvPicPr>
                      </pic:nvPicPr>
                      <pic:blipFill>
                        <a:blip r:embed="rId18"/>
                        <a:stretch>
                          <a:fillRect/>
                        </a:stretch>
                      </pic:blipFill>
                      <pic:spPr>
                        <a:xfrm>
                          <a:off x="0" y="0"/>
                          <a:ext cx="5760720" cy="3456305"/>
                        </a:xfrm>
                        <a:prstGeom prst="rect">
                          <a:avLst/>
                        </a:prstGeom>
                      </pic:spPr>
                    </pic:pic>
                  </a:graphicData>
                </a:graphic>
              </wp:inline>
            </w:drawing>
          </w:r>
        </w:p>
      </w:sdtContent>
    </w:sdt>
    <w:p w14:paraId="41CC6F34" w14:textId="4CF85815" w:rsidR="004715AC" w:rsidRPr="007B21CA" w:rsidRDefault="004715AC" w:rsidP="46DCAAA1">
      <w:pPr>
        <w:rPr>
          <w:noProof/>
        </w:rPr>
      </w:pPr>
      <w:r w:rsidRPr="46DCAAA1">
        <w:rPr>
          <w:noProof/>
        </w:rPr>
        <w:t>More information on the financial statements is available in the staff working document accompanying this report.</w:t>
      </w:r>
    </w:p>
    <w:p w14:paraId="48E0B2BB" w14:textId="77777777" w:rsidR="00764EF7" w:rsidRDefault="00764EF7" w:rsidP="46DCAAA1">
      <w:pPr>
        <w:spacing w:after="0"/>
        <w:jc w:val="left"/>
        <w:rPr>
          <w:b/>
          <w:bCs/>
          <w:noProof/>
          <w:color w:val="0070C0"/>
          <w:sz w:val="28"/>
          <w:szCs w:val="28"/>
        </w:rPr>
      </w:pPr>
      <w:r>
        <w:rPr>
          <w:noProof/>
        </w:rPr>
        <w:br w:type="page"/>
      </w:r>
    </w:p>
    <w:p w14:paraId="63A95833" w14:textId="4BBA65D0" w:rsidR="00A41318" w:rsidRPr="00C300C0" w:rsidRDefault="00D67AF1" w:rsidP="00A34164">
      <w:pPr>
        <w:pStyle w:val="Heading2"/>
      </w:pPr>
      <w:bookmarkStart w:id="5" w:name="_Toc194300625"/>
      <w:r>
        <w:t>1</w:t>
      </w:r>
      <w:r w:rsidR="00F135BC">
        <w:t xml:space="preserve">.2. </w:t>
      </w:r>
      <w:r w:rsidR="00A41318" w:rsidRPr="00C300C0">
        <w:t>Compartment structure</w:t>
      </w:r>
      <w:bookmarkEnd w:id="5"/>
    </w:p>
    <w:p w14:paraId="6319B6BE" w14:textId="6A408170" w:rsidR="00A41318" w:rsidRDefault="1E5978E1" w:rsidP="00A41318">
      <w:pPr>
        <w:rPr>
          <w:noProof/>
        </w:rPr>
      </w:pPr>
      <w:r w:rsidRPr="5ED0CC72">
        <w:rPr>
          <w:noProof/>
        </w:rPr>
        <w:t xml:space="preserve">While the assets of the CPF are managed in accordance with a </w:t>
      </w:r>
      <w:r w:rsidR="006A7370">
        <w:rPr>
          <w:noProof/>
        </w:rPr>
        <w:t>common</w:t>
      </w:r>
      <w:r w:rsidRPr="5ED0CC72">
        <w:rPr>
          <w:noProof/>
        </w:rPr>
        <w:t xml:space="preserve"> investment policy, the</w:t>
      </w:r>
      <w:r w:rsidR="756DD3D3" w:rsidRPr="5ED0CC72">
        <w:rPr>
          <w:noProof/>
        </w:rPr>
        <w:t>y</w:t>
      </w:r>
      <w:r w:rsidRPr="5ED0CC72">
        <w:rPr>
          <w:noProof/>
        </w:rPr>
        <w:t xml:space="preserve"> are held in different compartments linked to the individual budgetary guarantees and financial assistance programmes</w:t>
      </w:r>
      <w:r w:rsidR="00535118">
        <w:rPr>
          <w:noProof/>
        </w:rPr>
        <w:t xml:space="preserve"> </w:t>
      </w:r>
      <w:r w:rsidR="00517F8D">
        <w:rPr>
          <w:noProof/>
        </w:rPr>
        <w:t xml:space="preserve">or to the individual </w:t>
      </w:r>
      <w:r w:rsidR="0010498C">
        <w:rPr>
          <w:noProof/>
        </w:rPr>
        <w:t>Member State compartments for InvestEU</w:t>
      </w:r>
      <w:r w:rsidRPr="5ED0CC72">
        <w:rPr>
          <w:noProof/>
        </w:rPr>
        <w:t>.</w:t>
      </w:r>
    </w:p>
    <w:p w14:paraId="6C84797A" w14:textId="28894B29" w:rsidR="00A41318" w:rsidRPr="008B332F" w:rsidRDefault="00A41318" w:rsidP="00A41318">
      <w:pPr>
        <w:rPr>
          <w:noProof/>
        </w:rPr>
      </w:pPr>
      <w:r>
        <w:rPr>
          <w:noProof/>
        </w:rPr>
        <w:t>The provisioning held by the CPF is earmarked per</w:t>
      </w:r>
      <w:r w:rsidRPr="008B332F">
        <w:rPr>
          <w:noProof/>
        </w:rPr>
        <w:t xml:space="preserve"> budgetary guarantee/financial assistance programme</w:t>
      </w:r>
      <w:r w:rsidR="00517F8D">
        <w:rPr>
          <w:noProof/>
        </w:rPr>
        <w:t xml:space="preserve"> (or for the Member States that contribute the provisioning for their InvestEU compartment)</w:t>
      </w:r>
      <w:r w:rsidR="002B0D85">
        <w:rPr>
          <w:noProof/>
        </w:rPr>
        <w:t xml:space="preserve"> </w:t>
      </w:r>
      <w:r>
        <w:rPr>
          <w:noProof/>
        </w:rPr>
        <w:t xml:space="preserve">in line with </w:t>
      </w:r>
      <w:r w:rsidRPr="008B332F">
        <w:rPr>
          <w:noProof/>
        </w:rPr>
        <w:t>their respective legal framework</w:t>
      </w:r>
      <w:r w:rsidR="00503C9C">
        <w:rPr>
          <w:noProof/>
        </w:rPr>
        <w:t>s</w:t>
      </w:r>
      <w:r w:rsidR="006B013B" w:rsidRPr="006B013B">
        <w:rPr>
          <w:rFonts w:cs="Calibri"/>
          <w:noProof/>
        </w:rPr>
        <w:t> </w:t>
      </w:r>
      <w:r w:rsidR="006B013B" w:rsidRPr="006B013B">
        <w:rPr>
          <w:noProof/>
        </w:rPr>
        <w:t>(</w:t>
      </w:r>
      <w:r w:rsidRPr="4E09AB01">
        <w:rPr>
          <w:rStyle w:val="FootnoteReference"/>
          <w:noProof/>
        </w:rPr>
        <w:footnoteReference w:id="9"/>
      </w:r>
      <w:r w:rsidR="006B013B">
        <w:rPr>
          <w:noProof/>
        </w:rPr>
        <w:t>)</w:t>
      </w:r>
      <w:r w:rsidRPr="008B332F">
        <w:rPr>
          <w:noProof/>
        </w:rPr>
        <w:t xml:space="preserve">. The amounts assigned to each </w:t>
      </w:r>
      <w:r w:rsidR="00D15D22">
        <w:rPr>
          <w:noProof/>
        </w:rPr>
        <w:t xml:space="preserve">budgetary </w:t>
      </w:r>
      <w:r w:rsidRPr="008B332F">
        <w:rPr>
          <w:noProof/>
        </w:rPr>
        <w:t xml:space="preserve">guarantee are booked in distinct compartments to allow provisoning levels to be tracked relative to the levels set by the </w:t>
      </w:r>
      <w:r w:rsidR="00E06198">
        <w:rPr>
          <w:noProof/>
        </w:rPr>
        <w:t>legal basis</w:t>
      </w:r>
      <w:r w:rsidR="00E06198" w:rsidRPr="008B332F">
        <w:rPr>
          <w:noProof/>
        </w:rPr>
        <w:t xml:space="preserve"> </w:t>
      </w:r>
      <w:r w:rsidRPr="008B332F">
        <w:rPr>
          <w:noProof/>
        </w:rPr>
        <w:t xml:space="preserve">establishing the guarantee. </w:t>
      </w:r>
      <w:r>
        <w:rPr>
          <w:noProof/>
        </w:rPr>
        <w:t>If</w:t>
      </w:r>
      <w:r w:rsidRPr="008B332F">
        <w:rPr>
          <w:noProof/>
        </w:rPr>
        <w:t xml:space="preserve"> provisions fall below certain levels, r</w:t>
      </w:r>
      <w:r>
        <w:rPr>
          <w:noProof/>
        </w:rPr>
        <w:t xml:space="preserve">eplenishments can be funded from the envelopes of the respective programmes. </w:t>
      </w:r>
    </w:p>
    <w:p w14:paraId="31353116" w14:textId="56FC95E6" w:rsidR="00A41318" w:rsidRDefault="750D207C" w:rsidP="00A41318">
      <w:pPr>
        <w:rPr>
          <w:noProof/>
        </w:rPr>
      </w:pPr>
      <w:r w:rsidRPr="37DB89B0">
        <w:rPr>
          <w:noProof/>
          <w:lang w:val="en-IE"/>
        </w:rPr>
        <w:t>I</w:t>
      </w:r>
      <w:r w:rsidR="0502120B" w:rsidRPr="37DB89B0">
        <w:rPr>
          <w:noProof/>
          <w:lang w:val="en-IE"/>
        </w:rPr>
        <w:t xml:space="preserve">n </w:t>
      </w:r>
      <w:r w:rsidR="4BFE5A5A" w:rsidRPr="37DB89B0">
        <w:rPr>
          <w:noProof/>
          <w:lang w:val="en-IE"/>
        </w:rPr>
        <w:t>2024</w:t>
      </w:r>
      <w:r w:rsidR="06FBED18" w:rsidRPr="37DB89B0">
        <w:rPr>
          <w:noProof/>
          <w:lang w:val="en-IE"/>
        </w:rPr>
        <w:t>,</w:t>
      </w:r>
      <w:r w:rsidR="4E54E44D" w:rsidRPr="37DB89B0">
        <w:rPr>
          <w:noProof/>
          <w:lang w:val="en-IE"/>
        </w:rPr>
        <w:t xml:space="preserve"> </w:t>
      </w:r>
      <w:r w:rsidR="4BFE5A5A" w:rsidRPr="37DB89B0">
        <w:rPr>
          <w:noProof/>
          <w:lang w:val="en-IE"/>
        </w:rPr>
        <w:t xml:space="preserve">one </w:t>
      </w:r>
      <w:r w:rsidR="0502120B" w:rsidRPr="37DB89B0">
        <w:rPr>
          <w:noProof/>
          <w:lang w:val="en-IE"/>
        </w:rPr>
        <w:t xml:space="preserve">new InvestEU </w:t>
      </w:r>
      <w:r w:rsidR="11758126" w:rsidRPr="37DB89B0">
        <w:rPr>
          <w:noProof/>
          <w:lang w:val="en-IE"/>
        </w:rPr>
        <w:t xml:space="preserve">Member State </w:t>
      </w:r>
      <w:r w:rsidR="0502120B" w:rsidRPr="37DB89B0">
        <w:rPr>
          <w:noProof/>
          <w:lang w:val="en-IE"/>
        </w:rPr>
        <w:t xml:space="preserve">compartment </w:t>
      </w:r>
      <w:r w:rsidR="47A15B01" w:rsidRPr="37DB89B0">
        <w:rPr>
          <w:noProof/>
          <w:lang w:val="en-IE"/>
        </w:rPr>
        <w:t>(</w:t>
      </w:r>
      <w:r w:rsidR="00A41318" w:rsidRPr="37DB89B0">
        <w:rPr>
          <w:rStyle w:val="FootnoteReference"/>
          <w:noProof/>
          <w:lang w:val="en-IE"/>
        </w:rPr>
        <w:footnoteReference w:id="10"/>
      </w:r>
      <w:r w:rsidR="47A15B01" w:rsidRPr="37DB89B0">
        <w:rPr>
          <w:noProof/>
          <w:lang w:val="en-IE"/>
        </w:rPr>
        <w:t>)</w:t>
      </w:r>
      <w:r w:rsidR="39721096" w:rsidRPr="37DB89B0">
        <w:rPr>
          <w:noProof/>
          <w:lang w:val="en-IE"/>
        </w:rPr>
        <w:t xml:space="preserve"> and one compartment for the Ukraine Facility Guarantee</w:t>
      </w:r>
      <w:r w:rsidR="77E55C81" w:rsidRPr="37DB89B0">
        <w:rPr>
          <w:rFonts w:cs="Calibri"/>
          <w:noProof/>
          <w:lang w:val="en-IE"/>
        </w:rPr>
        <w:t> </w:t>
      </w:r>
      <w:r w:rsidR="77E55C81" w:rsidRPr="37DB89B0">
        <w:rPr>
          <w:noProof/>
          <w:lang w:val="en-IE"/>
        </w:rPr>
        <w:t>(</w:t>
      </w:r>
      <w:r w:rsidR="00376FD7">
        <w:rPr>
          <w:rStyle w:val="FootnoteReference"/>
          <w:noProof/>
          <w:lang w:val="en-IE"/>
        </w:rPr>
        <w:footnoteReference w:id="11"/>
      </w:r>
      <w:r w:rsidR="77E55C81" w:rsidRPr="37DB89B0">
        <w:rPr>
          <w:noProof/>
          <w:lang w:val="en-IE"/>
        </w:rPr>
        <w:t>)</w:t>
      </w:r>
      <w:r w:rsidR="00EE064D">
        <w:rPr>
          <w:noProof/>
          <w:lang w:val="en-IE"/>
        </w:rPr>
        <w:t xml:space="preserve"> were</w:t>
      </w:r>
      <w:r w:rsidR="00EE064D" w:rsidRPr="37DB89B0">
        <w:rPr>
          <w:noProof/>
          <w:lang w:val="en-IE"/>
        </w:rPr>
        <w:t xml:space="preserve"> added</w:t>
      </w:r>
      <w:r w:rsidR="0502120B" w:rsidRPr="37DB89B0">
        <w:rPr>
          <w:noProof/>
          <w:lang w:val="en-IE"/>
        </w:rPr>
        <w:t>.</w:t>
      </w:r>
      <w:r w:rsidR="0502120B" w:rsidRPr="4E09AB01">
        <w:rPr>
          <w:noProof/>
        </w:rPr>
        <w:t xml:space="preserve"> </w:t>
      </w:r>
    </w:p>
    <w:p w14:paraId="242F1CB9" w14:textId="77777777" w:rsidR="00FF29DE" w:rsidRPr="00464451" w:rsidRDefault="00FF29DE" w:rsidP="00FF29DE">
      <w:pPr>
        <w:rPr>
          <w:noProof/>
        </w:rPr>
      </w:pPr>
      <w:r w:rsidRPr="00464451">
        <w:rPr>
          <w:noProof/>
        </w:rPr>
        <w:t>On 31</w:t>
      </w:r>
      <w:r>
        <w:rPr>
          <w:rFonts w:ascii="Calibri" w:hAnsi="Calibri" w:cs="Calibri"/>
          <w:noProof/>
        </w:rPr>
        <w:t> </w:t>
      </w:r>
      <w:r w:rsidRPr="00464451">
        <w:rPr>
          <w:noProof/>
        </w:rPr>
        <w:t>December 2024 the CPF was composed of 18 compartments, with 15 of them being fully operational and containing funds. The remaining compartments will be activated on rece</w:t>
      </w:r>
      <w:r>
        <w:rPr>
          <w:noProof/>
        </w:rPr>
        <w:t>ipt</w:t>
      </w:r>
      <w:r w:rsidRPr="00464451">
        <w:rPr>
          <w:noProof/>
        </w:rPr>
        <w:t xml:space="preserve"> of the corresponding first inflows.</w:t>
      </w:r>
    </w:p>
    <w:p w14:paraId="7713B912" w14:textId="77777777" w:rsidR="0049647D" w:rsidRDefault="0049647D" w:rsidP="46DCAAA1">
      <w:pPr>
        <w:spacing w:after="0"/>
        <w:jc w:val="left"/>
        <w:rPr>
          <w:b/>
          <w:bCs/>
          <w:noProof/>
          <w:color w:val="004494"/>
        </w:rPr>
      </w:pPr>
      <w:r w:rsidRPr="46DCAAA1">
        <w:rPr>
          <w:noProof/>
        </w:rPr>
        <w:br w:type="page"/>
      </w:r>
    </w:p>
    <w:p w14:paraId="5C82A9A8" w14:textId="6DBE69C3" w:rsidR="00A41318" w:rsidRDefault="00A41318" w:rsidP="00A25890">
      <w:pPr>
        <w:pStyle w:val="TableTitle1"/>
        <w:rPr>
          <w:noProof/>
        </w:rPr>
      </w:pPr>
      <w:r w:rsidRPr="46DCAAA1">
        <w:rPr>
          <w:noProof/>
        </w:rPr>
        <w:t xml:space="preserve">Table </w:t>
      </w:r>
      <w:r w:rsidRPr="46DCAAA1">
        <w:rPr>
          <w:noProof/>
        </w:rPr>
        <w:fldChar w:fldCharType="begin"/>
      </w:r>
      <w:r w:rsidRPr="46DCAAA1">
        <w:rPr>
          <w:noProof/>
        </w:rPr>
        <w:instrText xml:space="preserve"> SEQ Table \* ARABIC </w:instrText>
      </w:r>
      <w:r w:rsidRPr="46DCAAA1">
        <w:rPr>
          <w:noProof/>
        </w:rPr>
        <w:fldChar w:fldCharType="separate"/>
      </w:r>
      <w:r w:rsidR="006406CC" w:rsidRPr="46DCAAA1">
        <w:rPr>
          <w:noProof/>
        </w:rPr>
        <w:t>1</w:t>
      </w:r>
      <w:r w:rsidRPr="46DCAAA1">
        <w:rPr>
          <w:noProof/>
        </w:rPr>
        <w:fldChar w:fldCharType="end"/>
      </w:r>
      <w:r w:rsidRPr="46DCAAA1">
        <w:rPr>
          <w:noProof/>
        </w:rPr>
        <w:t xml:space="preserve">: </w:t>
      </w:r>
      <w:r>
        <w:rPr>
          <w:noProof/>
        </w:rPr>
        <w:t>CPF</w:t>
      </w:r>
      <w:r w:rsidRPr="46DCAAA1">
        <w:rPr>
          <w:noProof/>
        </w:rPr>
        <w:t xml:space="preserve"> compartments as at 31.12.</w:t>
      </w:r>
      <w:r w:rsidR="00D60C0F" w:rsidRPr="46DCAAA1">
        <w:rPr>
          <w:noProof/>
        </w:rPr>
        <w:t>2024</w:t>
      </w:r>
    </w:p>
    <w:tbl>
      <w:tblPr>
        <w:tblStyle w:val="EurolookClassicBlue1"/>
        <w:tblW w:w="5000" w:type="pct"/>
        <w:tblInd w:w="0" w:type="dxa"/>
        <w:tblLook w:val="0460" w:firstRow="1" w:lastRow="1" w:firstColumn="0" w:lastColumn="0" w:noHBand="0" w:noVBand="1"/>
      </w:tblPr>
      <w:tblGrid>
        <w:gridCol w:w="4245"/>
        <w:gridCol w:w="4811"/>
      </w:tblGrid>
      <w:tr w:rsidR="00FF29DE" w:rsidRPr="00464451" w14:paraId="312DFFB0" w14:textId="77777777" w:rsidTr="00B56AFD">
        <w:trPr>
          <w:cnfStyle w:val="100000000000" w:firstRow="1" w:lastRow="0" w:firstColumn="0" w:lastColumn="0" w:oddVBand="0" w:evenVBand="0" w:oddHBand="0" w:evenHBand="0" w:firstRowFirstColumn="0" w:firstRowLastColumn="0" w:lastRowFirstColumn="0" w:lastRowLastColumn="0"/>
          <w:cantSplit/>
          <w:trHeight w:val="300"/>
          <w:tblHeader/>
        </w:trPr>
        <w:tc>
          <w:tcPr>
            <w:tcW w:w="2344" w:type="pct"/>
          </w:tcPr>
          <w:p w14:paraId="59690875" w14:textId="77777777" w:rsidR="00FF29DE" w:rsidRPr="00464451" w:rsidRDefault="00FF29DE" w:rsidP="00B56AFD">
            <w:pPr>
              <w:pStyle w:val="TableText"/>
              <w:rPr>
                <w:b/>
                <w:bCs/>
                <w:noProof/>
              </w:rPr>
            </w:pPr>
            <w:r w:rsidRPr="00464451">
              <w:rPr>
                <w:b/>
                <w:bCs/>
                <w:noProof/>
              </w:rPr>
              <w:t>Compartment</w:t>
            </w:r>
          </w:p>
        </w:tc>
        <w:tc>
          <w:tcPr>
            <w:tcW w:w="2656" w:type="pct"/>
            <w:vAlign w:val="center"/>
          </w:tcPr>
          <w:p w14:paraId="2D765F2D" w14:textId="77777777" w:rsidR="00FF29DE" w:rsidRPr="00464451" w:rsidRDefault="00FF29DE" w:rsidP="00B56AFD">
            <w:pPr>
              <w:pStyle w:val="TableText"/>
              <w:jc w:val="center"/>
              <w:rPr>
                <w:b/>
                <w:bCs/>
                <w:noProof/>
              </w:rPr>
            </w:pPr>
            <w:r w:rsidRPr="00464451">
              <w:rPr>
                <w:b/>
                <w:bCs/>
                <w:noProof/>
              </w:rPr>
              <w:t>Market value in EUR as at 31.12.2024</w:t>
            </w:r>
          </w:p>
        </w:tc>
      </w:tr>
      <w:tr w:rsidR="00FF29DE" w:rsidRPr="00464451" w14:paraId="3F7A491F" w14:textId="77777777" w:rsidTr="00B56AFD">
        <w:trPr>
          <w:cantSplit/>
          <w:trHeight w:val="300"/>
        </w:trPr>
        <w:tc>
          <w:tcPr>
            <w:tcW w:w="2344" w:type="pct"/>
          </w:tcPr>
          <w:p w14:paraId="4CB6E192" w14:textId="77777777" w:rsidR="00FF29DE" w:rsidRPr="00464451" w:rsidRDefault="00FF29DE" w:rsidP="00B56AFD">
            <w:pPr>
              <w:pStyle w:val="Bold"/>
            </w:pPr>
            <w:r w:rsidRPr="00464451">
              <w:t>Compartments opened in 2021</w:t>
            </w:r>
          </w:p>
        </w:tc>
        <w:tc>
          <w:tcPr>
            <w:tcW w:w="2656" w:type="pct"/>
            <w:vAlign w:val="center"/>
          </w:tcPr>
          <w:p w14:paraId="1EF887B1" w14:textId="77777777" w:rsidR="00FF29DE" w:rsidRPr="00464451" w:rsidRDefault="00FF29DE" w:rsidP="00B56AFD">
            <w:pPr>
              <w:pStyle w:val="TableText"/>
              <w:jc w:val="center"/>
              <w:rPr>
                <w:noProof/>
                <w:sz w:val="22"/>
                <w:szCs w:val="22"/>
              </w:rPr>
            </w:pPr>
          </w:p>
        </w:tc>
      </w:tr>
      <w:tr w:rsidR="00FF29DE" w:rsidRPr="00464451" w14:paraId="5C9B373F"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51541077"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EFSI</w:t>
            </w:r>
          </w:p>
        </w:tc>
        <w:tc>
          <w:tcPr>
            <w:tcW w:w="2656" w:type="pct"/>
            <w:vAlign w:val="center"/>
          </w:tcPr>
          <w:p w14:paraId="210875C8"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8</w:t>
            </w:r>
            <w:r>
              <w:rPr>
                <w:rFonts w:ascii="Calibri" w:hAnsi="Calibri" w:cs="Calibri"/>
                <w:noProof/>
                <w:color w:val="000000" w:themeColor="text1"/>
                <w:sz w:val="22"/>
                <w:szCs w:val="22"/>
              </w:rPr>
              <w:t> </w:t>
            </w:r>
            <w:r w:rsidRPr="00464451">
              <w:rPr>
                <w:noProof/>
                <w:color w:val="000000" w:themeColor="text1"/>
                <w:sz w:val="22"/>
                <w:szCs w:val="22"/>
              </w:rPr>
              <w:t>880 303</w:t>
            </w:r>
            <w:r>
              <w:rPr>
                <w:rFonts w:ascii="Calibri" w:hAnsi="Calibri" w:cs="Calibri"/>
                <w:noProof/>
                <w:color w:val="000000" w:themeColor="text1"/>
                <w:sz w:val="22"/>
                <w:szCs w:val="22"/>
              </w:rPr>
              <w:t> </w:t>
            </w:r>
            <w:r w:rsidRPr="00464451">
              <w:rPr>
                <w:noProof/>
                <w:color w:val="000000" w:themeColor="text1"/>
                <w:sz w:val="22"/>
                <w:szCs w:val="22"/>
              </w:rPr>
              <w:t>795.93</w:t>
            </w:r>
          </w:p>
        </w:tc>
      </w:tr>
      <w:tr w:rsidR="00FF29DE" w:rsidRPr="00464451" w14:paraId="68BBF8A3" w14:textId="77777777" w:rsidTr="00B56AFD">
        <w:trPr>
          <w:cantSplit/>
          <w:trHeight w:val="300"/>
        </w:trPr>
        <w:tc>
          <w:tcPr>
            <w:tcW w:w="2344" w:type="pct"/>
          </w:tcPr>
          <w:p w14:paraId="49A35190"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GFEA</w:t>
            </w:r>
            <w:r w:rsidRPr="00464451">
              <w:rPr>
                <w:rFonts w:ascii="Calibri" w:hAnsi="Calibri" w:cs="Calibri"/>
                <w:noProof/>
                <w:color w:val="004494" w:themeColor="text2"/>
                <w:sz w:val="22"/>
                <w:szCs w:val="22"/>
              </w:rPr>
              <w:t> </w:t>
            </w:r>
            <w:r w:rsidRPr="00464451">
              <w:rPr>
                <w:noProof/>
                <w:color w:val="004494" w:themeColor="text2"/>
                <w:sz w:val="22"/>
                <w:szCs w:val="22"/>
              </w:rPr>
              <w:t>(</w:t>
            </w:r>
            <w:r w:rsidRPr="00464451">
              <w:rPr>
                <w:rStyle w:val="FootnoteReference"/>
                <w:noProof/>
                <w:color w:val="004494" w:themeColor="text2"/>
                <w:sz w:val="22"/>
                <w:szCs w:val="22"/>
              </w:rPr>
              <w:footnoteReference w:id="12"/>
            </w:r>
            <w:r w:rsidRPr="00464451">
              <w:rPr>
                <w:noProof/>
                <w:color w:val="004494" w:themeColor="text2"/>
                <w:sz w:val="22"/>
                <w:szCs w:val="22"/>
              </w:rPr>
              <w:t>)</w:t>
            </w:r>
          </w:p>
        </w:tc>
        <w:tc>
          <w:tcPr>
            <w:tcW w:w="2656" w:type="pct"/>
            <w:vAlign w:val="center"/>
          </w:tcPr>
          <w:p w14:paraId="197CEDD0"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3</w:t>
            </w:r>
            <w:r>
              <w:rPr>
                <w:rFonts w:ascii="Calibri" w:hAnsi="Calibri" w:cs="Calibri"/>
                <w:noProof/>
                <w:color w:val="000000" w:themeColor="text1"/>
                <w:sz w:val="22"/>
                <w:szCs w:val="22"/>
              </w:rPr>
              <w:t> </w:t>
            </w:r>
            <w:r w:rsidRPr="00464451">
              <w:rPr>
                <w:noProof/>
                <w:color w:val="000000" w:themeColor="text1"/>
                <w:sz w:val="22"/>
                <w:szCs w:val="22"/>
              </w:rPr>
              <w:t>225 691</w:t>
            </w:r>
            <w:r>
              <w:rPr>
                <w:rFonts w:ascii="Calibri" w:hAnsi="Calibri" w:cs="Calibri"/>
                <w:noProof/>
                <w:color w:val="000000" w:themeColor="text1"/>
                <w:sz w:val="22"/>
                <w:szCs w:val="22"/>
              </w:rPr>
              <w:t> </w:t>
            </w:r>
            <w:r w:rsidRPr="00464451">
              <w:rPr>
                <w:noProof/>
                <w:color w:val="000000" w:themeColor="text1"/>
                <w:sz w:val="22"/>
                <w:szCs w:val="22"/>
              </w:rPr>
              <w:t>235.78</w:t>
            </w:r>
          </w:p>
        </w:tc>
      </w:tr>
      <w:tr w:rsidR="00FF29DE" w:rsidRPr="00464451" w14:paraId="3E41656B"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0E3E6846"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EFSD</w:t>
            </w:r>
            <w:r w:rsidRPr="00464451">
              <w:rPr>
                <w:rFonts w:ascii="Calibri" w:hAnsi="Calibri" w:cs="Calibri"/>
                <w:noProof/>
                <w:color w:val="004494" w:themeColor="text2"/>
                <w:sz w:val="22"/>
                <w:szCs w:val="22"/>
              </w:rPr>
              <w:t> </w:t>
            </w:r>
            <w:r w:rsidRPr="00464451">
              <w:rPr>
                <w:noProof/>
                <w:color w:val="004494" w:themeColor="text2"/>
                <w:sz w:val="22"/>
                <w:szCs w:val="22"/>
              </w:rPr>
              <w:t>(</w:t>
            </w:r>
            <w:r w:rsidRPr="00464451">
              <w:rPr>
                <w:rStyle w:val="FootnoteReference"/>
                <w:noProof/>
                <w:color w:val="004494" w:themeColor="text2"/>
                <w:sz w:val="22"/>
                <w:szCs w:val="22"/>
              </w:rPr>
              <w:footnoteReference w:id="13"/>
            </w:r>
            <w:r w:rsidRPr="00464451">
              <w:rPr>
                <w:noProof/>
                <w:color w:val="004494" w:themeColor="text2"/>
                <w:sz w:val="22"/>
                <w:szCs w:val="22"/>
              </w:rPr>
              <w:t>)</w:t>
            </w:r>
          </w:p>
        </w:tc>
        <w:tc>
          <w:tcPr>
            <w:tcW w:w="2656" w:type="pct"/>
            <w:vAlign w:val="center"/>
          </w:tcPr>
          <w:p w14:paraId="0B32FDDB"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761</w:t>
            </w:r>
            <w:r>
              <w:rPr>
                <w:rFonts w:ascii="Calibri" w:hAnsi="Calibri" w:cs="Calibri"/>
                <w:noProof/>
                <w:color w:val="000000" w:themeColor="text1"/>
                <w:sz w:val="22"/>
                <w:szCs w:val="22"/>
              </w:rPr>
              <w:t> </w:t>
            </w:r>
            <w:r w:rsidRPr="00464451">
              <w:rPr>
                <w:noProof/>
                <w:color w:val="000000" w:themeColor="text1"/>
                <w:sz w:val="22"/>
                <w:szCs w:val="22"/>
              </w:rPr>
              <w:t>545 053.25</w:t>
            </w:r>
          </w:p>
        </w:tc>
      </w:tr>
      <w:tr w:rsidR="00FF29DE" w:rsidRPr="00464451" w14:paraId="4D8E629B" w14:textId="77777777" w:rsidTr="00B56AFD">
        <w:trPr>
          <w:cantSplit/>
          <w:trHeight w:val="300"/>
        </w:trPr>
        <w:tc>
          <w:tcPr>
            <w:tcW w:w="2344" w:type="pct"/>
          </w:tcPr>
          <w:p w14:paraId="6DDC8FD0" w14:textId="77777777" w:rsidR="00FF29DE" w:rsidRPr="00464451" w:rsidRDefault="00FF29DE" w:rsidP="00B56AFD">
            <w:pPr>
              <w:rPr>
                <w:noProof/>
                <w:color w:val="004494" w:themeColor="text2"/>
                <w:sz w:val="22"/>
                <w:szCs w:val="22"/>
              </w:rPr>
            </w:pPr>
            <w:r w:rsidRPr="00464451">
              <w:rPr>
                <w:noProof/>
                <w:color w:val="004494" w:themeColor="text2"/>
                <w:sz w:val="22"/>
                <w:szCs w:val="22"/>
              </w:rPr>
              <w:t>InvestEU</w:t>
            </w:r>
            <w:r w:rsidRPr="00464451">
              <w:rPr>
                <w:rFonts w:ascii="Calibri" w:eastAsia="EC Square Sans Pro" w:hAnsi="Calibri" w:cs="Calibri"/>
                <w:noProof/>
                <w:color w:val="004494" w:themeColor="text2"/>
              </w:rPr>
              <w:t> </w:t>
            </w:r>
            <w:r w:rsidRPr="00464451">
              <w:rPr>
                <w:rFonts w:eastAsia="EC Square Sans Pro"/>
                <w:noProof/>
                <w:color w:val="004494" w:themeColor="text2"/>
              </w:rPr>
              <w:t>(</w:t>
            </w:r>
            <w:r w:rsidRPr="00464451">
              <w:rPr>
                <w:rStyle w:val="FootnoteReference"/>
                <w:noProof/>
                <w:color w:val="004494" w:themeColor="text2"/>
              </w:rPr>
              <w:footnoteReference w:id="14"/>
            </w:r>
            <w:r w:rsidRPr="00464451">
              <w:rPr>
                <w:rFonts w:eastAsia="EC Square Sans Pro"/>
                <w:noProof/>
                <w:color w:val="004494" w:themeColor="text2"/>
              </w:rPr>
              <w:t>)</w:t>
            </w:r>
          </w:p>
        </w:tc>
        <w:tc>
          <w:tcPr>
            <w:tcW w:w="2656" w:type="pct"/>
            <w:vAlign w:val="center"/>
          </w:tcPr>
          <w:p w14:paraId="41860584"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5</w:t>
            </w:r>
            <w:r>
              <w:rPr>
                <w:rFonts w:ascii="Calibri" w:hAnsi="Calibri" w:cs="Calibri"/>
                <w:noProof/>
                <w:color w:val="000000" w:themeColor="text1"/>
                <w:sz w:val="22"/>
                <w:szCs w:val="22"/>
              </w:rPr>
              <w:t> </w:t>
            </w:r>
            <w:r w:rsidRPr="00464451">
              <w:rPr>
                <w:noProof/>
                <w:color w:val="000000" w:themeColor="text1"/>
                <w:sz w:val="22"/>
                <w:szCs w:val="22"/>
              </w:rPr>
              <w:t>530 142</w:t>
            </w:r>
            <w:r>
              <w:rPr>
                <w:rFonts w:ascii="Calibri" w:hAnsi="Calibri" w:cs="Calibri"/>
                <w:noProof/>
                <w:color w:val="000000" w:themeColor="text1"/>
                <w:sz w:val="22"/>
                <w:szCs w:val="22"/>
              </w:rPr>
              <w:t> </w:t>
            </w:r>
            <w:r w:rsidRPr="00464451">
              <w:rPr>
                <w:noProof/>
                <w:color w:val="000000" w:themeColor="text1"/>
                <w:sz w:val="22"/>
                <w:szCs w:val="22"/>
              </w:rPr>
              <w:t>834.06</w:t>
            </w:r>
          </w:p>
        </w:tc>
      </w:tr>
      <w:tr w:rsidR="00FF29DE" w:rsidRPr="00464451" w14:paraId="7C9165C4"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6A69C35A" w14:textId="77777777" w:rsidR="00FF29DE" w:rsidRPr="00464451" w:rsidRDefault="00FF29DE" w:rsidP="00B56AFD">
            <w:pPr>
              <w:pStyle w:val="Bold"/>
            </w:pPr>
            <w:r w:rsidRPr="00464451">
              <w:t>Compartments opened in 2022</w:t>
            </w:r>
          </w:p>
        </w:tc>
        <w:tc>
          <w:tcPr>
            <w:tcW w:w="2656" w:type="pct"/>
            <w:vAlign w:val="center"/>
          </w:tcPr>
          <w:p w14:paraId="767834E0" w14:textId="77777777" w:rsidR="00FF29DE" w:rsidRPr="00464451" w:rsidRDefault="00FF29DE" w:rsidP="00B56AFD">
            <w:pPr>
              <w:pStyle w:val="TableText"/>
              <w:jc w:val="right"/>
              <w:rPr>
                <w:noProof/>
                <w:sz w:val="22"/>
                <w:szCs w:val="22"/>
              </w:rPr>
            </w:pPr>
          </w:p>
        </w:tc>
      </w:tr>
      <w:tr w:rsidR="00FF29DE" w:rsidRPr="00464451" w14:paraId="09F8ECA8" w14:textId="77777777" w:rsidTr="00B56AFD">
        <w:trPr>
          <w:cantSplit/>
          <w:trHeight w:val="300"/>
        </w:trPr>
        <w:tc>
          <w:tcPr>
            <w:tcW w:w="2344" w:type="pct"/>
          </w:tcPr>
          <w:p w14:paraId="70F9FBB9"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EFSD+</w:t>
            </w:r>
          </w:p>
        </w:tc>
        <w:tc>
          <w:tcPr>
            <w:tcW w:w="2656" w:type="pct"/>
            <w:vAlign w:val="center"/>
          </w:tcPr>
          <w:p w14:paraId="413ADB39"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2</w:t>
            </w:r>
            <w:r>
              <w:rPr>
                <w:rFonts w:ascii="Calibri" w:hAnsi="Calibri" w:cs="Calibri"/>
                <w:noProof/>
                <w:color w:val="000000" w:themeColor="text1"/>
                <w:sz w:val="22"/>
                <w:szCs w:val="22"/>
              </w:rPr>
              <w:t> </w:t>
            </w:r>
            <w:r w:rsidRPr="00464451">
              <w:rPr>
                <w:noProof/>
                <w:color w:val="000000" w:themeColor="text1"/>
                <w:sz w:val="22"/>
                <w:szCs w:val="22"/>
              </w:rPr>
              <w:t>942 175</w:t>
            </w:r>
            <w:r>
              <w:rPr>
                <w:rFonts w:ascii="Calibri" w:hAnsi="Calibri" w:cs="Calibri"/>
                <w:noProof/>
                <w:color w:val="000000" w:themeColor="text1"/>
                <w:sz w:val="22"/>
                <w:szCs w:val="22"/>
              </w:rPr>
              <w:t> </w:t>
            </w:r>
            <w:r w:rsidRPr="00464451">
              <w:rPr>
                <w:noProof/>
                <w:color w:val="000000" w:themeColor="text1"/>
                <w:sz w:val="22"/>
                <w:szCs w:val="22"/>
              </w:rPr>
              <w:t>754.77</w:t>
            </w:r>
          </w:p>
        </w:tc>
      </w:tr>
      <w:tr w:rsidR="00FF29DE" w:rsidRPr="00464451" w14:paraId="23468AAF"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2D9B9F6E"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Post-2020 MFA</w:t>
            </w:r>
          </w:p>
        </w:tc>
        <w:tc>
          <w:tcPr>
            <w:tcW w:w="2656" w:type="pct"/>
            <w:vAlign w:val="center"/>
          </w:tcPr>
          <w:p w14:paraId="464013DB" w14:textId="77777777" w:rsidR="00FF29DE" w:rsidRPr="00464451" w:rsidRDefault="00FF29DE" w:rsidP="00B56AFD">
            <w:pPr>
              <w:pStyle w:val="TableText"/>
              <w:jc w:val="right"/>
              <w:rPr>
                <w:noProof/>
                <w:sz w:val="22"/>
                <w:szCs w:val="22"/>
              </w:rPr>
            </w:pPr>
            <w:r w:rsidRPr="00464451">
              <w:rPr>
                <w:noProof/>
                <w:sz w:val="22"/>
                <w:szCs w:val="22"/>
              </w:rPr>
              <w:t>128</w:t>
            </w:r>
            <w:r>
              <w:rPr>
                <w:rFonts w:ascii="Calibri" w:hAnsi="Calibri" w:cs="Calibri"/>
                <w:noProof/>
                <w:sz w:val="22"/>
                <w:szCs w:val="22"/>
              </w:rPr>
              <w:t> </w:t>
            </w:r>
            <w:r w:rsidRPr="00464451">
              <w:rPr>
                <w:noProof/>
                <w:sz w:val="22"/>
                <w:szCs w:val="22"/>
              </w:rPr>
              <w:t>662 217.57</w:t>
            </w:r>
          </w:p>
        </w:tc>
      </w:tr>
      <w:tr w:rsidR="00FF29DE" w:rsidRPr="00464451" w14:paraId="474B82B5" w14:textId="77777777" w:rsidTr="00B56AFD">
        <w:trPr>
          <w:cantSplit/>
          <w:trHeight w:val="300"/>
        </w:trPr>
        <w:tc>
          <w:tcPr>
            <w:tcW w:w="2344" w:type="pct"/>
          </w:tcPr>
          <w:p w14:paraId="6443120C"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Exceptional MFA Ukraine</w:t>
            </w:r>
            <w:r w:rsidRPr="00464451">
              <w:rPr>
                <w:rFonts w:ascii="Calibri" w:hAnsi="Calibri" w:cs="Calibri"/>
                <w:noProof/>
                <w:color w:val="004494" w:themeColor="text2"/>
                <w:sz w:val="22"/>
                <w:szCs w:val="22"/>
              </w:rPr>
              <w:t> </w:t>
            </w:r>
            <w:r w:rsidRPr="00464451">
              <w:rPr>
                <w:noProof/>
                <w:color w:val="004494" w:themeColor="text2"/>
                <w:sz w:val="22"/>
                <w:szCs w:val="22"/>
              </w:rPr>
              <w:t>(</w:t>
            </w:r>
            <w:r w:rsidRPr="00464451">
              <w:rPr>
                <w:rStyle w:val="FootnoteReference"/>
                <w:noProof/>
                <w:color w:val="004494" w:themeColor="text2"/>
                <w:sz w:val="22"/>
                <w:szCs w:val="22"/>
              </w:rPr>
              <w:footnoteReference w:id="15"/>
            </w:r>
            <w:r w:rsidRPr="00464451">
              <w:rPr>
                <w:noProof/>
                <w:color w:val="004494" w:themeColor="text2"/>
                <w:sz w:val="22"/>
                <w:szCs w:val="22"/>
              </w:rPr>
              <w:t>)</w:t>
            </w:r>
          </w:p>
        </w:tc>
        <w:tc>
          <w:tcPr>
            <w:tcW w:w="2656" w:type="pct"/>
            <w:vAlign w:val="center"/>
          </w:tcPr>
          <w:p w14:paraId="7C183238" w14:textId="77777777" w:rsidR="00FF29DE" w:rsidRPr="00464451" w:rsidRDefault="00FF29DE" w:rsidP="00B56AFD">
            <w:pPr>
              <w:pStyle w:val="TableText"/>
              <w:jc w:val="right"/>
              <w:rPr>
                <w:noProof/>
                <w:sz w:val="22"/>
                <w:szCs w:val="22"/>
              </w:rPr>
            </w:pPr>
            <w:r w:rsidRPr="00464451">
              <w:rPr>
                <w:noProof/>
                <w:sz w:val="22"/>
                <w:szCs w:val="22"/>
              </w:rPr>
              <w:t>240</w:t>
            </w:r>
            <w:r>
              <w:rPr>
                <w:rFonts w:ascii="Calibri" w:hAnsi="Calibri" w:cs="Calibri"/>
                <w:noProof/>
                <w:sz w:val="22"/>
                <w:szCs w:val="22"/>
              </w:rPr>
              <w:t> </w:t>
            </w:r>
            <w:r w:rsidRPr="00464451">
              <w:rPr>
                <w:noProof/>
                <w:sz w:val="22"/>
                <w:szCs w:val="22"/>
              </w:rPr>
              <w:t>575 443.20</w:t>
            </w:r>
          </w:p>
        </w:tc>
      </w:tr>
      <w:tr w:rsidR="00FF29DE" w:rsidRPr="00464451" w14:paraId="34954E30"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36E2370A"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Post-2020 Euratom loans</w:t>
            </w:r>
          </w:p>
        </w:tc>
        <w:tc>
          <w:tcPr>
            <w:tcW w:w="2656" w:type="pct"/>
          </w:tcPr>
          <w:p w14:paraId="1F6659F2" w14:textId="77777777" w:rsidR="00FF29DE" w:rsidRPr="00464451" w:rsidRDefault="00FF29DE" w:rsidP="00B56AFD">
            <w:pPr>
              <w:pStyle w:val="TableText"/>
              <w:jc w:val="right"/>
              <w:rPr>
                <w:noProof/>
                <w:sz w:val="22"/>
                <w:szCs w:val="22"/>
              </w:rPr>
            </w:pPr>
            <w:r w:rsidRPr="00464451">
              <w:rPr>
                <w:noProof/>
                <w:sz w:val="22"/>
                <w:szCs w:val="22"/>
              </w:rPr>
              <w:t>-</w:t>
            </w:r>
          </w:p>
        </w:tc>
      </w:tr>
      <w:tr w:rsidR="00FF29DE" w:rsidRPr="00464451" w14:paraId="76595E6B" w14:textId="77777777" w:rsidTr="00B56AFD">
        <w:trPr>
          <w:cantSplit/>
          <w:trHeight w:val="300"/>
        </w:trPr>
        <w:tc>
          <w:tcPr>
            <w:tcW w:w="2344" w:type="pct"/>
          </w:tcPr>
          <w:p w14:paraId="5EE566E5"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Repurposed ELM loans Ukraine</w:t>
            </w:r>
          </w:p>
        </w:tc>
        <w:tc>
          <w:tcPr>
            <w:tcW w:w="2656" w:type="pct"/>
          </w:tcPr>
          <w:p w14:paraId="21A948C4" w14:textId="77777777" w:rsidR="00FF29DE" w:rsidRPr="00464451" w:rsidRDefault="00FF29DE" w:rsidP="00B56AFD">
            <w:pPr>
              <w:pStyle w:val="TableText"/>
              <w:jc w:val="right"/>
              <w:rPr>
                <w:noProof/>
                <w:sz w:val="22"/>
                <w:szCs w:val="22"/>
              </w:rPr>
            </w:pPr>
            <w:r w:rsidRPr="00464451">
              <w:rPr>
                <w:noProof/>
                <w:sz w:val="22"/>
                <w:szCs w:val="22"/>
              </w:rPr>
              <w:t>-</w:t>
            </w:r>
          </w:p>
        </w:tc>
      </w:tr>
      <w:tr w:rsidR="00FF29DE" w:rsidRPr="00464451" w14:paraId="0661A198"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5D881931"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Guarantee Romania</w:t>
            </w:r>
          </w:p>
        </w:tc>
        <w:tc>
          <w:tcPr>
            <w:tcW w:w="2656" w:type="pct"/>
          </w:tcPr>
          <w:p w14:paraId="493B6369" w14:textId="77777777" w:rsidR="00FF29DE" w:rsidRPr="00464451" w:rsidRDefault="00FF29DE" w:rsidP="00B56AFD">
            <w:pPr>
              <w:pStyle w:val="TableText"/>
              <w:jc w:val="right"/>
              <w:rPr>
                <w:noProof/>
                <w:sz w:val="22"/>
                <w:szCs w:val="22"/>
              </w:rPr>
            </w:pPr>
            <w:r w:rsidRPr="00464451">
              <w:rPr>
                <w:noProof/>
                <w:sz w:val="22"/>
                <w:szCs w:val="22"/>
              </w:rPr>
              <w:t>187</w:t>
            </w:r>
            <w:r>
              <w:rPr>
                <w:rFonts w:ascii="Calibri" w:hAnsi="Calibri" w:cs="Calibri"/>
                <w:noProof/>
                <w:sz w:val="22"/>
                <w:szCs w:val="22"/>
              </w:rPr>
              <w:t> </w:t>
            </w:r>
            <w:r w:rsidRPr="00464451">
              <w:rPr>
                <w:noProof/>
                <w:sz w:val="22"/>
                <w:szCs w:val="22"/>
              </w:rPr>
              <w:t>974 119.28</w:t>
            </w:r>
          </w:p>
        </w:tc>
      </w:tr>
      <w:tr w:rsidR="00FF29DE" w:rsidRPr="00464451" w14:paraId="3AE80449" w14:textId="77777777" w:rsidTr="00B56AFD">
        <w:trPr>
          <w:cantSplit/>
          <w:trHeight w:val="300"/>
        </w:trPr>
        <w:tc>
          <w:tcPr>
            <w:tcW w:w="2344" w:type="pct"/>
          </w:tcPr>
          <w:p w14:paraId="6A80EDA7"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Guarantee Czech Republic</w:t>
            </w:r>
          </w:p>
        </w:tc>
        <w:tc>
          <w:tcPr>
            <w:tcW w:w="2656" w:type="pct"/>
          </w:tcPr>
          <w:p w14:paraId="6F2A0AAA"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44</w:t>
            </w:r>
            <w:r>
              <w:rPr>
                <w:rFonts w:ascii="Calibri" w:hAnsi="Calibri" w:cs="Calibri"/>
                <w:noProof/>
                <w:color w:val="000000" w:themeColor="text1"/>
                <w:sz w:val="22"/>
                <w:szCs w:val="22"/>
              </w:rPr>
              <w:t> </w:t>
            </w:r>
            <w:r w:rsidRPr="00464451">
              <w:rPr>
                <w:noProof/>
                <w:color w:val="000000" w:themeColor="text1"/>
                <w:sz w:val="22"/>
                <w:szCs w:val="22"/>
              </w:rPr>
              <w:t>099 186.75</w:t>
            </w:r>
          </w:p>
        </w:tc>
      </w:tr>
      <w:tr w:rsidR="00FF29DE" w:rsidRPr="00464451" w14:paraId="4263615F"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71F926FA"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Guarantee Finland</w:t>
            </w:r>
          </w:p>
        </w:tc>
        <w:tc>
          <w:tcPr>
            <w:tcW w:w="2656" w:type="pct"/>
          </w:tcPr>
          <w:p w14:paraId="7E594971"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30</w:t>
            </w:r>
            <w:r>
              <w:rPr>
                <w:rFonts w:ascii="Calibri" w:hAnsi="Calibri" w:cs="Calibri"/>
                <w:noProof/>
                <w:color w:val="000000" w:themeColor="text1"/>
                <w:sz w:val="22"/>
                <w:szCs w:val="22"/>
              </w:rPr>
              <w:t> </w:t>
            </w:r>
            <w:r w:rsidRPr="00464451">
              <w:rPr>
                <w:noProof/>
                <w:color w:val="000000" w:themeColor="text1"/>
                <w:sz w:val="22"/>
                <w:szCs w:val="22"/>
              </w:rPr>
              <w:t>657 774.29</w:t>
            </w:r>
          </w:p>
        </w:tc>
      </w:tr>
      <w:tr w:rsidR="00FF29DE" w:rsidRPr="00464451" w14:paraId="61ABBFD0" w14:textId="77777777" w:rsidTr="00B56AFD">
        <w:trPr>
          <w:cantSplit/>
          <w:trHeight w:val="300"/>
        </w:trPr>
        <w:tc>
          <w:tcPr>
            <w:tcW w:w="2344" w:type="pct"/>
          </w:tcPr>
          <w:p w14:paraId="799B53F2"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Guarantee Greece</w:t>
            </w:r>
          </w:p>
        </w:tc>
        <w:tc>
          <w:tcPr>
            <w:tcW w:w="2656" w:type="pct"/>
          </w:tcPr>
          <w:p w14:paraId="56F07455" w14:textId="77777777" w:rsidR="00FF29DE" w:rsidRPr="00464451" w:rsidRDefault="00FF29DE" w:rsidP="00B56AFD">
            <w:pPr>
              <w:pStyle w:val="TableText"/>
              <w:jc w:val="right"/>
              <w:rPr>
                <w:noProof/>
                <w:sz w:val="22"/>
                <w:szCs w:val="22"/>
              </w:rPr>
            </w:pPr>
            <w:r w:rsidRPr="00464451">
              <w:rPr>
                <w:noProof/>
                <w:sz w:val="22"/>
                <w:szCs w:val="22"/>
              </w:rPr>
              <w:t>252</w:t>
            </w:r>
            <w:r>
              <w:rPr>
                <w:rFonts w:ascii="Calibri" w:hAnsi="Calibri" w:cs="Calibri"/>
                <w:noProof/>
                <w:sz w:val="22"/>
                <w:szCs w:val="22"/>
              </w:rPr>
              <w:t> </w:t>
            </w:r>
            <w:r w:rsidRPr="00464451">
              <w:rPr>
                <w:noProof/>
                <w:sz w:val="22"/>
                <w:szCs w:val="22"/>
              </w:rPr>
              <w:t>204 112.19</w:t>
            </w:r>
          </w:p>
        </w:tc>
      </w:tr>
      <w:tr w:rsidR="00FF29DE" w:rsidRPr="00464451" w14:paraId="4E54EEFB"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14EA6DB9"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Blending Operations</w:t>
            </w:r>
          </w:p>
        </w:tc>
        <w:tc>
          <w:tcPr>
            <w:tcW w:w="2656" w:type="pct"/>
          </w:tcPr>
          <w:p w14:paraId="00801FE9"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667</w:t>
            </w:r>
            <w:r>
              <w:rPr>
                <w:rFonts w:ascii="Calibri" w:hAnsi="Calibri" w:cs="Calibri"/>
                <w:noProof/>
                <w:color w:val="000000" w:themeColor="text1"/>
                <w:sz w:val="22"/>
                <w:szCs w:val="22"/>
              </w:rPr>
              <w:t> </w:t>
            </w:r>
            <w:r w:rsidRPr="00464451">
              <w:rPr>
                <w:noProof/>
                <w:color w:val="000000" w:themeColor="text1"/>
                <w:sz w:val="22"/>
                <w:szCs w:val="22"/>
              </w:rPr>
              <w:t>045 123.03</w:t>
            </w:r>
          </w:p>
        </w:tc>
      </w:tr>
      <w:tr w:rsidR="00FF29DE" w:rsidRPr="00464451" w14:paraId="12209AEF" w14:textId="77777777" w:rsidTr="00B56AFD">
        <w:trPr>
          <w:cantSplit/>
          <w:trHeight w:val="300"/>
        </w:trPr>
        <w:tc>
          <w:tcPr>
            <w:tcW w:w="2344" w:type="pct"/>
          </w:tcPr>
          <w:p w14:paraId="2B60FC03" w14:textId="77777777" w:rsidR="00FF29DE" w:rsidRPr="00464451" w:rsidRDefault="00FF29DE" w:rsidP="00B56AFD">
            <w:pPr>
              <w:pStyle w:val="Bold"/>
            </w:pPr>
            <w:r w:rsidRPr="00464451">
              <w:t>Compartments opened in 2023</w:t>
            </w:r>
          </w:p>
        </w:tc>
        <w:tc>
          <w:tcPr>
            <w:tcW w:w="2656" w:type="pct"/>
          </w:tcPr>
          <w:p w14:paraId="42B0C273" w14:textId="77777777" w:rsidR="00FF29DE" w:rsidRPr="00464451" w:rsidRDefault="00FF29DE" w:rsidP="00B56AFD">
            <w:pPr>
              <w:pStyle w:val="TableText"/>
              <w:jc w:val="right"/>
              <w:rPr>
                <w:noProof/>
                <w:sz w:val="22"/>
                <w:szCs w:val="22"/>
              </w:rPr>
            </w:pPr>
          </w:p>
        </w:tc>
      </w:tr>
      <w:tr w:rsidR="00FF29DE" w:rsidRPr="00464451" w14:paraId="5A40C84D"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07E47E8C" w14:textId="77777777" w:rsidR="00FF29DE" w:rsidRPr="00464451" w:rsidRDefault="00FF29DE" w:rsidP="00B56AFD">
            <w:pPr>
              <w:pStyle w:val="TableText"/>
              <w:rPr>
                <w:b/>
                <w:noProof/>
                <w:color w:val="004494" w:themeColor="text2"/>
                <w:sz w:val="22"/>
                <w:szCs w:val="22"/>
              </w:rPr>
            </w:pPr>
            <w:r w:rsidRPr="00464451">
              <w:rPr>
                <w:noProof/>
                <w:color w:val="004494" w:themeColor="text2"/>
                <w:sz w:val="22"/>
                <w:szCs w:val="22"/>
              </w:rPr>
              <w:t>InvestEU Guarantee Bulgaria</w:t>
            </w:r>
          </w:p>
        </w:tc>
        <w:tc>
          <w:tcPr>
            <w:tcW w:w="2656" w:type="pct"/>
          </w:tcPr>
          <w:p w14:paraId="63D76B6B"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79</w:t>
            </w:r>
            <w:r>
              <w:rPr>
                <w:rFonts w:ascii="Calibri" w:hAnsi="Calibri" w:cs="Calibri"/>
                <w:noProof/>
                <w:color w:val="000000" w:themeColor="text1"/>
                <w:sz w:val="22"/>
                <w:szCs w:val="22"/>
              </w:rPr>
              <w:t> </w:t>
            </w:r>
            <w:r w:rsidRPr="00464451">
              <w:rPr>
                <w:noProof/>
                <w:color w:val="000000" w:themeColor="text1"/>
                <w:sz w:val="22"/>
                <w:szCs w:val="22"/>
              </w:rPr>
              <w:t>674 706.38</w:t>
            </w:r>
          </w:p>
        </w:tc>
      </w:tr>
      <w:tr w:rsidR="00FF29DE" w:rsidRPr="00464451" w14:paraId="0404C601" w14:textId="77777777" w:rsidTr="00B56AFD">
        <w:trPr>
          <w:cantSplit/>
          <w:trHeight w:val="300"/>
        </w:trPr>
        <w:tc>
          <w:tcPr>
            <w:tcW w:w="2344" w:type="pct"/>
          </w:tcPr>
          <w:p w14:paraId="0251296A" w14:textId="77777777" w:rsidR="00FF29DE" w:rsidRPr="00464451" w:rsidRDefault="00FF29DE" w:rsidP="00B56AFD">
            <w:pPr>
              <w:pStyle w:val="TableText"/>
              <w:rPr>
                <w:b/>
                <w:noProof/>
                <w:color w:val="004494" w:themeColor="text2"/>
                <w:sz w:val="22"/>
                <w:szCs w:val="22"/>
              </w:rPr>
            </w:pPr>
            <w:r w:rsidRPr="00464451">
              <w:rPr>
                <w:noProof/>
                <w:color w:val="004494" w:themeColor="text2"/>
                <w:sz w:val="22"/>
                <w:szCs w:val="22"/>
              </w:rPr>
              <w:t>InvestEU Guarantee Malta</w:t>
            </w:r>
          </w:p>
        </w:tc>
        <w:tc>
          <w:tcPr>
            <w:tcW w:w="2656" w:type="pct"/>
          </w:tcPr>
          <w:p w14:paraId="7EAE6926" w14:textId="77777777" w:rsidR="00FF29DE" w:rsidRPr="00464451" w:rsidRDefault="00FF29DE" w:rsidP="00B56AFD">
            <w:pPr>
              <w:pStyle w:val="TableText"/>
              <w:jc w:val="right"/>
              <w:rPr>
                <w:noProof/>
                <w:color w:val="000000" w:themeColor="text1"/>
                <w:sz w:val="22"/>
                <w:szCs w:val="22"/>
              </w:rPr>
            </w:pPr>
            <w:r w:rsidRPr="00464451">
              <w:rPr>
                <w:noProof/>
                <w:color w:val="000000" w:themeColor="text1"/>
                <w:sz w:val="22"/>
                <w:szCs w:val="22"/>
              </w:rPr>
              <w:t>7</w:t>
            </w:r>
            <w:r>
              <w:rPr>
                <w:rFonts w:ascii="Calibri" w:hAnsi="Calibri" w:cs="Calibri"/>
                <w:noProof/>
                <w:color w:val="000000" w:themeColor="text1"/>
                <w:sz w:val="22"/>
                <w:szCs w:val="22"/>
              </w:rPr>
              <w:t> </w:t>
            </w:r>
            <w:r w:rsidRPr="00464451">
              <w:rPr>
                <w:noProof/>
                <w:color w:val="000000" w:themeColor="text1"/>
                <w:sz w:val="22"/>
                <w:szCs w:val="22"/>
              </w:rPr>
              <w:t>939 418.22</w:t>
            </w:r>
          </w:p>
        </w:tc>
      </w:tr>
      <w:tr w:rsidR="00FF29DE" w:rsidRPr="00464451" w14:paraId="40F146F0"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462CCDD5" w14:textId="77777777" w:rsidR="00FF29DE" w:rsidRPr="00464451" w:rsidRDefault="00FF29DE" w:rsidP="00B56AFD">
            <w:pPr>
              <w:pStyle w:val="Bold"/>
            </w:pPr>
            <w:r w:rsidRPr="00464451">
              <w:t>Compartments opened in 2024</w:t>
            </w:r>
          </w:p>
        </w:tc>
        <w:tc>
          <w:tcPr>
            <w:tcW w:w="2656" w:type="pct"/>
          </w:tcPr>
          <w:p w14:paraId="3FE14A6E" w14:textId="77777777" w:rsidR="00FF29DE" w:rsidRPr="00464451" w:rsidRDefault="00FF29DE" w:rsidP="00B56AFD">
            <w:pPr>
              <w:pStyle w:val="TableText"/>
              <w:jc w:val="right"/>
              <w:rPr>
                <w:noProof/>
                <w:color w:val="000000"/>
                <w:sz w:val="22"/>
                <w:szCs w:val="22"/>
              </w:rPr>
            </w:pPr>
          </w:p>
        </w:tc>
      </w:tr>
      <w:tr w:rsidR="00FF29DE" w:rsidRPr="00464451" w14:paraId="42A9C391" w14:textId="77777777" w:rsidTr="00B56AFD">
        <w:trPr>
          <w:cantSplit/>
          <w:trHeight w:val="300"/>
        </w:trPr>
        <w:tc>
          <w:tcPr>
            <w:tcW w:w="2344" w:type="pct"/>
          </w:tcPr>
          <w:p w14:paraId="033B2B06"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Ukraine Guarantee</w:t>
            </w:r>
          </w:p>
        </w:tc>
        <w:tc>
          <w:tcPr>
            <w:tcW w:w="2656" w:type="pct"/>
          </w:tcPr>
          <w:p w14:paraId="0FEE43C0" w14:textId="77777777" w:rsidR="00FF29DE" w:rsidRPr="00464451" w:rsidRDefault="00FF29DE" w:rsidP="00B56AFD">
            <w:pPr>
              <w:pStyle w:val="TableText"/>
              <w:jc w:val="right"/>
              <w:rPr>
                <w:noProof/>
                <w:color w:val="000000"/>
                <w:sz w:val="22"/>
                <w:szCs w:val="22"/>
              </w:rPr>
            </w:pPr>
            <w:r w:rsidRPr="00464451">
              <w:rPr>
                <w:noProof/>
                <w:color w:val="000000" w:themeColor="text1"/>
                <w:sz w:val="22"/>
                <w:szCs w:val="22"/>
              </w:rPr>
              <w:t>201</w:t>
            </w:r>
            <w:r>
              <w:rPr>
                <w:rFonts w:ascii="Calibri" w:hAnsi="Calibri" w:cs="Calibri"/>
                <w:noProof/>
                <w:color w:val="000000" w:themeColor="text1"/>
                <w:sz w:val="22"/>
                <w:szCs w:val="22"/>
              </w:rPr>
              <w:t> </w:t>
            </w:r>
            <w:r w:rsidRPr="00464451">
              <w:rPr>
                <w:noProof/>
                <w:color w:val="000000" w:themeColor="text1"/>
                <w:sz w:val="22"/>
                <w:szCs w:val="22"/>
              </w:rPr>
              <w:t>878 310.31</w:t>
            </w:r>
          </w:p>
        </w:tc>
      </w:tr>
      <w:tr w:rsidR="00FF29DE" w:rsidRPr="00464451" w14:paraId="3709A6E6" w14:textId="77777777" w:rsidTr="00B56AFD">
        <w:trPr>
          <w:cnfStyle w:val="000000010000" w:firstRow="0" w:lastRow="0" w:firstColumn="0" w:lastColumn="0" w:oddVBand="0" w:evenVBand="0" w:oddHBand="0" w:evenHBand="1" w:firstRowFirstColumn="0" w:firstRowLastColumn="0" w:lastRowFirstColumn="0" w:lastRowLastColumn="0"/>
          <w:cantSplit/>
          <w:trHeight w:val="300"/>
        </w:trPr>
        <w:tc>
          <w:tcPr>
            <w:tcW w:w="2344" w:type="pct"/>
          </w:tcPr>
          <w:p w14:paraId="05C05F9B" w14:textId="77777777" w:rsidR="00FF29DE" w:rsidRPr="00464451" w:rsidRDefault="00FF29DE" w:rsidP="00B56AFD">
            <w:pPr>
              <w:pStyle w:val="TableText"/>
              <w:rPr>
                <w:noProof/>
                <w:color w:val="004494" w:themeColor="text2"/>
                <w:sz w:val="22"/>
                <w:szCs w:val="22"/>
              </w:rPr>
            </w:pPr>
            <w:r w:rsidRPr="00464451">
              <w:rPr>
                <w:noProof/>
                <w:color w:val="004494" w:themeColor="text2"/>
                <w:sz w:val="22"/>
                <w:szCs w:val="22"/>
              </w:rPr>
              <w:t>InvestEU Guarantee Spain</w:t>
            </w:r>
          </w:p>
        </w:tc>
        <w:tc>
          <w:tcPr>
            <w:tcW w:w="2656" w:type="pct"/>
          </w:tcPr>
          <w:p w14:paraId="40206D30" w14:textId="77777777" w:rsidR="00FF29DE" w:rsidRPr="00464451" w:rsidRDefault="00FF29DE" w:rsidP="00B56AFD">
            <w:pPr>
              <w:pStyle w:val="TableText"/>
              <w:jc w:val="right"/>
              <w:rPr>
                <w:noProof/>
                <w:color w:val="000000"/>
                <w:sz w:val="22"/>
                <w:szCs w:val="22"/>
              </w:rPr>
            </w:pPr>
            <w:r w:rsidRPr="00464451">
              <w:rPr>
                <w:noProof/>
                <w:color w:val="000000" w:themeColor="text1"/>
                <w:sz w:val="22"/>
                <w:szCs w:val="22"/>
              </w:rPr>
              <w:t>-</w:t>
            </w:r>
          </w:p>
        </w:tc>
      </w:tr>
      <w:tr w:rsidR="00FF29DE" w:rsidRPr="00464451" w14:paraId="1FA8E016" w14:textId="77777777" w:rsidTr="00B56AFD">
        <w:trPr>
          <w:cnfStyle w:val="010000000000" w:firstRow="0" w:lastRow="1" w:firstColumn="0" w:lastColumn="0" w:oddVBand="0" w:evenVBand="0" w:oddHBand="0" w:evenHBand="0" w:firstRowFirstColumn="0" w:firstRowLastColumn="0" w:lastRowFirstColumn="0" w:lastRowLastColumn="0"/>
          <w:cantSplit/>
          <w:trHeight w:val="300"/>
        </w:trPr>
        <w:tc>
          <w:tcPr>
            <w:tcW w:w="2344" w:type="pct"/>
          </w:tcPr>
          <w:p w14:paraId="0854A4F1" w14:textId="77777777" w:rsidR="00FF29DE" w:rsidRPr="00464451" w:rsidRDefault="00FF29DE" w:rsidP="00B56AFD">
            <w:pPr>
              <w:pStyle w:val="TableText"/>
              <w:rPr>
                <w:b/>
                <w:bCs/>
                <w:noProof/>
                <w:sz w:val="22"/>
                <w:szCs w:val="22"/>
              </w:rPr>
            </w:pPr>
            <w:r w:rsidRPr="00464451">
              <w:rPr>
                <w:b/>
                <w:bCs/>
                <w:noProof/>
                <w:color w:val="004494" w:themeColor="text2"/>
                <w:sz w:val="22"/>
                <w:szCs w:val="22"/>
              </w:rPr>
              <w:t>TOTAL</w:t>
            </w:r>
          </w:p>
        </w:tc>
        <w:tc>
          <w:tcPr>
            <w:tcW w:w="2656" w:type="pct"/>
          </w:tcPr>
          <w:p w14:paraId="32486DCB" w14:textId="77777777" w:rsidR="00FF29DE" w:rsidRPr="00464451" w:rsidRDefault="00FF29DE" w:rsidP="00B56AFD">
            <w:pPr>
              <w:pStyle w:val="TableText"/>
              <w:jc w:val="right"/>
              <w:rPr>
                <w:b/>
                <w:bCs/>
                <w:noProof/>
                <w:color w:val="000000" w:themeColor="text1"/>
                <w:sz w:val="22"/>
                <w:szCs w:val="22"/>
              </w:rPr>
            </w:pPr>
            <w:r w:rsidRPr="00464451">
              <w:rPr>
                <w:b/>
                <w:bCs/>
                <w:noProof/>
                <w:color w:val="000000" w:themeColor="text1"/>
                <w:sz w:val="22"/>
                <w:szCs w:val="22"/>
              </w:rPr>
              <w:t>23</w:t>
            </w:r>
            <w:r>
              <w:rPr>
                <w:rFonts w:ascii="Calibri" w:hAnsi="Calibri" w:cs="Calibri"/>
                <w:b/>
                <w:bCs/>
                <w:noProof/>
                <w:color w:val="000000" w:themeColor="text1"/>
                <w:sz w:val="22"/>
                <w:szCs w:val="22"/>
              </w:rPr>
              <w:t> </w:t>
            </w:r>
            <w:r w:rsidRPr="00464451">
              <w:rPr>
                <w:b/>
                <w:bCs/>
                <w:noProof/>
                <w:color w:val="000000" w:themeColor="text1"/>
                <w:sz w:val="22"/>
                <w:szCs w:val="22"/>
              </w:rPr>
              <w:t>180 569</w:t>
            </w:r>
            <w:r>
              <w:rPr>
                <w:rFonts w:ascii="Calibri" w:hAnsi="Calibri" w:cs="Calibri"/>
                <w:b/>
                <w:bCs/>
                <w:noProof/>
                <w:color w:val="000000" w:themeColor="text1"/>
                <w:sz w:val="22"/>
                <w:szCs w:val="22"/>
              </w:rPr>
              <w:t> </w:t>
            </w:r>
            <w:r w:rsidRPr="00464451">
              <w:rPr>
                <w:b/>
                <w:bCs/>
                <w:noProof/>
                <w:color w:val="000000" w:themeColor="text1"/>
                <w:sz w:val="22"/>
                <w:szCs w:val="22"/>
              </w:rPr>
              <w:t>085.02</w:t>
            </w:r>
          </w:p>
        </w:tc>
      </w:tr>
    </w:tbl>
    <w:p w14:paraId="09400178" w14:textId="77777777" w:rsidR="00FF29DE" w:rsidRPr="00651BE1" w:rsidRDefault="00FF29DE" w:rsidP="00A25890">
      <w:pPr>
        <w:pStyle w:val="TableTitle1"/>
        <w:rPr>
          <w:noProof/>
          <w:lang w:val="en-IE"/>
        </w:rPr>
      </w:pPr>
    </w:p>
    <w:sdt>
      <w:sdtPr>
        <w:rPr>
          <w:b w:val="0"/>
          <w:iCs w:val="0"/>
          <w:noProof/>
          <w:color w:val="auto"/>
          <w:sz w:val="20"/>
          <w:szCs w:val="20"/>
          <w:lang w:val="en-IE"/>
        </w:rPr>
        <w:alias w:val="Picture"/>
        <w:tag w:val="Yevoz0GxKA7SLcZiEquUa5"/>
        <w:id w:val="-2067707045"/>
        <w:placeholder>
          <w:docPart w:val="540F99BA017C456D80112867DEC0D507"/>
        </w:placeholder>
      </w:sdtPr>
      <w:sdtEndPr>
        <w:rPr>
          <w:sz w:val="24"/>
          <w:szCs w:val="24"/>
        </w:rPr>
      </w:sdtEndPr>
      <w:sdtContent>
        <w:p w14:paraId="7C2B61E8" w14:textId="1C87CC37" w:rsidR="00A45554" w:rsidDel="00F4798B" w:rsidRDefault="007B21CA" w:rsidP="46DCAAA1">
          <w:pPr>
            <w:pStyle w:val="FigureTitle1"/>
            <w:rPr>
              <w:noProof/>
            </w:rPr>
          </w:pPr>
          <w:r w:rsidRPr="46DCAAA1">
            <w:rPr>
              <w:noProof/>
            </w:rPr>
            <w:t xml:space="preserve">Figure </w:t>
          </w:r>
          <w:r w:rsidR="004015F4">
            <w:rPr>
              <w:noProof/>
            </w:rPr>
            <w:fldChar w:fldCharType="begin"/>
          </w:r>
          <w:r w:rsidR="004015F4" w:rsidRPr="46DCAAA1">
            <w:rPr>
              <w:noProof/>
            </w:rPr>
            <w:instrText xml:space="preserve"> SEQ Figure \* ARABIC </w:instrText>
          </w:r>
          <w:r w:rsidR="004015F4">
            <w:rPr>
              <w:noProof/>
            </w:rPr>
            <w:fldChar w:fldCharType="separate"/>
          </w:r>
          <w:r w:rsidR="006406CC" w:rsidRPr="46DCAAA1">
            <w:rPr>
              <w:noProof/>
            </w:rPr>
            <w:t>2</w:t>
          </w:r>
          <w:r w:rsidR="004015F4">
            <w:rPr>
              <w:noProof/>
            </w:rPr>
            <w:fldChar w:fldCharType="end"/>
          </w:r>
          <w:r w:rsidRPr="46DCAAA1">
            <w:rPr>
              <w:noProof/>
            </w:rPr>
            <w:t>:</w:t>
          </w:r>
          <w:r w:rsidRPr="46DCAAA1">
            <w:rPr>
              <w:rFonts w:ascii="Calibri" w:hAnsi="Calibri" w:cs="Calibri"/>
              <w:noProof/>
            </w:rPr>
            <w:t> </w:t>
          </w:r>
          <w:r w:rsidR="002639A3">
            <w:rPr>
              <w:rFonts w:ascii="Calibri" w:hAnsi="Calibri" w:cs="Calibri"/>
              <w:noProof/>
            </w:rPr>
            <w:t xml:space="preserve">Size of </w:t>
          </w:r>
          <w:r w:rsidRPr="46DCAAA1">
            <w:rPr>
              <w:noProof/>
            </w:rPr>
            <w:t xml:space="preserve">CPF compartments as at </w:t>
          </w:r>
          <w:r w:rsidR="000A21A7" w:rsidRPr="46DCAAA1">
            <w:rPr>
              <w:noProof/>
            </w:rPr>
            <w:t>31.12.202</w:t>
          </w:r>
          <w:r w:rsidR="363A339A" w:rsidRPr="46DCAAA1">
            <w:rPr>
              <w:noProof/>
            </w:rPr>
            <w:t>4</w:t>
          </w:r>
        </w:p>
        <w:p w14:paraId="2FF57BB1" w14:textId="1D52C8C0" w:rsidR="00F13281" w:rsidRPr="00F13281" w:rsidRDefault="000B7738" w:rsidP="46DCAAA1">
          <w:pPr>
            <w:pStyle w:val="FigureBody1"/>
            <w:ind w:left="0"/>
            <w:rPr>
              <w:noProof/>
              <w:sz w:val="20"/>
              <w:lang w:val="en-IE"/>
            </w:rPr>
          </w:pPr>
          <w:r w:rsidRPr="000B7738">
            <w:rPr>
              <w:noProof/>
              <w:lang w:eastAsia="en-GB"/>
            </w:rPr>
            <w:drawing>
              <wp:inline distT="0" distB="0" distL="0" distR="0" wp14:anchorId="61CD69F7" wp14:editId="483597EC">
                <wp:extent cx="5760720" cy="3663950"/>
                <wp:effectExtent l="0" t="0" r="0" b="0"/>
                <wp:docPr id="3" name="Picture 2">
                  <a:extLst xmlns:a="http://schemas.openxmlformats.org/drawingml/2006/main">
                    <a:ext uri="{FF2B5EF4-FFF2-40B4-BE49-F238E27FC236}">
                      <a16:creationId xmlns:a16="http://schemas.microsoft.com/office/drawing/2014/main" id="{9A0A95A7-DB1E-373B-4FB9-6E7FCED266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A0A95A7-DB1E-373B-4FB9-6E7FCED26638}"/>
                            </a:ext>
                          </a:extLst>
                        </pic:cNvPr>
                        <pic:cNvPicPr>
                          <a:picLocks noChangeAspect="1"/>
                        </pic:cNvPicPr>
                      </pic:nvPicPr>
                      <pic:blipFill>
                        <a:blip r:embed="rId19"/>
                        <a:stretch>
                          <a:fillRect/>
                        </a:stretch>
                      </pic:blipFill>
                      <pic:spPr>
                        <a:xfrm>
                          <a:off x="0" y="0"/>
                          <a:ext cx="5760720" cy="3663950"/>
                        </a:xfrm>
                        <a:prstGeom prst="rect">
                          <a:avLst/>
                        </a:prstGeom>
                      </pic:spPr>
                    </pic:pic>
                  </a:graphicData>
                </a:graphic>
              </wp:inline>
            </w:drawing>
          </w:r>
        </w:p>
      </w:sdtContent>
    </w:sdt>
    <w:p w14:paraId="6BDA6697" w14:textId="2E270EFE" w:rsidR="007B21CA" w:rsidRPr="00C300C0" w:rsidRDefault="00D67AF1" w:rsidP="00004079">
      <w:pPr>
        <w:pStyle w:val="Heading2"/>
        <w:spacing w:before="120"/>
      </w:pPr>
      <w:bookmarkStart w:id="6" w:name="_Toc194300626"/>
      <w:r>
        <w:t>1</w:t>
      </w:r>
      <w:r w:rsidR="00F135BC">
        <w:t xml:space="preserve">.3. </w:t>
      </w:r>
      <w:r w:rsidR="007B21CA" w:rsidRPr="00C300C0">
        <w:t>Guarantee calls and payment claims</w:t>
      </w:r>
      <w:bookmarkEnd w:id="6"/>
    </w:p>
    <w:p w14:paraId="6BE9DB98" w14:textId="296541BB" w:rsidR="007B21CA" w:rsidRPr="008B332F" w:rsidRDefault="007B21CA" w:rsidP="007B21CA">
      <w:pPr>
        <w:rPr>
          <w:noProof/>
        </w:rPr>
      </w:pPr>
      <w:r w:rsidRPr="4E09AB01">
        <w:rPr>
          <w:noProof/>
        </w:rPr>
        <w:t xml:space="preserve">The liquidity management of guarantee calls and </w:t>
      </w:r>
      <w:r w:rsidR="00D028A3">
        <w:rPr>
          <w:noProof/>
        </w:rPr>
        <w:t xml:space="preserve">the </w:t>
      </w:r>
      <w:r w:rsidRPr="4E09AB01">
        <w:rPr>
          <w:noProof/>
        </w:rPr>
        <w:t xml:space="preserve">payment </w:t>
      </w:r>
      <w:r w:rsidR="00D028A3">
        <w:rPr>
          <w:noProof/>
        </w:rPr>
        <w:t xml:space="preserve">of </w:t>
      </w:r>
      <w:r w:rsidRPr="4E09AB01">
        <w:rPr>
          <w:noProof/>
        </w:rPr>
        <w:t xml:space="preserve">claims is facilitated by a liquidity buffer, as provided for in the </w:t>
      </w:r>
      <w:r>
        <w:rPr>
          <w:noProof/>
        </w:rPr>
        <w:t xml:space="preserve">CPF </w:t>
      </w:r>
      <w:r w:rsidRPr="4E09AB01">
        <w:rPr>
          <w:noProof/>
        </w:rPr>
        <w:t>Asset Management Guidelines</w:t>
      </w:r>
      <w:r>
        <w:rPr>
          <w:noProof/>
        </w:rPr>
        <w:t xml:space="preserve"> (AMGs)</w:t>
      </w:r>
      <w:r w:rsidR="006B013B" w:rsidRPr="006B013B">
        <w:rPr>
          <w:rFonts w:cs="Calibri"/>
          <w:noProof/>
        </w:rPr>
        <w:t> </w:t>
      </w:r>
      <w:r w:rsidR="006B013B" w:rsidRPr="006B013B">
        <w:rPr>
          <w:noProof/>
        </w:rPr>
        <w:t>(</w:t>
      </w:r>
      <w:r>
        <w:rPr>
          <w:rStyle w:val="FootnoteReference"/>
          <w:noProof/>
        </w:rPr>
        <w:footnoteReference w:id="16"/>
      </w:r>
      <w:r w:rsidR="006B013B">
        <w:rPr>
          <w:noProof/>
        </w:rPr>
        <w:t>)</w:t>
      </w:r>
      <w:r w:rsidRPr="4E09AB01">
        <w:rPr>
          <w:noProof/>
        </w:rPr>
        <w:t xml:space="preserve">. The liquidity buffer is </w:t>
      </w:r>
      <w:r w:rsidR="00B53597">
        <w:rPr>
          <w:noProof/>
        </w:rPr>
        <w:t xml:space="preserve">made up of </w:t>
      </w:r>
      <w:r w:rsidRPr="4E09AB01">
        <w:rPr>
          <w:noProof/>
        </w:rPr>
        <w:t xml:space="preserve">limited reserves of cash held at the Commission’s Central Treasury to cover the cash outflows expected to materialise over a </w:t>
      </w:r>
      <w:r w:rsidR="00B53597">
        <w:rPr>
          <w:noProof/>
        </w:rPr>
        <w:t>three</w:t>
      </w:r>
      <w:r w:rsidRPr="4E09AB01">
        <w:rPr>
          <w:noProof/>
        </w:rPr>
        <w:t xml:space="preserve">-month period based on notifications from implementing partners. </w:t>
      </w:r>
    </w:p>
    <w:p w14:paraId="1B94EC07" w14:textId="4577FEBB" w:rsidR="00C56A60" w:rsidRDefault="007B21CA" w:rsidP="00C56A60">
      <w:pPr>
        <w:rPr>
          <w:noProof/>
        </w:rPr>
      </w:pPr>
      <w:r w:rsidRPr="00D171BA">
        <w:rPr>
          <w:noProof/>
        </w:rPr>
        <w:t>The buffer</w:t>
      </w:r>
      <w:r w:rsidRPr="00D171BA">
        <w:rPr>
          <w:rFonts w:ascii="Calibri" w:hAnsi="Calibri" w:cs="Calibri"/>
          <w:noProof/>
        </w:rPr>
        <w:t> </w:t>
      </w:r>
      <w:r w:rsidRPr="00D171BA">
        <w:rPr>
          <w:noProof/>
        </w:rPr>
        <w:t>started 202</w:t>
      </w:r>
      <w:r w:rsidR="08D728EC" w:rsidRPr="00D171BA">
        <w:rPr>
          <w:noProof/>
        </w:rPr>
        <w:t>4</w:t>
      </w:r>
      <w:r w:rsidRPr="00D171BA">
        <w:rPr>
          <w:noProof/>
        </w:rPr>
        <w:t xml:space="preserve"> with a balance of EUR </w:t>
      </w:r>
      <w:r w:rsidR="7CE975E1" w:rsidRPr="00D171BA">
        <w:rPr>
          <w:noProof/>
        </w:rPr>
        <w:t>106</w:t>
      </w:r>
      <w:r w:rsidRPr="00D171BA">
        <w:rPr>
          <w:noProof/>
        </w:rPr>
        <w:t xml:space="preserve"> million. During the year it received inflows of EUR </w:t>
      </w:r>
      <w:r w:rsidR="00C56A60" w:rsidRPr="00D171BA">
        <w:rPr>
          <w:noProof/>
        </w:rPr>
        <w:t>3</w:t>
      </w:r>
      <w:r w:rsidR="00C56A60">
        <w:rPr>
          <w:noProof/>
        </w:rPr>
        <w:t>8</w:t>
      </w:r>
      <w:r w:rsidR="00C56A60" w:rsidRPr="00D171BA">
        <w:rPr>
          <w:noProof/>
        </w:rPr>
        <w:t xml:space="preserve">5 </w:t>
      </w:r>
      <w:r w:rsidRPr="00D171BA">
        <w:rPr>
          <w:noProof/>
        </w:rPr>
        <w:t>million</w:t>
      </w:r>
      <w:r w:rsidR="00725EB0" w:rsidRPr="00725EB0">
        <w:rPr>
          <w:rFonts w:cs="Calibri"/>
          <w:noProof/>
        </w:rPr>
        <w:t> </w:t>
      </w:r>
      <w:r w:rsidR="00725EB0" w:rsidRPr="00725EB0">
        <w:rPr>
          <w:noProof/>
        </w:rPr>
        <w:t>(</w:t>
      </w:r>
      <w:r w:rsidR="00725EB0">
        <w:rPr>
          <w:rStyle w:val="FootnoteReference"/>
          <w:noProof/>
        </w:rPr>
        <w:footnoteReference w:id="17"/>
      </w:r>
      <w:r w:rsidR="00725EB0">
        <w:rPr>
          <w:noProof/>
        </w:rPr>
        <w:t>)</w:t>
      </w:r>
      <w:r w:rsidRPr="00D171BA">
        <w:rPr>
          <w:noProof/>
        </w:rPr>
        <w:t xml:space="preserve">, while a net amount of </w:t>
      </w:r>
      <w:r w:rsidRPr="00D171BA">
        <w:rPr>
          <w:noProof/>
          <w:color w:val="000000" w:themeColor="text1"/>
        </w:rPr>
        <w:t>nearly EUR</w:t>
      </w:r>
      <w:r w:rsidR="3FA61F0E" w:rsidRPr="00D171BA">
        <w:rPr>
          <w:noProof/>
          <w:color w:val="000000" w:themeColor="text1"/>
        </w:rPr>
        <w:t xml:space="preserve"> </w:t>
      </w:r>
      <w:r w:rsidR="00C56A60" w:rsidRPr="00D171BA">
        <w:rPr>
          <w:noProof/>
        </w:rPr>
        <w:t>3</w:t>
      </w:r>
      <w:r w:rsidR="00C56A60">
        <w:rPr>
          <w:noProof/>
        </w:rPr>
        <w:t>5</w:t>
      </w:r>
      <w:r w:rsidR="00C56A60" w:rsidRPr="00D171BA">
        <w:rPr>
          <w:noProof/>
        </w:rPr>
        <w:t xml:space="preserve">0 </w:t>
      </w:r>
      <w:r w:rsidRPr="00D171BA">
        <w:rPr>
          <w:noProof/>
        </w:rPr>
        <w:t>million was paid out in 202</w:t>
      </w:r>
      <w:r w:rsidR="2F2E65B6" w:rsidRPr="00D171BA">
        <w:rPr>
          <w:noProof/>
        </w:rPr>
        <w:t>4</w:t>
      </w:r>
      <w:r w:rsidR="006B013B" w:rsidRPr="00D171BA">
        <w:rPr>
          <w:rFonts w:cs="Calibri"/>
          <w:noProof/>
        </w:rPr>
        <w:t> </w:t>
      </w:r>
      <w:r w:rsidR="006B013B" w:rsidRPr="00D171BA">
        <w:rPr>
          <w:noProof/>
        </w:rPr>
        <w:t>(</w:t>
      </w:r>
      <w:r w:rsidRPr="00D171BA">
        <w:rPr>
          <w:rStyle w:val="FootnoteReference"/>
          <w:noProof/>
        </w:rPr>
        <w:footnoteReference w:id="18"/>
      </w:r>
      <w:r w:rsidR="006B013B" w:rsidRPr="00D171BA">
        <w:rPr>
          <w:noProof/>
        </w:rPr>
        <w:t>)</w:t>
      </w:r>
      <w:r w:rsidRPr="00D171BA">
        <w:rPr>
          <w:noProof/>
        </w:rPr>
        <w:t xml:space="preserve">. </w:t>
      </w:r>
      <w:r w:rsidR="00C56A60">
        <w:rPr>
          <w:noProof/>
        </w:rPr>
        <w:t xml:space="preserve">The compartments that were in overdraft </w:t>
      </w:r>
      <w:r w:rsidR="002454A2">
        <w:rPr>
          <w:noProof/>
        </w:rPr>
        <w:t>were</w:t>
      </w:r>
      <w:r w:rsidR="00C56A60">
        <w:rPr>
          <w:noProof/>
        </w:rPr>
        <w:t xml:space="preserve"> reset by assets from the CPF (amounting to </w:t>
      </w:r>
      <w:r w:rsidR="002252FD">
        <w:rPr>
          <w:noProof/>
        </w:rPr>
        <w:t xml:space="preserve">EUR </w:t>
      </w:r>
      <w:r w:rsidR="00C56A60">
        <w:rPr>
          <w:noProof/>
        </w:rPr>
        <w:t>61 million).  As a result, a</w:t>
      </w:r>
      <w:r w:rsidR="00C56A60" w:rsidRPr="00D171BA">
        <w:rPr>
          <w:noProof/>
        </w:rPr>
        <w:t>t the end of 2024</w:t>
      </w:r>
      <w:r w:rsidR="00C56A60">
        <w:rPr>
          <w:noProof/>
        </w:rPr>
        <w:t xml:space="preserve"> the </w:t>
      </w:r>
      <w:r w:rsidR="00C56A60" w:rsidRPr="00D171BA">
        <w:rPr>
          <w:noProof/>
        </w:rPr>
        <w:t xml:space="preserve">liquidity buffer </w:t>
      </w:r>
      <w:r w:rsidR="00C56A60">
        <w:rPr>
          <w:noProof/>
        </w:rPr>
        <w:t xml:space="preserve">balance stood at </w:t>
      </w:r>
      <w:r w:rsidR="00C56A60" w:rsidRPr="00D171BA">
        <w:rPr>
          <w:noProof/>
        </w:rPr>
        <w:t xml:space="preserve">EUR </w:t>
      </w:r>
      <w:r w:rsidR="00C56A60">
        <w:rPr>
          <w:noProof/>
        </w:rPr>
        <w:t>202</w:t>
      </w:r>
      <w:r w:rsidR="00C56A60" w:rsidRPr="00D171BA">
        <w:rPr>
          <w:rFonts w:cs="Calibri"/>
          <w:noProof/>
        </w:rPr>
        <w:t> </w:t>
      </w:r>
      <w:r w:rsidR="00C56A60" w:rsidRPr="00D171BA">
        <w:rPr>
          <w:noProof/>
        </w:rPr>
        <w:t>million.</w:t>
      </w:r>
    </w:p>
    <w:p w14:paraId="059A590C" w14:textId="3B2F7F34" w:rsidR="007B21CA" w:rsidRPr="008B332F" w:rsidRDefault="007B21CA" w:rsidP="007B21CA">
      <w:pPr>
        <w:rPr>
          <w:noProof/>
        </w:rPr>
      </w:pPr>
    </w:p>
    <w:p w14:paraId="0D56DA88" w14:textId="0A44DCF7" w:rsidR="007B21CA" w:rsidRPr="008B332F" w:rsidRDefault="007B21CA" w:rsidP="007B21CA">
      <w:pPr>
        <w:rPr>
          <w:noProof/>
        </w:rPr>
      </w:pPr>
      <w:r w:rsidRPr="008B332F">
        <w:rPr>
          <w:noProof/>
        </w:rPr>
        <w:t>The 202</w:t>
      </w:r>
      <w:r w:rsidR="378639B8" w:rsidRPr="008B332F">
        <w:rPr>
          <w:noProof/>
        </w:rPr>
        <w:t>4</w:t>
      </w:r>
      <w:r w:rsidRPr="008B332F">
        <w:rPr>
          <w:noProof/>
        </w:rPr>
        <w:t xml:space="preserve"> calls on the CPF provisions by the respective budgetary guarantees</w:t>
      </w:r>
      <w:r w:rsidR="006B013B" w:rsidRPr="006B013B">
        <w:rPr>
          <w:rFonts w:cs="Calibri"/>
          <w:noProof/>
        </w:rPr>
        <w:t> </w:t>
      </w:r>
      <w:r w:rsidR="006B013B" w:rsidRPr="006B013B">
        <w:rPr>
          <w:noProof/>
        </w:rPr>
        <w:t>(</w:t>
      </w:r>
      <w:r w:rsidRPr="008B332F">
        <w:rPr>
          <w:rStyle w:val="FootnoteReference"/>
          <w:noProof/>
        </w:rPr>
        <w:footnoteReference w:id="19"/>
      </w:r>
      <w:r w:rsidR="006B013B">
        <w:rPr>
          <w:noProof/>
        </w:rPr>
        <w:t>)</w:t>
      </w:r>
      <w:r w:rsidRPr="008B332F">
        <w:rPr>
          <w:noProof/>
        </w:rPr>
        <w:t>, as well as other demands on the resources held by the CPF compartments, are summarized below</w:t>
      </w:r>
      <w:r w:rsidR="006B013B" w:rsidRPr="006B013B">
        <w:rPr>
          <w:rFonts w:cs="Calibri"/>
          <w:noProof/>
        </w:rPr>
        <w:t> </w:t>
      </w:r>
      <w:r w:rsidR="006B013B" w:rsidRPr="006B013B">
        <w:rPr>
          <w:noProof/>
        </w:rPr>
        <w:t>(</w:t>
      </w:r>
      <w:r w:rsidRPr="008B332F">
        <w:rPr>
          <w:rStyle w:val="FootnoteReference"/>
          <w:noProof/>
        </w:rPr>
        <w:footnoteReference w:id="20"/>
      </w:r>
      <w:r w:rsidR="006B013B">
        <w:rPr>
          <w:noProof/>
        </w:rPr>
        <w:t>)</w:t>
      </w:r>
      <w:r w:rsidRPr="008B332F">
        <w:rPr>
          <w:noProof/>
        </w:rPr>
        <w:t>.</w:t>
      </w:r>
    </w:p>
    <w:p w14:paraId="1CD8DE55" w14:textId="101142C2" w:rsidR="007B21CA" w:rsidRPr="00EF12DA" w:rsidRDefault="00EB26D9" w:rsidP="00EF12DA">
      <w:pPr>
        <w:pStyle w:val="TableTitle1"/>
        <w:rPr>
          <w:noProof/>
        </w:rPr>
      </w:pPr>
      <w:r w:rsidRPr="46DCAAA1">
        <w:rPr>
          <w:noProof/>
        </w:rPr>
        <w:t>T</w:t>
      </w:r>
      <w:r w:rsidR="007B21CA" w:rsidRPr="46DCAAA1">
        <w:rPr>
          <w:noProof/>
        </w:rPr>
        <w:t xml:space="preserve">able </w:t>
      </w:r>
      <w:r w:rsidRPr="46DCAAA1">
        <w:rPr>
          <w:noProof/>
        </w:rPr>
        <w:fldChar w:fldCharType="begin"/>
      </w:r>
      <w:r w:rsidRPr="46DCAAA1">
        <w:rPr>
          <w:noProof/>
        </w:rPr>
        <w:instrText xml:space="preserve"> SEQ Table \* ARABIC </w:instrText>
      </w:r>
      <w:r w:rsidRPr="46DCAAA1">
        <w:rPr>
          <w:noProof/>
        </w:rPr>
        <w:fldChar w:fldCharType="separate"/>
      </w:r>
      <w:r w:rsidR="006406CC" w:rsidRPr="46DCAAA1">
        <w:rPr>
          <w:noProof/>
        </w:rPr>
        <w:t>2</w:t>
      </w:r>
      <w:r w:rsidRPr="46DCAAA1">
        <w:rPr>
          <w:noProof/>
        </w:rPr>
        <w:fldChar w:fldCharType="end"/>
      </w:r>
      <w:r w:rsidR="007B21CA" w:rsidRPr="46DCAAA1">
        <w:rPr>
          <w:noProof/>
        </w:rPr>
        <w:t>: CPF outflows</w:t>
      </w:r>
      <w:r w:rsidR="00101137" w:rsidRPr="46DCAAA1">
        <w:rPr>
          <w:noProof/>
        </w:rPr>
        <w:t xml:space="preserve"> in 202</w:t>
      </w:r>
      <w:r w:rsidR="442CD07E" w:rsidRPr="46DCAAA1">
        <w:rPr>
          <w:noProof/>
        </w:rPr>
        <w:t>4</w:t>
      </w:r>
      <w:r w:rsidR="007B21CA" w:rsidRPr="46DCAAA1">
        <w:rPr>
          <w:noProof/>
        </w:rPr>
        <w:t>, detailed overview</w:t>
      </w:r>
    </w:p>
    <w:tbl>
      <w:tblPr>
        <w:tblStyle w:val="EurolookClassicBlue"/>
        <w:tblW w:w="5000" w:type="pct"/>
        <w:tblLook w:val="04E0" w:firstRow="1" w:lastRow="1" w:firstColumn="1" w:lastColumn="0" w:noHBand="0" w:noVBand="1"/>
      </w:tblPr>
      <w:tblGrid>
        <w:gridCol w:w="2686"/>
        <w:gridCol w:w="2087"/>
        <w:gridCol w:w="4283"/>
      </w:tblGrid>
      <w:tr w:rsidR="007B21CA" w:rsidRPr="00E11DF8" w14:paraId="4FE9D0D5" w14:textId="77777777" w:rsidTr="5105E1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tcPr>
          <w:p w14:paraId="0EDBC092" w14:textId="4F085C6A" w:rsidR="007B21CA" w:rsidRPr="00E11DF8" w:rsidRDefault="007B21CA" w:rsidP="007B21CA">
            <w:pPr>
              <w:pStyle w:val="TableText"/>
              <w:rPr>
                <w:noProof/>
                <w:sz w:val="22"/>
                <w:szCs w:val="22"/>
              </w:rPr>
            </w:pPr>
            <w:r w:rsidRPr="00E11DF8">
              <w:rPr>
                <w:b/>
                <w:bCs/>
                <w:iCs/>
                <w:noProof/>
                <w:sz w:val="22"/>
                <w:szCs w:val="22"/>
              </w:rPr>
              <w:t>Compartment</w:t>
            </w:r>
          </w:p>
        </w:tc>
        <w:tc>
          <w:tcPr>
            <w:tcW w:w="1152" w:type="pct"/>
          </w:tcPr>
          <w:p w14:paraId="1F776201" w14:textId="1111FE46" w:rsidR="007B21CA" w:rsidRPr="00E11DF8" w:rsidRDefault="007B21CA" w:rsidP="00143262">
            <w:pPr>
              <w:pStyle w:val="TableText"/>
              <w:jc w:val="right"/>
              <w:cnfStyle w:val="100000000000" w:firstRow="1" w:lastRow="0" w:firstColumn="0" w:lastColumn="0" w:oddVBand="0" w:evenVBand="0" w:oddHBand="0" w:evenHBand="0" w:firstRowFirstColumn="0" w:firstRowLastColumn="0" w:lastRowFirstColumn="0" w:lastRowLastColumn="0"/>
              <w:rPr>
                <w:noProof/>
                <w:sz w:val="22"/>
                <w:szCs w:val="22"/>
              </w:rPr>
            </w:pPr>
            <w:r w:rsidRPr="00E11DF8">
              <w:rPr>
                <w:b/>
                <w:bCs/>
                <w:iCs/>
                <w:noProof/>
                <w:sz w:val="22"/>
                <w:szCs w:val="22"/>
              </w:rPr>
              <w:t>in EUR m</w:t>
            </w:r>
            <w:r w:rsidR="00143262">
              <w:rPr>
                <w:b/>
                <w:bCs/>
                <w:iCs/>
                <w:noProof/>
                <w:sz w:val="22"/>
                <w:szCs w:val="22"/>
              </w:rPr>
              <w:t>illion</w:t>
            </w:r>
          </w:p>
        </w:tc>
        <w:tc>
          <w:tcPr>
            <w:tcW w:w="2365" w:type="pct"/>
          </w:tcPr>
          <w:p w14:paraId="41F78659" w14:textId="155C169A" w:rsidR="007B21CA" w:rsidRPr="00E11DF8" w:rsidRDefault="007B21CA" w:rsidP="007B21CA">
            <w:pPr>
              <w:pStyle w:val="TableText"/>
              <w:jc w:val="center"/>
              <w:cnfStyle w:val="100000000000" w:firstRow="1" w:lastRow="0" w:firstColumn="0" w:lastColumn="0" w:oddVBand="0" w:evenVBand="0" w:oddHBand="0" w:evenHBand="0" w:firstRowFirstColumn="0" w:firstRowLastColumn="0" w:lastRowFirstColumn="0" w:lastRowLastColumn="0"/>
              <w:rPr>
                <w:noProof/>
                <w:sz w:val="22"/>
                <w:szCs w:val="22"/>
              </w:rPr>
            </w:pPr>
            <w:r w:rsidRPr="00E11DF8">
              <w:rPr>
                <w:b/>
                <w:bCs/>
                <w:iCs/>
                <w:noProof/>
                <w:sz w:val="22"/>
                <w:szCs w:val="22"/>
              </w:rPr>
              <w:t>Nature of outflow</w:t>
            </w:r>
          </w:p>
        </w:tc>
      </w:tr>
      <w:tr w:rsidR="007B21CA" w:rsidRPr="00E11DF8" w14:paraId="5650A4F0" w14:textId="77777777" w:rsidTr="5105E120">
        <w:trPr>
          <w:trHeight w:val="300"/>
        </w:trPr>
        <w:tc>
          <w:tcPr>
            <w:cnfStyle w:val="001000000000" w:firstRow="0" w:lastRow="0" w:firstColumn="1" w:lastColumn="0" w:oddVBand="0" w:evenVBand="0" w:oddHBand="0" w:evenHBand="0" w:firstRowFirstColumn="0" w:firstRowLastColumn="0" w:lastRowFirstColumn="0" w:lastRowLastColumn="0"/>
            <w:tcW w:w="1483" w:type="pct"/>
          </w:tcPr>
          <w:p w14:paraId="57FD66AD" w14:textId="2FADFCF2" w:rsidR="007B21CA" w:rsidRPr="00E11DF8" w:rsidRDefault="007B21CA" w:rsidP="007B21CA">
            <w:pPr>
              <w:pStyle w:val="TableText"/>
              <w:rPr>
                <w:noProof/>
                <w:sz w:val="22"/>
                <w:szCs w:val="22"/>
              </w:rPr>
            </w:pPr>
            <w:r w:rsidRPr="00E11DF8">
              <w:rPr>
                <w:noProof/>
                <w:sz w:val="22"/>
                <w:szCs w:val="22"/>
              </w:rPr>
              <w:t>EFSD</w:t>
            </w:r>
          </w:p>
        </w:tc>
        <w:tc>
          <w:tcPr>
            <w:tcW w:w="1152" w:type="pct"/>
          </w:tcPr>
          <w:p w14:paraId="2F58D8E2" w14:textId="6F2C69BC" w:rsidR="007B21CA" w:rsidRPr="00E11DF8" w:rsidRDefault="6B2B743A" w:rsidP="00B558AC">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46DCAAA1">
              <w:rPr>
                <w:b/>
                <w:bCs/>
                <w:noProof/>
                <w:sz w:val="22"/>
                <w:szCs w:val="22"/>
              </w:rPr>
              <w:t>6.14</w:t>
            </w:r>
          </w:p>
        </w:tc>
        <w:tc>
          <w:tcPr>
            <w:tcW w:w="2365" w:type="pct"/>
          </w:tcPr>
          <w:p w14:paraId="7E852E5D" w14:textId="0AD49477" w:rsidR="007B21CA" w:rsidRPr="00E11DF8" w:rsidRDefault="007B21CA"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00E11DF8">
              <w:rPr>
                <w:iCs/>
                <w:noProof/>
                <w:sz w:val="22"/>
                <w:szCs w:val="22"/>
              </w:rPr>
              <w:t>guarantee calls</w:t>
            </w:r>
          </w:p>
        </w:tc>
      </w:tr>
      <w:tr w:rsidR="007B21CA" w:rsidRPr="00E11DF8" w14:paraId="2795264A" w14:textId="77777777" w:rsidTr="5105E12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tcPr>
          <w:p w14:paraId="6ED46E77" w14:textId="42BA929C" w:rsidR="007B21CA" w:rsidRPr="00E11DF8" w:rsidRDefault="007B21CA" w:rsidP="007B21CA">
            <w:pPr>
              <w:pStyle w:val="TableText"/>
              <w:rPr>
                <w:noProof/>
                <w:sz w:val="22"/>
                <w:szCs w:val="22"/>
              </w:rPr>
            </w:pPr>
            <w:r w:rsidRPr="00E11DF8">
              <w:rPr>
                <w:noProof/>
                <w:sz w:val="22"/>
                <w:szCs w:val="22"/>
              </w:rPr>
              <w:t>EFSD+</w:t>
            </w:r>
          </w:p>
        </w:tc>
        <w:tc>
          <w:tcPr>
            <w:tcW w:w="1152" w:type="pct"/>
          </w:tcPr>
          <w:p w14:paraId="669EBEEB" w14:textId="27C2B1B8" w:rsidR="007B21CA" w:rsidRPr="00E11DF8" w:rsidRDefault="0FED850A" w:rsidP="46DCAAA1">
            <w:pPr>
              <w:pStyle w:val="TableText"/>
              <w:spacing w:line="259" w:lineRule="auto"/>
              <w:jc w:val="right"/>
              <w:cnfStyle w:val="000000010000" w:firstRow="0" w:lastRow="0" w:firstColumn="0" w:lastColumn="0" w:oddVBand="0" w:evenVBand="0" w:oddHBand="0" w:evenHBand="1" w:firstRowFirstColumn="0" w:firstRowLastColumn="0" w:lastRowFirstColumn="0" w:lastRowLastColumn="0"/>
              <w:rPr>
                <w:b/>
                <w:bCs/>
                <w:noProof/>
                <w:sz w:val="22"/>
                <w:szCs w:val="22"/>
              </w:rPr>
            </w:pPr>
            <w:r w:rsidRPr="46DCAAA1">
              <w:rPr>
                <w:b/>
                <w:bCs/>
                <w:noProof/>
                <w:sz w:val="22"/>
                <w:szCs w:val="22"/>
              </w:rPr>
              <w:t>0.09</w:t>
            </w:r>
          </w:p>
        </w:tc>
        <w:tc>
          <w:tcPr>
            <w:tcW w:w="2365" w:type="pct"/>
          </w:tcPr>
          <w:p w14:paraId="730F2897" w14:textId="18504837" w:rsidR="007B21CA" w:rsidRPr="00E11DF8" w:rsidRDefault="007B21CA" w:rsidP="00B558AC">
            <w:pPr>
              <w:pStyle w:val="TableText"/>
              <w:jc w:val="center"/>
              <w:cnfStyle w:val="000000010000" w:firstRow="0" w:lastRow="0" w:firstColumn="0" w:lastColumn="0" w:oddVBand="0" w:evenVBand="0" w:oddHBand="0" w:evenHBand="1" w:firstRowFirstColumn="0" w:firstRowLastColumn="0" w:lastRowFirstColumn="0" w:lastRowLastColumn="0"/>
              <w:rPr>
                <w:noProof/>
                <w:sz w:val="22"/>
                <w:szCs w:val="22"/>
              </w:rPr>
            </w:pPr>
            <w:r w:rsidRPr="00E11DF8">
              <w:rPr>
                <w:iCs/>
                <w:noProof/>
                <w:sz w:val="22"/>
                <w:szCs w:val="22"/>
              </w:rPr>
              <w:t>guarantee calls</w:t>
            </w:r>
          </w:p>
        </w:tc>
      </w:tr>
      <w:tr w:rsidR="007B21CA" w:rsidRPr="00E11DF8" w14:paraId="17595CB3" w14:textId="77777777" w:rsidTr="5105E120">
        <w:trPr>
          <w:trHeight w:val="20"/>
        </w:trPr>
        <w:tc>
          <w:tcPr>
            <w:cnfStyle w:val="001000000000" w:firstRow="0" w:lastRow="0" w:firstColumn="1" w:lastColumn="0" w:oddVBand="0" w:evenVBand="0" w:oddHBand="0" w:evenHBand="0" w:firstRowFirstColumn="0" w:firstRowLastColumn="0" w:lastRowFirstColumn="0" w:lastRowLastColumn="0"/>
            <w:tcW w:w="1483" w:type="pct"/>
            <w:vMerge w:val="restart"/>
            <w:shd w:val="clear" w:color="auto" w:fill="FFFFFF" w:themeFill="background1"/>
          </w:tcPr>
          <w:p w14:paraId="1FEA9B0F" w14:textId="06156AA1" w:rsidR="007B21CA" w:rsidRPr="00E11DF8" w:rsidRDefault="007B21CA" w:rsidP="007B21CA">
            <w:pPr>
              <w:pStyle w:val="TableText"/>
              <w:rPr>
                <w:noProof/>
                <w:sz w:val="22"/>
                <w:szCs w:val="22"/>
              </w:rPr>
            </w:pPr>
            <w:r w:rsidRPr="00E11DF8">
              <w:rPr>
                <w:noProof/>
                <w:sz w:val="22"/>
                <w:szCs w:val="22"/>
              </w:rPr>
              <w:t>GFEA</w:t>
            </w:r>
            <w:r w:rsidR="00B40533">
              <w:rPr>
                <w:noProof/>
                <w:sz w:val="22"/>
                <w:szCs w:val="22"/>
              </w:rPr>
              <w:br/>
            </w:r>
            <w:r w:rsidR="00B40533" w:rsidRPr="00B40533">
              <w:rPr>
                <w:noProof/>
                <w:sz w:val="22"/>
                <w:szCs w:val="22"/>
              </w:rPr>
              <w:t>(</w:t>
            </w:r>
            <w:r w:rsidR="00E96E2B">
              <w:rPr>
                <w:noProof/>
                <w:sz w:val="22"/>
                <w:szCs w:val="22"/>
              </w:rPr>
              <w:t xml:space="preserve">Total: </w:t>
            </w:r>
            <w:r w:rsidR="00CD7F6A">
              <w:rPr>
                <w:noProof/>
                <w:sz w:val="22"/>
                <w:szCs w:val="22"/>
              </w:rPr>
              <w:t xml:space="preserve">EUR </w:t>
            </w:r>
            <w:r w:rsidR="00B40533" w:rsidRPr="00B40533">
              <w:rPr>
                <w:noProof/>
                <w:sz w:val="22"/>
                <w:szCs w:val="22"/>
              </w:rPr>
              <w:t>49.93</w:t>
            </w:r>
            <w:r w:rsidR="00143262">
              <w:rPr>
                <w:noProof/>
                <w:sz w:val="22"/>
                <w:szCs w:val="22"/>
              </w:rPr>
              <w:t xml:space="preserve"> million</w:t>
            </w:r>
            <w:r w:rsidR="00B40533" w:rsidRPr="00B40533">
              <w:rPr>
                <w:noProof/>
                <w:sz w:val="22"/>
                <w:szCs w:val="22"/>
              </w:rPr>
              <w:t>)</w:t>
            </w:r>
          </w:p>
        </w:tc>
        <w:tc>
          <w:tcPr>
            <w:tcW w:w="1152" w:type="pct"/>
            <w:shd w:val="clear" w:color="auto" w:fill="FFFFFF" w:themeFill="background1"/>
          </w:tcPr>
          <w:p w14:paraId="064B4E71" w14:textId="6CC27E77" w:rsidR="007B21CA" w:rsidRPr="00F93739" w:rsidRDefault="269A5809" w:rsidP="00B558AC">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32A2CDED">
              <w:rPr>
                <w:b/>
                <w:bCs/>
                <w:noProof/>
                <w:sz w:val="22"/>
                <w:szCs w:val="22"/>
              </w:rPr>
              <w:t>48.85</w:t>
            </w:r>
          </w:p>
        </w:tc>
        <w:tc>
          <w:tcPr>
            <w:tcW w:w="2365" w:type="pct"/>
            <w:shd w:val="clear" w:color="auto" w:fill="FFFFFF" w:themeFill="background1"/>
          </w:tcPr>
          <w:p w14:paraId="120CFD2D" w14:textId="5AEF152F" w:rsidR="007B21CA" w:rsidRPr="00E11DF8" w:rsidRDefault="007B21CA"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00E11DF8">
              <w:rPr>
                <w:iCs/>
                <w:noProof/>
                <w:sz w:val="22"/>
                <w:szCs w:val="22"/>
              </w:rPr>
              <w:t>guarantee calls</w:t>
            </w:r>
          </w:p>
        </w:tc>
      </w:tr>
      <w:tr w:rsidR="00EF033F" w:rsidRPr="00E11DF8" w14:paraId="5567622F" w14:textId="77777777" w:rsidTr="5105E120">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3" w:type="pct"/>
            <w:vMerge/>
          </w:tcPr>
          <w:p w14:paraId="5A45FF17" w14:textId="77777777" w:rsidR="00EF033F" w:rsidRPr="00E11DF8" w:rsidRDefault="00EF033F" w:rsidP="007B21CA">
            <w:pPr>
              <w:pStyle w:val="TableText"/>
              <w:rPr>
                <w:noProof/>
                <w:sz w:val="22"/>
                <w:szCs w:val="22"/>
              </w:rPr>
            </w:pPr>
          </w:p>
        </w:tc>
        <w:tc>
          <w:tcPr>
            <w:tcW w:w="1152" w:type="pct"/>
            <w:shd w:val="clear" w:color="auto" w:fill="FFFFFF" w:themeFill="background1"/>
          </w:tcPr>
          <w:p w14:paraId="4A57FACF" w14:textId="6DAC788F" w:rsidR="00EF033F" w:rsidRPr="00F93739" w:rsidRDefault="00EF033F" w:rsidP="00B558AC">
            <w:pPr>
              <w:pStyle w:val="TableText"/>
              <w:jc w:val="right"/>
              <w:cnfStyle w:val="000000010000" w:firstRow="0" w:lastRow="0" w:firstColumn="0" w:lastColumn="0" w:oddVBand="0" w:evenVBand="0" w:oddHBand="0" w:evenHBand="1" w:firstRowFirstColumn="0" w:firstRowLastColumn="0" w:lastRowFirstColumn="0" w:lastRowLastColumn="0"/>
              <w:rPr>
                <w:b/>
                <w:bCs/>
                <w:noProof/>
                <w:sz w:val="22"/>
                <w:szCs w:val="22"/>
              </w:rPr>
            </w:pPr>
            <w:r w:rsidRPr="32A2CDED">
              <w:rPr>
                <w:b/>
                <w:bCs/>
                <w:noProof/>
                <w:sz w:val="22"/>
                <w:szCs w:val="22"/>
              </w:rPr>
              <w:t>1.08</w:t>
            </w:r>
          </w:p>
        </w:tc>
        <w:tc>
          <w:tcPr>
            <w:tcW w:w="2365" w:type="pct"/>
            <w:shd w:val="clear" w:color="auto" w:fill="FFFFFF" w:themeFill="background1"/>
          </w:tcPr>
          <w:p w14:paraId="2C3DAECB" w14:textId="210C968D" w:rsidR="00EF033F" w:rsidRPr="00E11DF8" w:rsidRDefault="00EF033F" w:rsidP="00B558AC">
            <w:pPr>
              <w:pStyle w:val="TableText"/>
              <w:jc w:val="center"/>
              <w:cnfStyle w:val="000000010000" w:firstRow="0" w:lastRow="0" w:firstColumn="0" w:lastColumn="0" w:oddVBand="0" w:evenVBand="0" w:oddHBand="0" w:evenHBand="1" w:firstRowFirstColumn="0" w:firstRowLastColumn="0" w:lastRowFirstColumn="0" w:lastRowLastColumn="0"/>
              <w:rPr>
                <w:noProof/>
                <w:sz w:val="22"/>
                <w:szCs w:val="22"/>
              </w:rPr>
            </w:pPr>
            <w:r w:rsidRPr="00E11DF8">
              <w:rPr>
                <w:iCs/>
                <w:noProof/>
                <w:sz w:val="22"/>
                <w:szCs w:val="22"/>
              </w:rPr>
              <w:t>legal expenses</w:t>
            </w:r>
          </w:p>
        </w:tc>
      </w:tr>
      <w:tr w:rsidR="00B64132" w:rsidRPr="00E11DF8" w14:paraId="66C68742" w14:textId="77777777" w:rsidTr="32A2CDED">
        <w:trPr>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EBECED"/>
          </w:tcPr>
          <w:p w14:paraId="0001C160" w14:textId="6806FABE" w:rsidR="00010B34" w:rsidRPr="00E11DF8" w:rsidRDefault="00010B34" w:rsidP="00B558AC">
            <w:pPr>
              <w:pStyle w:val="TableText"/>
              <w:rPr>
                <w:noProof/>
                <w:sz w:val="22"/>
                <w:szCs w:val="22"/>
              </w:rPr>
            </w:pPr>
            <w:r w:rsidRPr="00E11DF8">
              <w:rPr>
                <w:noProof/>
                <w:sz w:val="22"/>
                <w:szCs w:val="22"/>
              </w:rPr>
              <w:t>EFSI</w:t>
            </w:r>
          </w:p>
        </w:tc>
        <w:tc>
          <w:tcPr>
            <w:tcW w:w="1152" w:type="pct"/>
            <w:shd w:val="clear" w:color="auto" w:fill="EBECED"/>
          </w:tcPr>
          <w:p w14:paraId="5E6425F0" w14:textId="6B175C23" w:rsidR="00010B34" w:rsidRPr="00F93739" w:rsidRDefault="787A8FE0" w:rsidP="00B558AC">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32A2CDED">
              <w:rPr>
                <w:b/>
                <w:bCs/>
                <w:noProof/>
                <w:sz w:val="22"/>
                <w:szCs w:val="22"/>
              </w:rPr>
              <w:t>152.16</w:t>
            </w:r>
          </w:p>
        </w:tc>
        <w:tc>
          <w:tcPr>
            <w:tcW w:w="2365" w:type="pct"/>
            <w:shd w:val="clear" w:color="auto" w:fill="EBECED"/>
          </w:tcPr>
          <w:p w14:paraId="43106384" w14:textId="748993EC" w:rsidR="00010B34" w:rsidRPr="00E11DF8" w:rsidRDefault="787A8FE0"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46DCAAA1">
              <w:rPr>
                <w:noProof/>
                <w:sz w:val="22"/>
                <w:szCs w:val="22"/>
              </w:rPr>
              <w:t>guarantee calls</w:t>
            </w:r>
          </w:p>
        </w:tc>
      </w:tr>
      <w:tr w:rsidR="00E71CD2" w:rsidRPr="00E11DF8" w14:paraId="49A69849" w14:textId="77777777" w:rsidTr="5105E12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FFFFFF" w:themeFill="background1"/>
          </w:tcPr>
          <w:p w14:paraId="2CF629DB" w14:textId="53FA88F5" w:rsidR="00E71CD2" w:rsidRPr="00E11DF8" w:rsidRDefault="00832897" w:rsidP="007B21CA">
            <w:pPr>
              <w:pStyle w:val="TableText"/>
              <w:rPr>
                <w:noProof/>
                <w:sz w:val="22"/>
                <w:szCs w:val="22"/>
              </w:rPr>
            </w:pPr>
            <w:r>
              <w:rPr>
                <w:noProof/>
                <w:sz w:val="22"/>
                <w:szCs w:val="22"/>
              </w:rPr>
              <w:t>InvestEU EU</w:t>
            </w:r>
          </w:p>
        </w:tc>
        <w:tc>
          <w:tcPr>
            <w:tcW w:w="1152" w:type="pct"/>
            <w:shd w:val="clear" w:color="auto" w:fill="FFFFFF" w:themeFill="background1"/>
          </w:tcPr>
          <w:p w14:paraId="7AB076EB" w14:textId="7E14B742" w:rsidR="00E71CD2" w:rsidRPr="00F93739" w:rsidRDefault="00C56A60" w:rsidP="00B558AC">
            <w:pPr>
              <w:pStyle w:val="TableText"/>
              <w:jc w:val="right"/>
              <w:cnfStyle w:val="000000010000" w:firstRow="0" w:lastRow="0" w:firstColumn="0" w:lastColumn="0" w:oddVBand="0" w:evenVBand="0" w:oddHBand="0" w:evenHBand="1" w:firstRowFirstColumn="0" w:firstRowLastColumn="0" w:lastRowFirstColumn="0" w:lastRowLastColumn="0"/>
              <w:rPr>
                <w:b/>
                <w:bCs/>
                <w:noProof/>
                <w:sz w:val="22"/>
                <w:szCs w:val="22"/>
              </w:rPr>
            </w:pPr>
            <w:r>
              <w:rPr>
                <w:b/>
                <w:bCs/>
                <w:noProof/>
                <w:sz w:val="22"/>
                <w:szCs w:val="22"/>
              </w:rPr>
              <w:t>96.78</w:t>
            </w:r>
          </w:p>
        </w:tc>
        <w:tc>
          <w:tcPr>
            <w:tcW w:w="2365" w:type="pct"/>
            <w:shd w:val="clear" w:color="auto" w:fill="FFFFFF" w:themeFill="background1"/>
          </w:tcPr>
          <w:p w14:paraId="5ECF16B2" w14:textId="6647C661" w:rsidR="00E71CD2" w:rsidRPr="00E11DF8" w:rsidRDefault="00E71CD2" w:rsidP="00B558AC">
            <w:pPr>
              <w:pStyle w:val="TableText"/>
              <w:jc w:val="center"/>
              <w:cnfStyle w:val="000000010000" w:firstRow="0" w:lastRow="0" w:firstColumn="0" w:lastColumn="0" w:oddVBand="0" w:evenVBand="0" w:oddHBand="0" w:evenHBand="1" w:firstRowFirstColumn="0" w:firstRowLastColumn="0" w:lastRowFirstColumn="0" w:lastRowLastColumn="0"/>
              <w:rPr>
                <w:iCs/>
                <w:noProof/>
                <w:sz w:val="22"/>
                <w:szCs w:val="22"/>
              </w:rPr>
            </w:pPr>
            <w:r w:rsidRPr="00E11DF8">
              <w:rPr>
                <w:iCs/>
                <w:noProof/>
                <w:sz w:val="22"/>
                <w:szCs w:val="22"/>
              </w:rPr>
              <w:t>guarantee calls</w:t>
            </w:r>
          </w:p>
        </w:tc>
      </w:tr>
      <w:tr w:rsidR="007B21CA" w:rsidRPr="00E11DF8" w14:paraId="58BA0A2A" w14:textId="77777777" w:rsidTr="5105E120">
        <w:trPr>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EBECED"/>
          </w:tcPr>
          <w:p w14:paraId="46C6DB1A" w14:textId="10CE3FA5" w:rsidR="007B21CA" w:rsidRPr="00E11DF8" w:rsidRDefault="00EB26D9" w:rsidP="007B21CA">
            <w:pPr>
              <w:pStyle w:val="TableText"/>
              <w:rPr>
                <w:noProof/>
                <w:sz w:val="22"/>
                <w:szCs w:val="22"/>
              </w:rPr>
            </w:pPr>
            <w:r w:rsidRPr="5105E120">
              <w:rPr>
                <w:noProof/>
                <w:sz w:val="22"/>
                <w:szCs w:val="22"/>
              </w:rPr>
              <w:t>InvestEU</w:t>
            </w:r>
            <w:r w:rsidRPr="00E11DF8">
              <w:rPr>
                <w:noProof/>
                <w:sz w:val="22"/>
                <w:szCs w:val="22"/>
              </w:rPr>
              <w:t xml:space="preserve"> Romania</w:t>
            </w:r>
          </w:p>
        </w:tc>
        <w:tc>
          <w:tcPr>
            <w:tcW w:w="1152" w:type="pct"/>
            <w:shd w:val="clear" w:color="auto" w:fill="EBECED"/>
          </w:tcPr>
          <w:p w14:paraId="55D05CE6" w14:textId="0DDB748C" w:rsidR="007B21CA" w:rsidRPr="00E11DF8" w:rsidRDefault="269E342A" w:rsidP="00B558AC">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46DCAAA1">
              <w:rPr>
                <w:b/>
                <w:bCs/>
                <w:noProof/>
                <w:sz w:val="22"/>
                <w:szCs w:val="22"/>
              </w:rPr>
              <w:t>10.30</w:t>
            </w:r>
          </w:p>
        </w:tc>
        <w:tc>
          <w:tcPr>
            <w:tcW w:w="2365" w:type="pct"/>
            <w:shd w:val="clear" w:color="auto" w:fill="EBECED"/>
          </w:tcPr>
          <w:p w14:paraId="3588B5FA" w14:textId="66311105" w:rsidR="007B21CA" w:rsidRPr="00E11DF8" w:rsidRDefault="4E9A2B72"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46DCAAA1">
              <w:rPr>
                <w:noProof/>
                <w:sz w:val="22"/>
                <w:szCs w:val="22"/>
              </w:rPr>
              <w:t>guarantee calls</w:t>
            </w:r>
          </w:p>
        </w:tc>
      </w:tr>
      <w:tr w:rsidR="5E6CF5B3" w14:paraId="31C71B0E" w14:textId="77777777" w:rsidTr="5105E12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FFFFFF" w:themeFill="background1"/>
          </w:tcPr>
          <w:p w14:paraId="3670A0BB" w14:textId="3E2D1C71" w:rsidR="48C5B8DD" w:rsidRDefault="4E9A2B72" w:rsidP="46DCAAA1">
            <w:pPr>
              <w:pStyle w:val="TableText"/>
              <w:rPr>
                <w:noProof/>
                <w:sz w:val="22"/>
                <w:szCs w:val="22"/>
              </w:rPr>
            </w:pPr>
            <w:r w:rsidRPr="46DCAAA1">
              <w:rPr>
                <w:noProof/>
                <w:sz w:val="22"/>
                <w:szCs w:val="22"/>
              </w:rPr>
              <w:t>InvestEU Malta</w:t>
            </w:r>
          </w:p>
        </w:tc>
        <w:tc>
          <w:tcPr>
            <w:tcW w:w="1152" w:type="pct"/>
            <w:shd w:val="clear" w:color="auto" w:fill="FFFFFF" w:themeFill="background1"/>
          </w:tcPr>
          <w:p w14:paraId="2A284360" w14:textId="646A7DFA" w:rsidR="48C5B8DD" w:rsidRDefault="4E9A2B72" w:rsidP="46DCAAA1">
            <w:pPr>
              <w:pStyle w:val="TableText"/>
              <w:jc w:val="right"/>
              <w:cnfStyle w:val="000000010000" w:firstRow="0" w:lastRow="0" w:firstColumn="0" w:lastColumn="0" w:oddVBand="0" w:evenVBand="0" w:oddHBand="0" w:evenHBand="1" w:firstRowFirstColumn="0" w:firstRowLastColumn="0" w:lastRowFirstColumn="0" w:lastRowLastColumn="0"/>
              <w:rPr>
                <w:b/>
                <w:bCs/>
                <w:noProof/>
                <w:sz w:val="22"/>
                <w:szCs w:val="22"/>
              </w:rPr>
            </w:pPr>
            <w:r w:rsidRPr="46DCAAA1">
              <w:rPr>
                <w:b/>
                <w:bCs/>
                <w:noProof/>
                <w:sz w:val="22"/>
                <w:szCs w:val="22"/>
              </w:rPr>
              <w:t>0.53</w:t>
            </w:r>
          </w:p>
        </w:tc>
        <w:tc>
          <w:tcPr>
            <w:tcW w:w="2365" w:type="pct"/>
            <w:shd w:val="clear" w:color="auto" w:fill="FFFFFF" w:themeFill="background1"/>
          </w:tcPr>
          <w:p w14:paraId="1253F25C" w14:textId="32F2AF69" w:rsidR="48C5B8DD" w:rsidRDefault="4E9A2B72" w:rsidP="46DCAAA1">
            <w:pPr>
              <w:pStyle w:val="TableText"/>
              <w:jc w:val="center"/>
              <w:cnfStyle w:val="000000010000" w:firstRow="0" w:lastRow="0" w:firstColumn="0" w:lastColumn="0" w:oddVBand="0" w:evenVBand="0" w:oddHBand="0" w:evenHBand="1" w:firstRowFirstColumn="0" w:firstRowLastColumn="0" w:lastRowFirstColumn="0" w:lastRowLastColumn="0"/>
              <w:rPr>
                <w:noProof/>
                <w:sz w:val="22"/>
                <w:szCs w:val="22"/>
              </w:rPr>
            </w:pPr>
            <w:r w:rsidRPr="46DCAAA1">
              <w:rPr>
                <w:noProof/>
                <w:sz w:val="22"/>
                <w:szCs w:val="22"/>
              </w:rPr>
              <w:t>guarantee calls</w:t>
            </w:r>
          </w:p>
        </w:tc>
      </w:tr>
      <w:tr w:rsidR="5E6CF5B3" w14:paraId="0CA6CAFE" w14:textId="77777777" w:rsidTr="5105E120">
        <w:trPr>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EBECED"/>
          </w:tcPr>
          <w:p w14:paraId="4BA712A4" w14:textId="046E7A92" w:rsidR="48C5B8DD" w:rsidRDefault="4E9A2B72" w:rsidP="46DCAAA1">
            <w:pPr>
              <w:pStyle w:val="TableText"/>
              <w:rPr>
                <w:noProof/>
                <w:sz w:val="22"/>
                <w:szCs w:val="22"/>
              </w:rPr>
            </w:pPr>
            <w:r w:rsidRPr="46DCAAA1">
              <w:rPr>
                <w:noProof/>
                <w:sz w:val="22"/>
                <w:szCs w:val="22"/>
              </w:rPr>
              <w:t>InvestEU Bulgaria</w:t>
            </w:r>
          </w:p>
        </w:tc>
        <w:tc>
          <w:tcPr>
            <w:tcW w:w="1152" w:type="pct"/>
            <w:shd w:val="clear" w:color="auto" w:fill="EBECED"/>
          </w:tcPr>
          <w:p w14:paraId="5451A161" w14:textId="2455B91C" w:rsidR="48C5B8DD" w:rsidRDefault="4E9A2B72" w:rsidP="46DCAAA1">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46DCAAA1">
              <w:rPr>
                <w:b/>
                <w:bCs/>
                <w:noProof/>
                <w:sz w:val="22"/>
                <w:szCs w:val="22"/>
              </w:rPr>
              <w:t>4.11</w:t>
            </w:r>
          </w:p>
        </w:tc>
        <w:tc>
          <w:tcPr>
            <w:tcW w:w="2365" w:type="pct"/>
            <w:shd w:val="clear" w:color="auto" w:fill="EBECED"/>
          </w:tcPr>
          <w:p w14:paraId="66C68E1A" w14:textId="41F722FC" w:rsidR="48C5B8DD" w:rsidRDefault="4E9A2B72"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46DCAAA1">
              <w:rPr>
                <w:noProof/>
                <w:sz w:val="22"/>
                <w:szCs w:val="22"/>
              </w:rPr>
              <w:t>guarantee calls</w:t>
            </w:r>
          </w:p>
        </w:tc>
      </w:tr>
      <w:tr w:rsidR="5E6CF5B3" w14:paraId="22C95CC7" w14:textId="77777777" w:rsidTr="5105E12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FFFFFF" w:themeFill="background1"/>
          </w:tcPr>
          <w:p w14:paraId="2D8A867F" w14:textId="57D9855B" w:rsidR="48C5B8DD" w:rsidRDefault="4E9A2B72" w:rsidP="46DCAAA1">
            <w:pPr>
              <w:pStyle w:val="TableText"/>
              <w:rPr>
                <w:noProof/>
                <w:sz w:val="22"/>
                <w:szCs w:val="22"/>
              </w:rPr>
            </w:pPr>
            <w:r w:rsidRPr="46DCAAA1">
              <w:rPr>
                <w:noProof/>
                <w:sz w:val="22"/>
                <w:szCs w:val="22"/>
              </w:rPr>
              <w:t>InvestEU Finland</w:t>
            </w:r>
          </w:p>
        </w:tc>
        <w:tc>
          <w:tcPr>
            <w:tcW w:w="1152" w:type="pct"/>
            <w:shd w:val="clear" w:color="auto" w:fill="FFFFFF" w:themeFill="background1"/>
          </w:tcPr>
          <w:p w14:paraId="365E425A" w14:textId="64F61400" w:rsidR="48C5B8DD" w:rsidRDefault="4E9A2B72" w:rsidP="46DCAAA1">
            <w:pPr>
              <w:pStyle w:val="TableText"/>
              <w:jc w:val="right"/>
              <w:cnfStyle w:val="000000010000" w:firstRow="0" w:lastRow="0" w:firstColumn="0" w:lastColumn="0" w:oddVBand="0" w:evenVBand="0" w:oddHBand="0" w:evenHBand="1" w:firstRowFirstColumn="0" w:firstRowLastColumn="0" w:lastRowFirstColumn="0" w:lastRowLastColumn="0"/>
              <w:rPr>
                <w:b/>
                <w:bCs/>
                <w:noProof/>
                <w:sz w:val="22"/>
                <w:szCs w:val="22"/>
              </w:rPr>
            </w:pPr>
            <w:r w:rsidRPr="46DCAAA1">
              <w:rPr>
                <w:b/>
                <w:bCs/>
                <w:noProof/>
                <w:sz w:val="22"/>
                <w:szCs w:val="22"/>
              </w:rPr>
              <w:t>2.74</w:t>
            </w:r>
          </w:p>
        </w:tc>
        <w:tc>
          <w:tcPr>
            <w:tcW w:w="2365" w:type="pct"/>
            <w:shd w:val="clear" w:color="auto" w:fill="FFFFFF" w:themeFill="background1"/>
          </w:tcPr>
          <w:p w14:paraId="334EF1DC" w14:textId="33DC9AA7" w:rsidR="48C5B8DD" w:rsidRDefault="4E9A2B72" w:rsidP="00B558AC">
            <w:pPr>
              <w:pStyle w:val="TableText"/>
              <w:jc w:val="center"/>
              <w:cnfStyle w:val="000000010000" w:firstRow="0" w:lastRow="0" w:firstColumn="0" w:lastColumn="0" w:oddVBand="0" w:evenVBand="0" w:oddHBand="0" w:evenHBand="1" w:firstRowFirstColumn="0" w:firstRowLastColumn="0" w:lastRowFirstColumn="0" w:lastRowLastColumn="0"/>
              <w:rPr>
                <w:noProof/>
                <w:sz w:val="22"/>
                <w:szCs w:val="22"/>
              </w:rPr>
            </w:pPr>
            <w:r w:rsidRPr="46DCAAA1">
              <w:rPr>
                <w:noProof/>
                <w:sz w:val="22"/>
                <w:szCs w:val="22"/>
              </w:rPr>
              <w:t>guarantee calls</w:t>
            </w:r>
          </w:p>
        </w:tc>
      </w:tr>
      <w:tr w:rsidR="5E6CF5B3" w14:paraId="1E930BAE" w14:textId="77777777" w:rsidTr="5105E120">
        <w:trPr>
          <w:trHeight w:val="300"/>
        </w:trPr>
        <w:tc>
          <w:tcPr>
            <w:cnfStyle w:val="001000000000" w:firstRow="0" w:lastRow="0" w:firstColumn="1" w:lastColumn="0" w:oddVBand="0" w:evenVBand="0" w:oddHBand="0" w:evenHBand="0" w:firstRowFirstColumn="0" w:firstRowLastColumn="0" w:lastRowFirstColumn="0" w:lastRowLastColumn="0"/>
            <w:tcW w:w="1483" w:type="pct"/>
            <w:shd w:val="clear" w:color="auto" w:fill="EBECED"/>
          </w:tcPr>
          <w:p w14:paraId="610A06EF" w14:textId="72068B35" w:rsidR="48C5B8DD" w:rsidRDefault="4E9A2B72" w:rsidP="46DCAAA1">
            <w:pPr>
              <w:pStyle w:val="TableText"/>
              <w:rPr>
                <w:noProof/>
                <w:sz w:val="22"/>
                <w:szCs w:val="22"/>
              </w:rPr>
            </w:pPr>
            <w:r w:rsidRPr="46DCAAA1">
              <w:rPr>
                <w:noProof/>
                <w:sz w:val="22"/>
                <w:szCs w:val="22"/>
              </w:rPr>
              <w:t>InvestEU Blending</w:t>
            </w:r>
          </w:p>
        </w:tc>
        <w:tc>
          <w:tcPr>
            <w:tcW w:w="1152" w:type="pct"/>
            <w:shd w:val="clear" w:color="auto" w:fill="EBECED"/>
          </w:tcPr>
          <w:p w14:paraId="0191602A" w14:textId="3E3CFFF9" w:rsidR="48C5B8DD" w:rsidRDefault="4E9A2B72" w:rsidP="46DCAAA1">
            <w:pPr>
              <w:pStyle w:val="TableText"/>
              <w:jc w:val="right"/>
              <w:cnfStyle w:val="000000000000" w:firstRow="0" w:lastRow="0" w:firstColumn="0" w:lastColumn="0" w:oddVBand="0" w:evenVBand="0" w:oddHBand="0" w:evenHBand="0" w:firstRowFirstColumn="0" w:firstRowLastColumn="0" w:lastRowFirstColumn="0" w:lastRowLastColumn="0"/>
              <w:rPr>
                <w:b/>
                <w:bCs/>
                <w:noProof/>
                <w:sz w:val="22"/>
                <w:szCs w:val="22"/>
              </w:rPr>
            </w:pPr>
            <w:r w:rsidRPr="46DCAAA1">
              <w:rPr>
                <w:b/>
                <w:bCs/>
                <w:noProof/>
                <w:sz w:val="22"/>
                <w:szCs w:val="22"/>
              </w:rPr>
              <w:t>27.07</w:t>
            </w:r>
          </w:p>
        </w:tc>
        <w:tc>
          <w:tcPr>
            <w:tcW w:w="2365" w:type="pct"/>
            <w:shd w:val="clear" w:color="auto" w:fill="EBECED"/>
          </w:tcPr>
          <w:p w14:paraId="5BF6FB7D" w14:textId="1A1A94E9" w:rsidR="48C5B8DD" w:rsidRDefault="4E9A2B72" w:rsidP="00B558AC">
            <w:pPr>
              <w:pStyle w:val="TableText"/>
              <w:jc w:val="center"/>
              <w:cnfStyle w:val="000000000000" w:firstRow="0" w:lastRow="0" w:firstColumn="0" w:lastColumn="0" w:oddVBand="0" w:evenVBand="0" w:oddHBand="0" w:evenHBand="0" w:firstRowFirstColumn="0" w:firstRowLastColumn="0" w:lastRowFirstColumn="0" w:lastRowLastColumn="0"/>
              <w:rPr>
                <w:noProof/>
                <w:sz w:val="22"/>
                <w:szCs w:val="22"/>
              </w:rPr>
            </w:pPr>
            <w:r w:rsidRPr="46DCAAA1">
              <w:rPr>
                <w:noProof/>
                <w:sz w:val="22"/>
                <w:szCs w:val="22"/>
              </w:rPr>
              <w:t>guarantee calls</w:t>
            </w:r>
          </w:p>
        </w:tc>
      </w:tr>
      <w:tr w:rsidR="007B21CA" w:rsidRPr="00E11DF8" w14:paraId="382677A4" w14:textId="77777777" w:rsidTr="5105E120">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3" w:type="pct"/>
          </w:tcPr>
          <w:p w14:paraId="7424DEFF" w14:textId="7EFDC330" w:rsidR="007B21CA" w:rsidRPr="00E11DF8" w:rsidRDefault="007B21CA" w:rsidP="007B21CA">
            <w:pPr>
              <w:pStyle w:val="TableText"/>
              <w:rPr>
                <w:b/>
                <w:bCs/>
                <w:noProof/>
                <w:sz w:val="22"/>
                <w:szCs w:val="22"/>
              </w:rPr>
            </w:pPr>
            <w:r w:rsidRPr="00E11DF8">
              <w:rPr>
                <w:b/>
                <w:bCs/>
                <w:noProof/>
                <w:sz w:val="22"/>
                <w:szCs w:val="22"/>
              </w:rPr>
              <w:t>Total outflows</w:t>
            </w:r>
          </w:p>
        </w:tc>
        <w:tc>
          <w:tcPr>
            <w:tcW w:w="1152" w:type="pct"/>
          </w:tcPr>
          <w:p w14:paraId="458BD280" w14:textId="2B954E48" w:rsidR="007B21CA" w:rsidRPr="00E11DF8" w:rsidRDefault="00C56A60" w:rsidP="007B21CA">
            <w:pPr>
              <w:pStyle w:val="TableText"/>
              <w:jc w:val="right"/>
              <w:cnfStyle w:val="010000000000" w:firstRow="0" w:lastRow="1" w:firstColumn="0" w:lastColumn="0" w:oddVBand="0" w:evenVBand="0" w:oddHBand="0" w:evenHBand="0" w:firstRowFirstColumn="0" w:firstRowLastColumn="0" w:lastRowFirstColumn="0" w:lastRowLastColumn="0"/>
              <w:rPr>
                <w:b/>
                <w:bCs/>
                <w:noProof/>
                <w:sz w:val="22"/>
                <w:szCs w:val="22"/>
              </w:rPr>
            </w:pPr>
            <w:r>
              <w:rPr>
                <w:b/>
                <w:bCs/>
                <w:noProof/>
                <w:sz w:val="22"/>
                <w:szCs w:val="22"/>
              </w:rPr>
              <w:t>349.85</w:t>
            </w:r>
          </w:p>
        </w:tc>
        <w:tc>
          <w:tcPr>
            <w:tcW w:w="2365" w:type="pct"/>
          </w:tcPr>
          <w:p w14:paraId="201747B4" w14:textId="77777777" w:rsidR="007B21CA" w:rsidRPr="00E11DF8" w:rsidRDefault="007B21CA" w:rsidP="007B21CA">
            <w:pPr>
              <w:pStyle w:val="TableText"/>
              <w:jc w:val="center"/>
              <w:cnfStyle w:val="010000000000" w:firstRow="0" w:lastRow="1" w:firstColumn="0" w:lastColumn="0" w:oddVBand="0" w:evenVBand="0" w:oddHBand="0" w:evenHBand="0" w:firstRowFirstColumn="0" w:firstRowLastColumn="0" w:lastRowFirstColumn="0" w:lastRowLastColumn="0"/>
              <w:rPr>
                <w:noProof/>
                <w:sz w:val="22"/>
                <w:szCs w:val="22"/>
              </w:rPr>
            </w:pPr>
          </w:p>
        </w:tc>
      </w:tr>
    </w:tbl>
    <w:p w14:paraId="7680AC39" w14:textId="77777777" w:rsidR="007B21CA" w:rsidRDefault="007B21CA" w:rsidP="007B21CA">
      <w:pPr>
        <w:pStyle w:val="Text1"/>
        <w:rPr>
          <w:noProof/>
        </w:rPr>
      </w:pPr>
    </w:p>
    <w:sdt>
      <w:sdtPr>
        <w:rPr>
          <w:b w:val="0"/>
          <w:noProof/>
          <w:color w:val="auto"/>
        </w:rPr>
        <w:alias w:val="Picture"/>
        <w:tag w:val="Yevoz0GxKA7SLcZiEquUa5"/>
        <w:id w:val="1703435677"/>
        <w:placeholder>
          <w:docPart w:val="F7F8FA6F70CC440ABEA82F241CACE888"/>
        </w:placeholder>
      </w:sdtPr>
      <w:sdtEndPr>
        <w:rPr>
          <w:b/>
          <w:color w:val="004494"/>
        </w:rPr>
      </w:sdtEndPr>
      <w:sdtContent>
        <w:p w14:paraId="337BE31E" w14:textId="19D6FCCB" w:rsidR="00A858E3" w:rsidRPr="00820E02" w:rsidRDefault="13CEB53C" w:rsidP="00CA4025">
          <w:pPr>
            <w:pStyle w:val="FigureTitle1"/>
            <w:spacing w:before="120"/>
            <w:rPr>
              <w:noProof/>
            </w:rPr>
          </w:pPr>
          <w:r w:rsidRPr="46DCAAA1">
            <w:rPr>
              <w:noProof/>
            </w:rPr>
            <w:t xml:space="preserve">Figure </w:t>
          </w:r>
          <w:r w:rsidRPr="46DCAAA1">
            <w:rPr>
              <w:b w:val="0"/>
              <w:iCs w:val="0"/>
              <w:noProof/>
            </w:rPr>
            <w:fldChar w:fldCharType="begin"/>
          </w:r>
          <w:r w:rsidRPr="46DCAAA1">
            <w:rPr>
              <w:noProof/>
            </w:rPr>
            <w:instrText xml:space="preserve"> SEQ Figure \* ARABIC </w:instrText>
          </w:r>
          <w:r w:rsidRPr="46DCAAA1">
            <w:rPr>
              <w:b w:val="0"/>
              <w:iCs w:val="0"/>
              <w:noProof/>
            </w:rPr>
            <w:fldChar w:fldCharType="separate"/>
          </w:r>
          <w:r w:rsidR="1FAD6816" w:rsidRPr="46DCAAA1">
            <w:rPr>
              <w:noProof/>
            </w:rPr>
            <w:t>3</w:t>
          </w:r>
          <w:r w:rsidRPr="46DCAAA1">
            <w:rPr>
              <w:b w:val="0"/>
              <w:iCs w:val="0"/>
              <w:noProof/>
            </w:rPr>
            <w:fldChar w:fldCharType="end"/>
          </w:r>
          <w:r w:rsidRPr="46DCAAA1">
            <w:rPr>
              <w:noProof/>
            </w:rPr>
            <w:t>:</w:t>
          </w:r>
          <w:r w:rsidRPr="46DCAAA1">
            <w:rPr>
              <w:rFonts w:ascii="Calibri" w:hAnsi="Calibri" w:cs="Calibri"/>
              <w:noProof/>
            </w:rPr>
            <w:t> </w:t>
          </w:r>
          <w:r w:rsidRPr="46DCAAA1">
            <w:rPr>
              <w:noProof/>
            </w:rPr>
            <w:t>202</w:t>
          </w:r>
          <w:r w:rsidR="1A2FC1B5" w:rsidRPr="46DCAAA1">
            <w:rPr>
              <w:noProof/>
            </w:rPr>
            <w:t>4</w:t>
          </w:r>
          <w:r w:rsidRPr="46DCAAA1">
            <w:rPr>
              <w:noProof/>
            </w:rPr>
            <w:t xml:space="preserve"> CPF outflows </w:t>
          </w:r>
          <w:r w:rsidR="32AC5D73" w:rsidRPr="46DCAAA1">
            <w:rPr>
              <w:noProof/>
            </w:rPr>
            <w:t>(EUR million)</w:t>
          </w:r>
        </w:p>
      </w:sdtContent>
    </w:sdt>
    <w:p w14:paraId="6A80CA0F" w14:textId="4B8AE082" w:rsidR="00025777" w:rsidRDefault="00BE1BDB">
      <w:pPr>
        <w:spacing w:after="0"/>
        <w:jc w:val="left"/>
        <w:rPr>
          <w:b/>
          <w:noProof/>
          <w:color w:val="0070C0"/>
          <w:sz w:val="28"/>
          <w:szCs w:val="22"/>
        </w:rPr>
      </w:pPr>
      <w:r w:rsidRPr="00BE1BDB">
        <w:rPr>
          <w:noProof/>
          <w:lang w:eastAsia="en-GB"/>
        </w:rPr>
        <w:drawing>
          <wp:inline distT="0" distB="0" distL="0" distR="0" wp14:anchorId="29D3BBBC" wp14:editId="6B178CCE">
            <wp:extent cx="5760720" cy="3329940"/>
            <wp:effectExtent l="0" t="0" r="0" b="3810"/>
            <wp:docPr id="5" name="Picture 4">
              <a:extLst xmlns:a="http://schemas.openxmlformats.org/drawingml/2006/main">
                <a:ext uri="{FF2B5EF4-FFF2-40B4-BE49-F238E27FC236}">
                  <a16:creationId xmlns:a16="http://schemas.microsoft.com/office/drawing/2014/main" id="{B3E36499-28A4-B9E5-6290-47C67107F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3E36499-28A4-B9E5-6290-47C67107F218}"/>
                        </a:ext>
                      </a:extLst>
                    </pic:cNvPr>
                    <pic:cNvPicPr>
                      <a:picLocks noChangeAspect="1"/>
                    </pic:cNvPicPr>
                  </pic:nvPicPr>
                  <pic:blipFill>
                    <a:blip r:embed="rId20"/>
                    <a:stretch>
                      <a:fillRect/>
                    </a:stretch>
                  </pic:blipFill>
                  <pic:spPr>
                    <a:xfrm>
                      <a:off x="0" y="0"/>
                      <a:ext cx="5760720" cy="3329940"/>
                    </a:xfrm>
                    <a:prstGeom prst="rect">
                      <a:avLst/>
                    </a:prstGeom>
                  </pic:spPr>
                </pic:pic>
              </a:graphicData>
            </a:graphic>
          </wp:inline>
        </w:drawing>
      </w:r>
      <w:r w:rsidR="00025777">
        <w:rPr>
          <w:noProof/>
        </w:rPr>
        <w:br w:type="page"/>
      </w:r>
    </w:p>
    <w:p w14:paraId="4881A91D" w14:textId="4053D0DF" w:rsidR="000B0D9D" w:rsidRPr="00C300C0" w:rsidRDefault="00D67AF1" w:rsidP="00A34164">
      <w:pPr>
        <w:pStyle w:val="Heading2"/>
      </w:pPr>
      <w:bookmarkStart w:id="7" w:name="_Toc194300627"/>
      <w:r>
        <w:t>1</w:t>
      </w:r>
      <w:r w:rsidR="00F135BC">
        <w:t xml:space="preserve">.4. </w:t>
      </w:r>
      <w:r w:rsidR="000B0D9D" w:rsidRPr="00C300C0">
        <w:t>Effective provisioning rate</w:t>
      </w:r>
      <w:bookmarkEnd w:id="7"/>
    </w:p>
    <w:p w14:paraId="70E148F0" w14:textId="77777777" w:rsidR="00B53597" w:rsidRPr="00464451" w:rsidRDefault="00B53597" w:rsidP="00B53597">
      <w:pPr>
        <w:pStyle w:val="paragraph"/>
        <w:spacing w:before="0" w:beforeAutospacing="0" w:after="240" w:afterAutospacing="0"/>
        <w:jc w:val="both"/>
        <w:textAlignment w:val="baseline"/>
        <w:rPr>
          <w:rFonts w:ascii="EC Square Sans Pro" w:hAnsi="EC Square Sans Pro"/>
          <w:noProof/>
          <w:sz w:val="24"/>
          <w:szCs w:val="24"/>
          <w:lang w:val="en-GB"/>
        </w:rPr>
      </w:pPr>
      <w:r w:rsidRPr="00464451">
        <w:rPr>
          <w:rFonts w:ascii="EC Square Sans Pro" w:hAnsi="EC Square Sans Pro"/>
          <w:noProof/>
          <w:sz w:val="24"/>
          <w:szCs w:val="24"/>
          <w:lang w:val="en-GB"/>
        </w:rPr>
        <w:t>Article</w:t>
      </w:r>
      <w:r>
        <w:rPr>
          <w:noProof/>
          <w:sz w:val="24"/>
          <w:szCs w:val="24"/>
          <w:lang w:val="en-GB"/>
        </w:rPr>
        <w:t> </w:t>
      </w:r>
      <w:r w:rsidRPr="00464451">
        <w:rPr>
          <w:rFonts w:ascii="EC Square Sans Pro" w:hAnsi="EC Square Sans Pro"/>
          <w:noProof/>
          <w:sz w:val="24"/>
          <w:szCs w:val="24"/>
          <w:lang w:val="en-GB"/>
        </w:rPr>
        <w:t xml:space="preserve">216 of the Financial Regulation provides that the provisioning of budgetary guarantees and financial assistance to third countries in the CPF will be based on the Effective Provisioning Rate (EPR) as defined in that Article. The EPR takes </w:t>
      </w:r>
      <w:r>
        <w:rPr>
          <w:rFonts w:ascii="EC Square Sans Pro" w:hAnsi="EC Square Sans Pro"/>
          <w:noProof/>
          <w:sz w:val="24"/>
          <w:szCs w:val="24"/>
          <w:lang w:val="en-GB"/>
        </w:rPr>
        <w:t xml:space="preserve">account of the fact </w:t>
      </w:r>
      <w:r w:rsidRPr="00464451">
        <w:rPr>
          <w:rFonts w:ascii="EC Square Sans Pro" w:hAnsi="EC Square Sans Pro"/>
          <w:noProof/>
          <w:sz w:val="24"/>
          <w:szCs w:val="24"/>
          <w:lang w:val="en-GB"/>
        </w:rPr>
        <w:t>that the pooled management of the CPF – as opposed to the management of separate guarantee funds – could result in potential diversification if calls on the different compartments are not correlated in time or intensity.</w:t>
      </w:r>
    </w:p>
    <w:p w14:paraId="0DB805D8" w14:textId="77777777" w:rsidR="00B53597" w:rsidRPr="00464451" w:rsidRDefault="00B53597" w:rsidP="00B53597">
      <w:pPr>
        <w:rPr>
          <w:noProof/>
          <w:szCs w:val="24"/>
        </w:rPr>
      </w:pPr>
      <w:r w:rsidRPr="00464451">
        <w:rPr>
          <w:noProof/>
          <w:color w:val="000000"/>
          <w:szCs w:val="24"/>
        </w:rPr>
        <w:t xml:space="preserve">The EPR </w:t>
      </w:r>
      <w:r w:rsidRPr="00464451">
        <w:rPr>
          <w:noProof/>
          <w:szCs w:val="24"/>
        </w:rPr>
        <w:t>is the ratio between</w:t>
      </w:r>
    </w:p>
    <w:p w14:paraId="67C4DD3F" w14:textId="77777777" w:rsidR="00B53597" w:rsidRPr="00464451" w:rsidRDefault="00B53597" w:rsidP="00B53597">
      <w:pPr>
        <w:pStyle w:val="ListParagraph"/>
        <w:numPr>
          <w:ilvl w:val="0"/>
          <w:numId w:val="24"/>
        </w:numPr>
        <w:spacing w:line="240" w:lineRule="auto"/>
        <w:ind w:left="714" w:hanging="357"/>
        <w:rPr>
          <w:noProof/>
          <w:sz w:val="24"/>
          <w:szCs w:val="24"/>
          <w14:ligatures w14:val="none"/>
        </w:rPr>
      </w:pPr>
      <w:r w:rsidRPr="00464451">
        <w:rPr>
          <w:noProof/>
          <w:sz w:val="24"/>
          <w:szCs w:val="24"/>
        </w:rPr>
        <w:t>the required amount of cash and cash equivalents held by the CPF</w:t>
      </w:r>
      <w:r>
        <w:rPr>
          <w:noProof/>
          <w:sz w:val="24"/>
          <w:szCs w:val="24"/>
        </w:rPr>
        <w:t>,</w:t>
      </w:r>
      <w:r w:rsidRPr="00464451">
        <w:rPr>
          <w:noProof/>
          <w:sz w:val="24"/>
          <w:szCs w:val="24"/>
        </w:rPr>
        <w:t xml:space="preserve"> taking account of diversification effects between compartments, and</w:t>
      </w:r>
    </w:p>
    <w:p w14:paraId="0668B96B" w14:textId="77777777" w:rsidR="00B53597" w:rsidRPr="00464451" w:rsidRDefault="00B53597" w:rsidP="00B53597">
      <w:pPr>
        <w:pStyle w:val="ListParagraph"/>
        <w:numPr>
          <w:ilvl w:val="0"/>
          <w:numId w:val="24"/>
        </w:numPr>
        <w:spacing w:line="240" w:lineRule="auto"/>
        <w:ind w:left="714" w:hanging="357"/>
        <w:rPr>
          <w:noProof/>
          <w:sz w:val="24"/>
          <w:szCs w:val="24"/>
        </w:rPr>
      </w:pPr>
      <w:r w:rsidRPr="00464451">
        <w:rPr>
          <w:noProof/>
          <w:sz w:val="24"/>
          <w:szCs w:val="24"/>
        </w:rPr>
        <w:t xml:space="preserve">the sum of the required amounts of cash and cash equivalents in </w:t>
      </w:r>
      <w:r>
        <w:rPr>
          <w:noProof/>
          <w:sz w:val="24"/>
          <w:szCs w:val="24"/>
        </w:rPr>
        <w:t xml:space="preserve">the event that </w:t>
      </w:r>
      <w:r w:rsidRPr="00464451">
        <w:rPr>
          <w:noProof/>
          <w:sz w:val="24"/>
          <w:szCs w:val="24"/>
        </w:rPr>
        <w:t xml:space="preserve">each compartment </w:t>
      </w:r>
      <w:r>
        <w:rPr>
          <w:noProof/>
          <w:sz w:val="24"/>
          <w:szCs w:val="24"/>
        </w:rPr>
        <w:t>is</w:t>
      </w:r>
      <w:r w:rsidRPr="00464451">
        <w:rPr>
          <w:noProof/>
          <w:sz w:val="24"/>
          <w:szCs w:val="24"/>
        </w:rPr>
        <w:t xml:space="preserve"> managed separately.</w:t>
      </w:r>
    </w:p>
    <w:p w14:paraId="7A9DF730" w14:textId="77777777" w:rsidR="00B53597" w:rsidRPr="00464451" w:rsidDel="00A858E3" w:rsidRDefault="00B53597" w:rsidP="00B53597">
      <w:pPr>
        <w:rPr>
          <w:rStyle w:val="eop"/>
          <w:rFonts w:ascii="Calibri" w:eastAsiaTheme="minorEastAsia" w:hAnsi="Calibri" w:cs="Calibri"/>
          <w:noProof/>
          <w:color w:val="000000"/>
          <w14:ligatures w14:val="standardContextual"/>
        </w:rPr>
      </w:pPr>
      <w:r w:rsidRPr="00464451">
        <w:rPr>
          <w:noProof/>
        </w:rPr>
        <w:t xml:space="preserve">By law, the EPR should be set </w:t>
      </w:r>
      <w:r>
        <w:rPr>
          <w:noProof/>
        </w:rPr>
        <w:t xml:space="preserve">at </w:t>
      </w:r>
      <w:r w:rsidRPr="00464451">
        <w:rPr>
          <w:noProof/>
        </w:rPr>
        <w:t xml:space="preserve">between 95% and 100%, with a figure below 100% reflecting some diversification effects. </w:t>
      </w:r>
      <w:r>
        <w:rPr>
          <w:rStyle w:val="normaltextrun"/>
          <w:noProof/>
          <w:color w:val="000000"/>
        </w:rPr>
        <w:t>As a result of</w:t>
      </w:r>
      <w:r w:rsidRPr="00464451">
        <w:rPr>
          <w:rStyle w:val="normaltextrun"/>
          <w:noProof/>
          <w:color w:val="000000"/>
        </w:rPr>
        <w:t xml:space="preserve"> calculations based on the established methodology</w:t>
      </w:r>
      <w:r w:rsidRPr="00464451">
        <w:rPr>
          <w:rStyle w:val="normaltextrun"/>
          <w:rFonts w:ascii="Calibri" w:hAnsi="Calibri" w:cs="Calibri"/>
          <w:noProof/>
          <w:color w:val="000000"/>
        </w:rPr>
        <w:t> </w:t>
      </w:r>
      <w:r w:rsidRPr="00464451">
        <w:rPr>
          <w:rStyle w:val="normaltextrun"/>
          <w:noProof/>
          <w:color w:val="000000"/>
        </w:rPr>
        <w:t>(</w:t>
      </w:r>
      <w:r w:rsidRPr="00464451">
        <w:rPr>
          <w:rStyle w:val="FootnoteReference"/>
          <w:noProof/>
          <w:color w:val="000000"/>
        </w:rPr>
        <w:footnoteReference w:id="21"/>
      </w:r>
      <w:r w:rsidRPr="00464451">
        <w:rPr>
          <w:rStyle w:val="normaltextrun"/>
          <w:noProof/>
          <w:color w:val="000000"/>
        </w:rPr>
        <w:t>)</w:t>
      </w:r>
      <w:r>
        <w:rPr>
          <w:rStyle w:val="normaltextrun"/>
          <w:noProof/>
          <w:color w:val="000000"/>
        </w:rPr>
        <w:t>,</w:t>
      </w:r>
      <w:r w:rsidRPr="00464451">
        <w:rPr>
          <w:rStyle w:val="superscript"/>
          <w:noProof/>
          <w:color w:val="000000"/>
          <w:vertAlign w:val="superscript"/>
        </w:rPr>
        <w:t xml:space="preserve"> </w:t>
      </w:r>
      <w:r w:rsidRPr="00464451">
        <w:rPr>
          <w:rStyle w:val="superscript"/>
          <w:noProof/>
          <w:color w:val="000000"/>
        </w:rPr>
        <w:t xml:space="preserve">and </w:t>
      </w:r>
      <w:r w:rsidRPr="00464451">
        <w:rPr>
          <w:noProof/>
        </w:rPr>
        <w:t xml:space="preserve">given </w:t>
      </w:r>
      <w:r w:rsidRPr="00464451">
        <w:rPr>
          <w:rStyle w:val="normaltextrun"/>
          <w:noProof/>
          <w:color w:val="000000"/>
        </w:rPr>
        <w:t>the prevailing macro</w:t>
      </w:r>
      <w:r>
        <w:rPr>
          <w:rStyle w:val="normaltextrun"/>
          <w:noProof/>
          <w:color w:val="000000"/>
        </w:rPr>
        <w:t>economic</w:t>
      </w:r>
      <w:r w:rsidRPr="00464451">
        <w:rPr>
          <w:rStyle w:val="normaltextrun"/>
          <w:noProof/>
          <w:color w:val="000000"/>
        </w:rPr>
        <w:t xml:space="preserve"> and geopolitical uncertainties (some of the CPF compartments being highly dependent on the evolution of the situation in Ukraine), the Commission proposed that the EPR for 202</w:t>
      </w:r>
      <w:r w:rsidRPr="00464451">
        <w:rPr>
          <w:rStyle w:val="normaltextrun"/>
          <w:noProof/>
          <w:color w:val="000000" w:themeColor="text1"/>
        </w:rPr>
        <w:t>4</w:t>
      </w:r>
      <w:r w:rsidRPr="00464451">
        <w:rPr>
          <w:rStyle w:val="normaltextrun"/>
          <w:noProof/>
          <w:color w:val="000000"/>
        </w:rPr>
        <w:t xml:space="preserve"> remain at 100% due to the absence of any observed diversification between calls on the provisions of the different compartments. This approach was confirmed in the adopted </w:t>
      </w:r>
      <w:r>
        <w:rPr>
          <w:rStyle w:val="normaltextrun"/>
          <w:noProof/>
          <w:color w:val="000000"/>
        </w:rPr>
        <w:t xml:space="preserve">2025 </w:t>
      </w:r>
      <w:r w:rsidRPr="00464451">
        <w:rPr>
          <w:rStyle w:val="normaltextrun"/>
          <w:noProof/>
          <w:color w:val="000000"/>
        </w:rPr>
        <w:t>Annual Budget.</w:t>
      </w:r>
    </w:p>
    <w:p w14:paraId="3A72B273" w14:textId="3983CBD5" w:rsidR="00713837" w:rsidRPr="00286D29" w:rsidRDefault="004715AC" w:rsidP="00A34164">
      <w:pPr>
        <w:pStyle w:val="Heading1"/>
        <w:rPr>
          <w:noProof/>
        </w:rPr>
      </w:pPr>
      <w:bookmarkStart w:id="8" w:name="_Toc194300628"/>
      <w:r w:rsidRPr="00286D29">
        <w:rPr>
          <w:noProof/>
        </w:rPr>
        <w:t xml:space="preserve">Part </w:t>
      </w:r>
      <w:r w:rsidR="00D67AF1">
        <w:rPr>
          <w:noProof/>
        </w:rPr>
        <w:t>2</w:t>
      </w:r>
      <w:r w:rsidRPr="00286D29">
        <w:rPr>
          <w:noProof/>
        </w:rPr>
        <w:t xml:space="preserve">: </w:t>
      </w:r>
      <w:r w:rsidR="000B0D9D" w:rsidRPr="00286D29">
        <w:rPr>
          <w:noProof/>
        </w:rPr>
        <w:t>Investment strategy</w:t>
      </w:r>
      <w:r w:rsidRPr="00286D29">
        <w:rPr>
          <w:noProof/>
        </w:rPr>
        <w:t>, portfolio composition and performance</w:t>
      </w:r>
      <w:bookmarkEnd w:id="8"/>
    </w:p>
    <w:p w14:paraId="1980D59E" w14:textId="77777777" w:rsidR="001E5489" w:rsidRPr="00464451" w:rsidRDefault="001E5489" w:rsidP="001E5489">
      <w:pPr>
        <w:rPr>
          <w:noProof/>
          <w:color w:val="000000" w:themeColor="text1"/>
        </w:rPr>
      </w:pPr>
      <w:r w:rsidRPr="00464451">
        <w:rPr>
          <w:noProof/>
        </w:rPr>
        <w:t>The general principles and considerations informing the CPF investment strategy are established by the CPF Asset Management Guidelines and further described in the first CPF annual report for 2021</w:t>
      </w:r>
      <w:r w:rsidRPr="00464451">
        <w:rPr>
          <w:rFonts w:ascii="Calibri" w:hAnsi="Calibri" w:cs="Calibri"/>
          <w:noProof/>
        </w:rPr>
        <w:t> </w:t>
      </w:r>
      <w:r w:rsidRPr="00464451">
        <w:rPr>
          <w:noProof/>
        </w:rPr>
        <w:t>(</w:t>
      </w:r>
      <w:r w:rsidRPr="00464451">
        <w:rPr>
          <w:rStyle w:val="FootnoteReference"/>
          <w:noProof/>
        </w:rPr>
        <w:footnoteReference w:id="22"/>
      </w:r>
      <w:r w:rsidRPr="00464451">
        <w:rPr>
          <w:noProof/>
        </w:rPr>
        <w:t>). Based on the conservative approach enshrined in its Asset Management Guidelines, and low risk-tolerance, the CPF is managed in a way that should, at least, deliver capital preservation over its investment horizon (9 years)</w:t>
      </w:r>
      <w:r w:rsidRPr="00464451">
        <w:rPr>
          <w:rFonts w:ascii="Calibri" w:hAnsi="Calibri" w:cs="Calibri"/>
          <w:noProof/>
        </w:rPr>
        <w:t> </w:t>
      </w:r>
      <w:r w:rsidRPr="00464451">
        <w:rPr>
          <w:noProof/>
        </w:rPr>
        <w:t>(</w:t>
      </w:r>
      <w:r w:rsidRPr="00464451">
        <w:rPr>
          <w:rStyle w:val="FootnoteReference"/>
          <w:noProof/>
        </w:rPr>
        <w:footnoteReference w:id="23"/>
      </w:r>
      <w:r w:rsidRPr="00464451">
        <w:rPr>
          <w:noProof/>
        </w:rPr>
        <w:t xml:space="preserve">). Reflecting this prudent investment policy, the assets in which the CPF can invest are limited to highly liquid and highly rated fixed income securities. </w:t>
      </w:r>
      <w:r w:rsidRPr="00464451">
        <w:rPr>
          <w:noProof/>
          <w:color w:val="000000" w:themeColor="text1"/>
        </w:rPr>
        <w:t xml:space="preserve">The bulk of the CPF has been restricted to investment in </w:t>
      </w:r>
      <w:r>
        <w:rPr>
          <w:noProof/>
          <w:color w:val="000000" w:themeColor="text1"/>
        </w:rPr>
        <w:t>euro</w:t>
      </w:r>
      <w:r w:rsidRPr="00464451">
        <w:rPr>
          <w:noProof/>
          <w:color w:val="000000" w:themeColor="text1"/>
        </w:rPr>
        <w:t xml:space="preserve"> and US </w:t>
      </w:r>
      <w:r>
        <w:rPr>
          <w:noProof/>
          <w:color w:val="000000" w:themeColor="text1"/>
        </w:rPr>
        <w:t>d</w:t>
      </w:r>
      <w:r w:rsidRPr="00464451">
        <w:rPr>
          <w:noProof/>
          <w:color w:val="000000" w:themeColor="text1"/>
        </w:rPr>
        <w:t>ollar (hedged against currency risk) denominated investment-grade fixed income securities (bonds)</w:t>
      </w:r>
      <w:r w:rsidRPr="00464451">
        <w:rPr>
          <w:rStyle w:val="FootnoteReference"/>
          <w:noProof/>
          <w:color w:val="000000" w:themeColor="text1"/>
        </w:rPr>
        <w:footnoteReference w:id="24"/>
      </w:r>
      <w:r w:rsidRPr="00464451">
        <w:rPr>
          <w:noProof/>
          <w:color w:val="000000" w:themeColor="text1"/>
        </w:rPr>
        <w:t xml:space="preserve">. The Asset Management Guidelines were modified in 2022 to allow some limited investment in equity </w:t>
      </w:r>
      <w:r>
        <w:rPr>
          <w:noProof/>
          <w:color w:val="000000" w:themeColor="text1"/>
        </w:rPr>
        <w:t>e</w:t>
      </w:r>
      <w:r w:rsidRPr="00464451">
        <w:rPr>
          <w:noProof/>
          <w:color w:val="000000" w:themeColor="text1"/>
        </w:rPr>
        <w:t>xchange-</w:t>
      </w:r>
      <w:r>
        <w:rPr>
          <w:noProof/>
          <w:color w:val="000000" w:themeColor="text1"/>
        </w:rPr>
        <w:t>t</w:t>
      </w:r>
      <w:r w:rsidRPr="00464451">
        <w:rPr>
          <w:noProof/>
          <w:color w:val="000000" w:themeColor="text1"/>
        </w:rPr>
        <w:t xml:space="preserve">raded </w:t>
      </w:r>
      <w:r>
        <w:rPr>
          <w:noProof/>
          <w:color w:val="000000" w:themeColor="text1"/>
        </w:rPr>
        <w:t>f</w:t>
      </w:r>
      <w:r w:rsidRPr="00464451">
        <w:rPr>
          <w:noProof/>
          <w:color w:val="000000" w:themeColor="text1"/>
        </w:rPr>
        <w:t>unds to provide additional diversification opportunities for the CPF.</w:t>
      </w:r>
    </w:p>
    <w:p w14:paraId="469E8D00" w14:textId="3E026DDC" w:rsidR="00713837" w:rsidRPr="00C300C0" w:rsidRDefault="00D67AF1" w:rsidP="00A34164">
      <w:pPr>
        <w:pStyle w:val="Heading2"/>
      </w:pPr>
      <w:bookmarkStart w:id="9" w:name="_Toc194300629"/>
      <w:r>
        <w:t>2</w:t>
      </w:r>
      <w:r w:rsidR="004715AC">
        <w:t>.1</w:t>
      </w:r>
      <w:r w:rsidR="00F135BC">
        <w:t>.</w:t>
      </w:r>
      <w:r w:rsidR="004715AC">
        <w:t xml:space="preserve"> </w:t>
      </w:r>
      <w:r w:rsidR="00713837" w:rsidRPr="00C300C0">
        <w:t>Composition and characteristics of the portfolio</w:t>
      </w:r>
      <w:bookmarkEnd w:id="9"/>
    </w:p>
    <w:p w14:paraId="7A44C8F5" w14:textId="0902457C" w:rsidR="00713837" w:rsidRPr="008B332F" w:rsidRDefault="00713837" w:rsidP="009D5B05">
      <w:pPr>
        <w:ind w:left="-20" w:right="-20"/>
        <w:rPr>
          <w:noProof/>
          <w:color w:val="000000" w:themeColor="text1"/>
          <w:szCs w:val="22"/>
        </w:rPr>
      </w:pPr>
      <w:r w:rsidRPr="008B332F">
        <w:rPr>
          <w:noProof/>
          <w:color w:val="000000" w:themeColor="text1"/>
          <w:szCs w:val="22"/>
        </w:rPr>
        <w:t xml:space="preserve">As per its </w:t>
      </w:r>
      <w:r>
        <w:rPr>
          <w:noProof/>
          <w:color w:val="000000" w:themeColor="text1"/>
          <w:szCs w:val="22"/>
        </w:rPr>
        <w:t>A</w:t>
      </w:r>
      <w:r w:rsidRPr="008B332F">
        <w:rPr>
          <w:noProof/>
          <w:color w:val="000000" w:themeColor="text1"/>
          <w:szCs w:val="22"/>
        </w:rPr>
        <w:t xml:space="preserve">sset </w:t>
      </w:r>
      <w:r>
        <w:rPr>
          <w:noProof/>
          <w:color w:val="000000" w:themeColor="text1"/>
          <w:szCs w:val="22"/>
        </w:rPr>
        <w:t>M</w:t>
      </w:r>
      <w:r w:rsidRPr="008B332F">
        <w:rPr>
          <w:noProof/>
          <w:color w:val="000000" w:themeColor="text1"/>
          <w:szCs w:val="22"/>
        </w:rPr>
        <w:t xml:space="preserve">anagement </w:t>
      </w:r>
      <w:r>
        <w:rPr>
          <w:noProof/>
          <w:color w:val="000000" w:themeColor="text1"/>
          <w:szCs w:val="22"/>
        </w:rPr>
        <w:t>G</w:t>
      </w:r>
      <w:r w:rsidRPr="008B332F">
        <w:rPr>
          <w:noProof/>
          <w:color w:val="000000" w:themeColor="text1"/>
          <w:szCs w:val="22"/>
        </w:rPr>
        <w:t>uidelines, the CPF maintains a liquid diversified portfolio, primarily investing in highly-rated debt instruments, such as bonds issued by governments, supra-nationals, state agencies and corporates.</w:t>
      </w:r>
    </w:p>
    <w:p w14:paraId="3BDE4EA6" w14:textId="72CABE52" w:rsidR="00713837" w:rsidRPr="008B332F" w:rsidRDefault="00DB3056" w:rsidP="5ED0CC72">
      <w:pPr>
        <w:rPr>
          <w:noProof/>
          <w:color w:val="000000" w:themeColor="text1"/>
        </w:rPr>
      </w:pPr>
      <w:r>
        <w:rPr>
          <w:noProof/>
          <w:color w:val="000000" w:themeColor="text1"/>
        </w:rPr>
        <w:t>At the year-end</w:t>
      </w:r>
      <w:r w:rsidR="00517F8D">
        <w:rPr>
          <w:noProof/>
          <w:color w:val="000000" w:themeColor="text1"/>
        </w:rPr>
        <w:t>,</w:t>
      </w:r>
      <w:r>
        <w:rPr>
          <w:noProof/>
          <w:color w:val="000000" w:themeColor="text1"/>
        </w:rPr>
        <w:t xml:space="preserve"> t</w:t>
      </w:r>
      <w:r w:rsidR="66A0F3E5" w:rsidRPr="5ED0CC72">
        <w:rPr>
          <w:noProof/>
          <w:color w:val="000000" w:themeColor="text1"/>
        </w:rPr>
        <w:t>he CPF portfolio was well diversified across the different asset classes in the eligible fixed income universe, including some limited exposure to equity ETFs</w:t>
      </w:r>
      <w:r w:rsidR="766CD61B" w:rsidRPr="5ED0CC72">
        <w:rPr>
          <w:noProof/>
          <w:color w:val="000000" w:themeColor="text1"/>
        </w:rPr>
        <w:t xml:space="preserve">, </w:t>
      </w:r>
      <w:r w:rsidR="66A0F3E5" w:rsidRPr="5ED0CC72">
        <w:rPr>
          <w:noProof/>
          <w:color w:val="000000" w:themeColor="text1"/>
        </w:rPr>
        <w:t>cash or cash equivalents</w:t>
      </w:r>
      <w:r w:rsidR="5073DC52" w:rsidRPr="5ED0CC72">
        <w:rPr>
          <w:noProof/>
          <w:color w:val="000000" w:themeColor="text1"/>
        </w:rPr>
        <w:t xml:space="preserve"> and</w:t>
      </w:r>
      <w:r w:rsidR="4A73CE1A" w:rsidRPr="5ED0CC72">
        <w:rPr>
          <w:noProof/>
          <w:color w:val="000000" w:themeColor="text1"/>
        </w:rPr>
        <w:t xml:space="preserve"> h</w:t>
      </w:r>
      <w:r w:rsidR="74C75946" w:rsidRPr="5ED0CC72">
        <w:rPr>
          <w:noProof/>
          <w:color w:val="000000" w:themeColor="text1"/>
        </w:rPr>
        <w:t>e</w:t>
      </w:r>
      <w:r w:rsidR="4A73CE1A" w:rsidRPr="5ED0CC72">
        <w:rPr>
          <w:noProof/>
          <w:color w:val="000000" w:themeColor="text1"/>
        </w:rPr>
        <w:t>dged</w:t>
      </w:r>
      <w:r w:rsidR="5073DC52" w:rsidRPr="5ED0CC72">
        <w:rPr>
          <w:noProof/>
          <w:color w:val="000000" w:themeColor="text1"/>
        </w:rPr>
        <w:t xml:space="preserve"> </w:t>
      </w:r>
      <w:r w:rsidR="2653CB35" w:rsidRPr="5ED0CC72">
        <w:rPr>
          <w:noProof/>
          <w:color w:val="000000" w:themeColor="text1"/>
        </w:rPr>
        <w:t>US</w:t>
      </w:r>
      <w:r w:rsidR="696753B0" w:rsidRPr="5ED0CC72">
        <w:rPr>
          <w:noProof/>
          <w:color w:val="000000" w:themeColor="text1"/>
        </w:rPr>
        <w:t xml:space="preserve"> </w:t>
      </w:r>
      <w:r>
        <w:rPr>
          <w:noProof/>
          <w:color w:val="000000" w:themeColor="text1"/>
        </w:rPr>
        <w:t>d</w:t>
      </w:r>
      <w:r w:rsidR="696753B0" w:rsidRPr="5ED0CC72">
        <w:rPr>
          <w:noProof/>
          <w:color w:val="000000" w:themeColor="text1"/>
        </w:rPr>
        <w:t xml:space="preserve">ollar </w:t>
      </w:r>
      <w:r w:rsidR="2653CB35" w:rsidRPr="5ED0CC72">
        <w:rPr>
          <w:noProof/>
          <w:color w:val="000000" w:themeColor="text1"/>
        </w:rPr>
        <w:t>denominated securities (USD)</w:t>
      </w:r>
      <w:r w:rsidR="285FCF29" w:rsidRPr="5ED0CC72">
        <w:rPr>
          <w:noProof/>
          <w:color w:val="000000" w:themeColor="text1"/>
        </w:rPr>
        <w:t xml:space="preserve">. </w:t>
      </w:r>
      <w:r w:rsidR="6424296C" w:rsidRPr="5ED0CC72">
        <w:rPr>
          <w:rFonts w:eastAsia="EC Square Sans Pro" w:cs="EC Square Sans Pro"/>
          <w:noProof/>
          <w:szCs w:val="24"/>
        </w:rPr>
        <w:t>Figure 4 illustrates a growing allocation to sovereign/SSA assets and equities over the years, accompanied by a decline in covered and corporate bonds</w:t>
      </w:r>
      <w:r w:rsidR="00CD15D6">
        <w:rPr>
          <w:rFonts w:eastAsia="EC Square Sans Pro" w:cs="EC Square Sans Pro"/>
          <w:noProof/>
          <w:szCs w:val="24"/>
        </w:rPr>
        <w:t xml:space="preserve"> over the last four years</w:t>
      </w:r>
      <w:r w:rsidR="6424296C" w:rsidRPr="5ED0CC72">
        <w:rPr>
          <w:rFonts w:eastAsia="EC Square Sans Pro" w:cs="EC Square Sans Pro"/>
          <w:noProof/>
          <w:szCs w:val="24"/>
        </w:rPr>
        <w:t>. This trend reflects the introduction of equity as an eligible asset class and shifting perceptions of the relative attractiveness of different asset classes amid evolving market conditions.</w:t>
      </w:r>
    </w:p>
    <w:p w14:paraId="627EC464" w14:textId="42AD4E59" w:rsidR="00713837" w:rsidRPr="008B332F" w:rsidRDefault="66A0F3E5" w:rsidP="009D5B05">
      <w:pPr>
        <w:rPr>
          <w:noProof/>
          <w:color w:val="000000" w:themeColor="text1"/>
        </w:rPr>
      </w:pPr>
      <w:r w:rsidRPr="4E09AB01">
        <w:rPr>
          <w:noProof/>
          <w:color w:val="000000" w:themeColor="text1"/>
        </w:rPr>
        <w:t>The credit quality of the CPF portfolio was high, with an average rating of A, suggesting a negligible default probability</w:t>
      </w:r>
      <w:r w:rsidR="47A15B01" w:rsidRPr="006B013B">
        <w:rPr>
          <w:rFonts w:cs="Calibri"/>
          <w:noProof/>
          <w:color w:val="000000" w:themeColor="text1"/>
        </w:rPr>
        <w:t> </w:t>
      </w:r>
      <w:r w:rsidR="47A15B01" w:rsidRPr="006B013B">
        <w:rPr>
          <w:noProof/>
          <w:color w:val="000000" w:themeColor="text1"/>
        </w:rPr>
        <w:t>(</w:t>
      </w:r>
      <w:r w:rsidR="00713837" w:rsidRPr="4E09AB01">
        <w:rPr>
          <w:rStyle w:val="FootnoteReference"/>
          <w:noProof/>
          <w:color w:val="000000" w:themeColor="text1"/>
        </w:rPr>
        <w:footnoteReference w:id="25"/>
      </w:r>
      <w:r w:rsidR="47A15B01">
        <w:rPr>
          <w:noProof/>
          <w:color w:val="000000" w:themeColor="text1"/>
        </w:rPr>
        <w:t>)</w:t>
      </w:r>
      <w:r w:rsidRPr="4E09AB01">
        <w:rPr>
          <w:noProof/>
          <w:color w:val="000000" w:themeColor="text1"/>
        </w:rPr>
        <w:t>.</w:t>
      </w:r>
      <w:r w:rsidR="0BBECD07" w:rsidRPr="4E09AB01">
        <w:rPr>
          <w:noProof/>
          <w:color w:val="000000" w:themeColor="text1"/>
        </w:rPr>
        <w:t xml:space="preserve"> </w:t>
      </w:r>
      <w:r w:rsidR="239594D1" w:rsidRPr="5E6CF5B3">
        <w:rPr>
          <w:noProof/>
          <w:color w:val="000000" w:themeColor="text1"/>
        </w:rPr>
        <w:t>Over 40</w:t>
      </w:r>
      <w:r w:rsidRPr="4E09AB01">
        <w:rPr>
          <w:noProof/>
          <w:color w:val="000000" w:themeColor="text1"/>
        </w:rPr>
        <w:t>% of the portfolio was invested in AAA securities</w:t>
      </w:r>
      <w:r w:rsidR="47A15B01" w:rsidRPr="006B013B">
        <w:rPr>
          <w:rFonts w:cs="Calibri"/>
          <w:noProof/>
          <w:color w:val="000000" w:themeColor="text1"/>
        </w:rPr>
        <w:t> </w:t>
      </w:r>
      <w:r w:rsidR="47A15B01" w:rsidRPr="006B013B">
        <w:rPr>
          <w:noProof/>
          <w:color w:val="000000" w:themeColor="text1"/>
        </w:rPr>
        <w:t>(</w:t>
      </w:r>
      <w:r w:rsidR="00713837" w:rsidRPr="4E09AB01">
        <w:rPr>
          <w:rStyle w:val="FootnoteReference"/>
          <w:noProof/>
          <w:color w:val="000000" w:themeColor="text1"/>
        </w:rPr>
        <w:footnoteReference w:id="26"/>
      </w:r>
      <w:r w:rsidR="47A15B01">
        <w:rPr>
          <w:noProof/>
          <w:color w:val="000000" w:themeColor="text1"/>
        </w:rPr>
        <w:t>)</w:t>
      </w:r>
      <w:r w:rsidRPr="4E09AB01">
        <w:rPr>
          <w:noProof/>
          <w:color w:val="000000" w:themeColor="text1"/>
        </w:rPr>
        <w:t>, with the rest distributed across the investment-grade scale.</w:t>
      </w:r>
    </w:p>
    <w:p w14:paraId="3441169B" w14:textId="7A489920" w:rsidR="00713837" w:rsidRPr="008B332F" w:rsidRDefault="66A0F3E5" w:rsidP="6D3786CF">
      <w:pPr>
        <w:rPr>
          <w:noProof/>
          <w:color w:val="000000" w:themeColor="text1"/>
        </w:rPr>
      </w:pPr>
      <w:r w:rsidRPr="4E09AB01">
        <w:rPr>
          <w:noProof/>
          <w:color w:val="000000" w:themeColor="text1"/>
        </w:rPr>
        <w:t xml:space="preserve">USD-denominated investments represented </w:t>
      </w:r>
      <w:r w:rsidR="206FB735" w:rsidRPr="5E6CF5B3">
        <w:rPr>
          <w:noProof/>
          <w:color w:val="000000" w:themeColor="text1"/>
        </w:rPr>
        <w:t>7</w:t>
      </w:r>
      <w:r w:rsidRPr="4E09AB01">
        <w:rPr>
          <w:noProof/>
          <w:color w:val="000000" w:themeColor="text1"/>
        </w:rPr>
        <w:t>% of the portfolio’s market value</w:t>
      </w:r>
      <w:r w:rsidR="47A15B01" w:rsidRPr="006B013B">
        <w:rPr>
          <w:rFonts w:cs="Calibri"/>
          <w:noProof/>
          <w:color w:val="000000" w:themeColor="text1"/>
        </w:rPr>
        <w:t> </w:t>
      </w:r>
      <w:r w:rsidR="47A15B01" w:rsidRPr="006B013B">
        <w:rPr>
          <w:noProof/>
          <w:color w:val="000000" w:themeColor="text1"/>
        </w:rPr>
        <w:t>(</w:t>
      </w:r>
      <w:r w:rsidR="00713837" w:rsidRPr="4E09AB01">
        <w:rPr>
          <w:rStyle w:val="FootnoteReference"/>
          <w:noProof/>
          <w:color w:val="000000" w:themeColor="text1"/>
        </w:rPr>
        <w:footnoteReference w:id="27"/>
      </w:r>
      <w:r w:rsidR="47A15B01">
        <w:rPr>
          <w:noProof/>
          <w:color w:val="000000" w:themeColor="text1"/>
        </w:rPr>
        <w:t>)</w:t>
      </w:r>
      <w:r w:rsidRPr="4E09AB01">
        <w:rPr>
          <w:noProof/>
          <w:color w:val="000000" w:themeColor="text1"/>
        </w:rPr>
        <w:t>, with currency risk hedged using forward contracts.</w:t>
      </w:r>
      <w:r w:rsidR="39CE5610" w:rsidRPr="4E09AB01">
        <w:rPr>
          <w:noProof/>
          <w:color w:val="000000" w:themeColor="text1"/>
        </w:rPr>
        <w:t xml:space="preserve"> </w:t>
      </w:r>
    </w:p>
    <w:p w14:paraId="1534FDD7" w14:textId="6ACE0890" w:rsidR="00713837" w:rsidRPr="00BA5CF6" w:rsidRDefault="66A0F3E5" w:rsidP="009D5B05">
      <w:pPr>
        <w:rPr>
          <w:noProof/>
          <w:color w:val="000000" w:themeColor="text1"/>
        </w:rPr>
      </w:pPr>
      <w:r w:rsidRPr="5ED0CC72">
        <w:rPr>
          <w:noProof/>
          <w:color w:val="000000" w:themeColor="text1"/>
        </w:rPr>
        <w:t xml:space="preserve">Equity represented </w:t>
      </w:r>
      <w:r w:rsidR="3A8381CE" w:rsidRPr="5ED0CC72">
        <w:rPr>
          <w:noProof/>
          <w:color w:val="000000" w:themeColor="text1"/>
        </w:rPr>
        <w:t>7</w:t>
      </w:r>
      <w:r w:rsidRPr="5ED0CC72">
        <w:rPr>
          <w:noProof/>
          <w:color w:val="000000" w:themeColor="text1"/>
        </w:rPr>
        <w:t>% of the portfolio’s market value at the end of 202</w:t>
      </w:r>
      <w:r w:rsidR="43C4DFEB" w:rsidRPr="5ED0CC72">
        <w:rPr>
          <w:noProof/>
          <w:color w:val="000000" w:themeColor="text1"/>
        </w:rPr>
        <w:t>4</w:t>
      </w:r>
      <w:r w:rsidR="00CD15D6" w:rsidRPr="00870B44">
        <w:rPr>
          <w:rFonts w:cs="Calibri"/>
          <w:noProof/>
          <w:color w:val="000000" w:themeColor="text1"/>
        </w:rPr>
        <w:t> </w:t>
      </w:r>
      <w:r w:rsidR="00CD15D6" w:rsidRPr="00CD15D6">
        <w:rPr>
          <w:noProof/>
          <w:color w:val="000000" w:themeColor="text1"/>
        </w:rPr>
        <w:t>(</w:t>
      </w:r>
      <w:r w:rsidR="00CD15D6">
        <w:rPr>
          <w:rStyle w:val="FootnoteReference"/>
          <w:noProof/>
          <w:color w:val="000000" w:themeColor="text1"/>
        </w:rPr>
        <w:footnoteReference w:id="28"/>
      </w:r>
      <w:r w:rsidR="00CD15D6">
        <w:rPr>
          <w:noProof/>
          <w:color w:val="000000" w:themeColor="text1"/>
        </w:rPr>
        <w:t>)</w:t>
      </w:r>
      <w:r w:rsidR="31337BA9" w:rsidRPr="5ED0CC72">
        <w:rPr>
          <w:noProof/>
          <w:color w:val="000000" w:themeColor="text1"/>
        </w:rPr>
        <w:t>.</w:t>
      </w:r>
      <w:r w:rsidR="689CD805" w:rsidRPr="5ED0CC72">
        <w:rPr>
          <w:noProof/>
          <w:color w:val="000000" w:themeColor="text1"/>
        </w:rPr>
        <w:t xml:space="preserve"> This contributed to the overall positive portfolio perfo</w:t>
      </w:r>
      <w:r w:rsidR="53F67C92" w:rsidRPr="5ED0CC72">
        <w:rPr>
          <w:noProof/>
          <w:color w:val="000000" w:themeColor="text1"/>
        </w:rPr>
        <w:t>rmance</w:t>
      </w:r>
      <w:r w:rsidR="008B5034">
        <w:rPr>
          <w:noProof/>
          <w:color w:val="000000" w:themeColor="text1"/>
        </w:rPr>
        <w:t xml:space="preserve"> by</w:t>
      </w:r>
      <w:r w:rsidR="53F67C92" w:rsidRPr="5ED0CC72">
        <w:rPr>
          <w:noProof/>
          <w:color w:val="000000" w:themeColor="text1"/>
        </w:rPr>
        <w:t xml:space="preserve"> accounting for </w:t>
      </w:r>
      <w:r w:rsidR="54939D4E" w:rsidRPr="5ED0CC72">
        <w:rPr>
          <w:noProof/>
          <w:color w:val="000000" w:themeColor="text1"/>
        </w:rPr>
        <w:t>0.6</w:t>
      </w:r>
      <w:r w:rsidR="53F67C92" w:rsidRPr="5ED0CC72">
        <w:rPr>
          <w:noProof/>
          <w:color w:val="000000" w:themeColor="text1"/>
        </w:rPr>
        <w:t>% of total annual return.</w:t>
      </w:r>
    </w:p>
    <w:p w14:paraId="491E8B80" w14:textId="66F44619" w:rsidR="00713837" w:rsidRDefault="66A0F3E5" w:rsidP="009D5B05">
      <w:pPr>
        <w:pStyle w:val="Text1"/>
        <w:ind w:left="0"/>
        <w:rPr>
          <w:noProof/>
          <w:color w:val="000000" w:themeColor="text1"/>
        </w:rPr>
      </w:pPr>
      <w:r w:rsidRPr="4E09AB01">
        <w:rPr>
          <w:noProof/>
          <w:color w:val="000000" w:themeColor="text1"/>
        </w:rPr>
        <w:t>As of December 202</w:t>
      </w:r>
      <w:r w:rsidR="0BE9A204" w:rsidRPr="5E6CF5B3">
        <w:rPr>
          <w:noProof/>
          <w:color w:val="000000" w:themeColor="text1"/>
        </w:rPr>
        <w:t>4</w:t>
      </w:r>
      <w:r w:rsidRPr="4E09AB01">
        <w:rPr>
          <w:noProof/>
          <w:color w:val="000000" w:themeColor="text1"/>
        </w:rPr>
        <w:t xml:space="preserve">, about </w:t>
      </w:r>
      <w:r w:rsidR="78C613FE" w:rsidRPr="5E6CF5B3">
        <w:rPr>
          <w:noProof/>
          <w:color w:val="000000" w:themeColor="text1"/>
        </w:rPr>
        <w:t>11</w:t>
      </w:r>
      <w:r w:rsidRPr="4E09AB01">
        <w:rPr>
          <w:noProof/>
          <w:color w:val="000000" w:themeColor="text1"/>
        </w:rPr>
        <w:t>% of the portfolio consisted of short-term liquid assets</w:t>
      </w:r>
      <w:r w:rsidR="47A15B01" w:rsidRPr="006B013B">
        <w:rPr>
          <w:rFonts w:cs="Calibri"/>
          <w:noProof/>
          <w:color w:val="000000" w:themeColor="text1"/>
        </w:rPr>
        <w:t> </w:t>
      </w:r>
      <w:r w:rsidR="47A15B01" w:rsidRPr="006B013B">
        <w:rPr>
          <w:noProof/>
          <w:color w:val="000000" w:themeColor="text1"/>
        </w:rPr>
        <w:t>(</w:t>
      </w:r>
      <w:r w:rsidR="00713837" w:rsidRPr="4E09AB01">
        <w:rPr>
          <w:rStyle w:val="FootnoteReference"/>
          <w:noProof/>
          <w:color w:val="000000" w:themeColor="text1"/>
        </w:rPr>
        <w:footnoteReference w:id="29"/>
      </w:r>
      <w:r w:rsidR="47A15B01">
        <w:rPr>
          <w:noProof/>
          <w:color w:val="000000" w:themeColor="text1"/>
        </w:rPr>
        <w:t>)</w:t>
      </w:r>
      <w:r w:rsidRPr="4E09AB01">
        <w:rPr>
          <w:noProof/>
          <w:color w:val="000000" w:themeColor="text1"/>
        </w:rPr>
        <w:t xml:space="preserve">, providing for a source of ready-to-hand liquidity in </w:t>
      </w:r>
      <w:r w:rsidR="00DB3056">
        <w:rPr>
          <w:noProof/>
          <w:color w:val="000000" w:themeColor="text1"/>
        </w:rPr>
        <w:t xml:space="preserve">the event </w:t>
      </w:r>
      <w:r w:rsidRPr="4E09AB01">
        <w:rPr>
          <w:noProof/>
          <w:color w:val="000000" w:themeColor="text1"/>
        </w:rPr>
        <w:t>of large outflows exceeding the size of the liquid</w:t>
      </w:r>
      <w:r w:rsidR="00DB3056">
        <w:rPr>
          <w:noProof/>
          <w:color w:val="000000" w:themeColor="text1"/>
        </w:rPr>
        <w:t>i</w:t>
      </w:r>
      <w:r w:rsidRPr="4E09AB01">
        <w:rPr>
          <w:noProof/>
          <w:color w:val="000000" w:themeColor="text1"/>
        </w:rPr>
        <w:t>ty buffer described above</w:t>
      </w:r>
      <w:r w:rsidR="47A15B01" w:rsidRPr="006B013B">
        <w:rPr>
          <w:rFonts w:cs="Calibri"/>
          <w:noProof/>
          <w:color w:val="000000" w:themeColor="text1"/>
        </w:rPr>
        <w:t> </w:t>
      </w:r>
      <w:r w:rsidR="47A15B01" w:rsidRPr="006B013B">
        <w:rPr>
          <w:noProof/>
          <w:color w:val="000000" w:themeColor="text1"/>
        </w:rPr>
        <w:t>(</w:t>
      </w:r>
      <w:r w:rsidR="00713837" w:rsidRPr="4E09AB01">
        <w:rPr>
          <w:rStyle w:val="FootnoteReference"/>
          <w:noProof/>
          <w:color w:val="000000" w:themeColor="text1"/>
        </w:rPr>
        <w:footnoteReference w:id="30"/>
      </w:r>
      <w:r w:rsidR="47A15B01">
        <w:rPr>
          <w:noProof/>
          <w:color w:val="000000" w:themeColor="text1"/>
        </w:rPr>
        <w:t>)</w:t>
      </w:r>
      <w:r w:rsidRPr="4E09AB01">
        <w:rPr>
          <w:noProof/>
          <w:color w:val="000000" w:themeColor="text1"/>
        </w:rPr>
        <w:t>.</w:t>
      </w:r>
    </w:p>
    <w:sdt>
      <w:sdtPr>
        <w:rPr>
          <w:b w:val="0"/>
          <w:iCs w:val="0"/>
          <w:noProof/>
          <w:color w:val="auto"/>
          <w:sz w:val="20"/>
          <w:szCs w:val="20"/>
        </w:rPr>
        <w:alias w:val="Excel Chart"/>
        <w:tag w:val="fZxRNwKv6qwqtFRfkTybj4"/>
        <w:id w:val="-758292396"/>
        <w:placeholder>
          <w:docPart w:val="E4E9D013899748A88C86AA8C5968181E"/>
        </w:placeholder>
      </w:sdtPr>
      <w:sdtEndPr/>
      <w:sdtContent>
        <w:p w14:paraId="38C4C287" w14:textId="42B0EA47" w:rsidR="00101137" w:rsidRPr="001058A7" w:rsidRDefault="00101137" w:rsidP="00EF12DA">
          <w:pPr>
            <w:pStyle w:val="FigureTitle1"/>
            <w:rPr>
              <w:noProof/>
            </w:rPr>
          </w:pPr>
          <w:r w:rsidRPr="46DCAAA1">
            <w:rPr>
              <w:noProof/>
            </w:rPr>
            <w:t xml:space="preserve">Figure </w:t>
          </w:r>
          <w:r w:rsidRPr="46DCAAA1">
            <w:rPr>
              <w:noProof/>
            </w:rPr>
            <w:fldChar w:fldCharType="begin"/>
          </w:r>
          <w:r w:rsidRPr="46DCAAA1">
            <w:rPr>
              <w:noProof/>
            </w:rPr>
            <w:instrText xml:space="preserve"> SEQ Figure \* ARABIC </w:instrText>
          </w:r>
          <w:r w:rsidRPr="46DCAAA1">
            <w:rPr>
              <w:noProof/>
            </w:rPr>
            <w:fldChar w:fldCharType="separate"/>
          </w:r>
          <w:r w:rsidRPr="46DCAAA1">
            <w:rPr>
              <w:noProof/>
            </w:rPr>
            <w:t>4</w:t>
          </w:r>
          <w:r w:rsidRPr="46DCAAA1">
            <w:rPr>
              <w:noProof/>
            </w:rPr>
            <w:fldChar w:fldCharType="end"/>
          </w:r>
          <w:r w:rsidRPr="46DCAAA1">
            <w:rPr>
              <w:noProof/>
            </w:rPr>
            <w:t>:</w:t>
          </w:r>
          <w:r w:rsidRPr="46DCAAA1">
            <w:rPr>
              <w:rFonts w:ascii="Calibri" w:hAnsi="Calibri" w:cs="Calibri"/>
              <w:noProof/>
            </w:rPr>
            <w:t> </w:t>
          </w:r>
          <w:r w:rsidRPr="46DCAAA1">
            <w:rPr>
              <w:noProof/>
            </w:rPr>
            <w:t>CPF portfolio allocation at year-end</w:t>
          </w:r>
          <w:r w:rsidR="007F3790" w:rsidRPr="46DCAAA1">
            <w:rPr>
              <w:noProof/>
            </w:rPr>
            <w:t xml:space="preserve"> (202</w:t>
          </w:r>
          <w:r w:rsidR="33229C90" w:rsidRPr="46DCAAA1">
            <w:rPr>
              <w:noProof/>
            </w:rPr>
            <w:t>4</w:t>
          </w:r>
          <w:r w:rsidR="007F3790" w:rsidRPr="46DCAAA1">
            <w:rPr>
              <w:noProof/>
            </w:rPr>
            <w:t>)</w:t>
          </w:r>
        </w:p>
        <w:p w14:paraId="4724EEA2" w14:textId="554E33F2" w:rsidR="00057C08" w:rsidRPr="00057C08" w:rsidDel="006A4C55" w:rsidRDefault="070ABFF3" w:rsidP="46DCAAA1">
          <w:pPr>
            <w:pStyle w:val="FigureSource1"/>
            <w:ind w:left="0"/>
            <w:rPr>
              <w:noProof/>
            </w:rPr>
          </w:pPr>
          <w:r>
            <w:rPr>
              <w:noProof/>
              <w:lang w:eastAsia="en-GB"/>
            </w:rPr>
            <w:drawing>
              <wp:inline distT="0" distB="0" distL="0" distR="0" wp14:anchorId="4B35673F" wp14:editId="428433DB">
                <wp:extent cx="5705505" cy="3346450"/>
                <wp:effectExtent l="0" t="0" r="0" b="0"/>
                <wp:docPr id="25101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1">
                          <a:extLst>
                            <a:ext uri="{FF2B5EF4-FFF2-40B4-BE49-F238E27FC236}">
                              <a16:creationId xmlns:a16="http://schemas.microsoft.com/office/drawing/2014/main" xmlns:w="http://schemas.openxmlformats.org/wordprocessingml/2006/main" xmlns:w10="urn:schemas-microsoft-com:office:word" xmlns:v="urn:schemas-microsoft-com:vml" xmlns:o="urn:schemas-microsoft-com:office:office" xmlns:arto="http://schemas.microsoft.com/office/word/2006/arto"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id="{50688A32-0B09-3565-5697-C92AFF12B70B}"/>
                            </a:ext>
                          </a:extLst>
                        </a:blip>
                        <a:stretch>
                          <a:fillRect/>
                        </a:stretch>
                      </pic:blipFill>
                      <pic:spPr>
                        <a:xfrm>
                          <a:off x="0" y="0"/>
                          <a:ext cx="5705505" cy="3346450"/>
                        </a:xfrm>
                        <a:prstGeom prst="rect">
                          <a:avLst/>
                        </a:prstGeom>
                      </pic:spPr>
                    </pic:pic>
                  </a:graphicData>
                </a:graphic>
              </wp:inline>
            </w:drawing>
          </w:r>
        </w:p>
      </w:sdtContent>
    </w:sdt>
    <w:p w14:paraId="04260452" w14:textId="601AD701" w:rsidR="00713837" w:rsidRPr="00C300C0" w:rsidRDefault="00D67AF1" w:rsidP="00A34164">
      <w:pPr>
        <w:pStyle w:val="Heading2"/>
      </w:pPr>
      <w:bookmarkStart w:id="10" w:name="_Toc194300630"/>
      <w:r>
        <w:t>2</w:t>
      </w:r>
      <w:r w:rsidR="004715AC">
        <w:t xml:space="preserve">.2. </w:t>
      </w:r>
      <w:r w:rsidR="00713837" w:rsidRPr="00C300C0">
        <w:t>Environmental, social and governance (ESG) footprint</w:t>
      </w:r>
      <w:bookmarkEnd w:id="10"/>
    </w:p>
    <w:p w14:paraId="586CEB4E" w14:textId="1716AF80" w:rsidR="00713837" w:rsidRDefault="2C50D121" w:rsidP="00713837">
      <w:pPr>
        <w:rPr>
          <w:noProof/>
          <w:color w:val="000000" w:themeColor="text1"/>
        </w:rPr>
      </w:pPr>
      <w:r w:rsidRPr="4E09AB01">
        <w:rPr>
          <w:noProof/>
          <w:color w:val="000000" w:themeColor="text1"/>
        </w:rPr>
        <w:t>In 202</w:t>
      </w:r>
      <w:r w:rsidR="698BBCBA" w:rsidRPr="37DB89B0">
        <w:rPr>
          <w:noProof/>
          <w:color w:val="000000" w:themeColor="text1"/>
        </w:rPr>
        <w:t>4</w:t>
      </w:r>
      <w:r w:rsidRPr="4E09AB01">
        <w:rPr>
          <w:noProof/>
          <w:color w:val="000000" w:themeColor="text1"/>
        </w:rPr>
        <w:t xml:space="preserve"> the ESG footprint</w:t>
      </w:r>
      <w:r w:rsidR="00052802" w:rsidRPr="00870B44">
        <w:rPr>
          <w:rFonts w:cs="Calibri"/>
          <w:noProof/>
          <w:color w:val="000000" w:themeColor="text1"/>
        </w:rPr>
        <w:t> </w:t>
      </w:r>
      <w:r w:rsidR="00052802" w:rsidRPr="00052802">
        <w:rPr>
          <w:noProof/>
          <w:color w:val="000000" w:themeColor="text1"/>
        </w:rPr>
        <w:t>(</w:t>
      </w:r>
      <w:r w:rsidR="00052802">
        <w:rPr>
          <w:rStyle w:val="FootnoteReference"/>
          <w:noProof/>
          <w:color w:val="000000" w:themeColor="text1"/>
        </w:rPr>
        <w:footnoteReference w:id="31"/>
      </w:r>
      <w:r w:rsidR="00052802">
        <w:rPr>
          <w:noProof/>
          <w:color w:val="000000" w:themeColor="text1"/>
        </w:rPr>
        <w:t>)</w:t>
      </w:r>
      <w:r w:rsidRPr="4E09AB01">
        <w:rPr>
          <w:noProof/>
          <w:color w:val="000000" w:themeColor="text1"/>
        </w:rPr>
        <w:t xml:space="preserve"> of the portfolio </w:t>
      </w:r>
      <w:r w:rsidR="55BC5903" w:rsidRPr="4E09AB01">
        <w:rPr>
          <w:noProof/>
          <w:color w:val="000000" w:themeColor="text1"/>
        </w:rPr>
        <w:t xml:space="preserve">increased further with the </w:t>
      </w:r>
      <w:r w:rsidRPr="37DB89B0">
        <w:rPr>
          <w:noProof/>
          <w:color w:val="000000" w:themeColor="text1"/>
        </w:rPr>
        <w:t>share of ESG-labelled bonds</w:t>
      </w:r>
      <w:r w:rsidR="20290734" w:rsidRPr="37DB89B0">
        <w:rPr>
          <w:rFonts w:cs="Calibri"/>
          <w:noProof/>
          <w:color w:val="000000" w:themeColor="text1"/>
        </w:rPr>
        <w:t> </w:t>
      </w:r>
      <w:r w:rsidR="20290734" w:rsidRPr="37DB89B0">
        <w:rPr>
          <w:noProof/>
          <w:color w:val="000000" w:themeColor="text1"/>
        </w:rPr>
        <w:t>(</w:t>
      </w:r>
      <w:r w:rsidR="00713837" w:rsidRPr="37DB89B0">
        <w:rPr>
          <w:rStyle w:val="FootnoteReference"/>
          <w:noProof/>
          <w:color w:val="000000" w:themeColor="text1"/>
        </w:rPr>
        <w:footnoteReference w:id="32"/>
      </w:r>
      <w:r w:rsidR="20290734" w:rsidRPr="37DB89B0">
        <w:rPr>
          <w:noProof/>
          <w:color w:val="000000" w:themeColor="text1"/>
        </w:rPr>
        <w:t>)</w:t>
      </w:r>
      <w:r w:rsidR="7C1863A3" w:rsidRPr="37DB89B0">
        <w:rPr>
          <w:noProof/>
          <w:color w:val="000000" w:themeColor="text1"/>
        </w:rPr>
        <w:t xml:space="preserve"> reaching 16%</w:t>
      </w:r>
      <w:r w:rsidRPr="37DB89B0">
        <w:rPr>
          <w:noProof/>
          <w:color w:val="000000" w:themeColor="text1"/>
        </w:rPr>
        <w:t>, compared to 14.</w:t>
      </w:r>
      <w:r w:rsidR="7AE1C5D7" w:rsidRPr="37DB89B0">
        <w:rPr>
          <w:noProof/>
          <w:color w:val="000000" w:themeColor="text1"/>
        </w:rPr>
        <w:t>6</w:t>
      </w:r>
      <w:r w:rsidRPr="37DB89B0">
        <w:rPr>
          <w:noProof/>
          <w:color w:val="000000" w:themeColor="text1"/>
        </w:rPr>
        <w:t>% in 202</w:t>
      </w:r>
      <w:r w:rsidR="1B1A6166" w:rsidRPr="37DB89B0">
        <w:rPr>
          <w:noProof/>
          <w:color w:val="000000" w:themeColor="text1"/>
        </w:rPr>
        <w:t>3</w:t>
      </w:r>
      <w:r w:rsidRPr="37DB89B0">
        <w:rPr>
          <w:noProof/>
          <w:color w:val="000000" w:themeColor="text1"/>
        </w:rPr>
        <w:t>. T</w:t>
      </w:r>
      <w:r w:rsidRPr="4E09AB01">
        <w:rPr>
          <w:noProof/>
          <w:color w:val="000000" w:themeColor="text1"/>
        </w:rPr>
        <w:t xml:space="preserve">he proactive approach to ESG investing favours ESG-labelled bonds, provided they align with risk management criteria and overall investment strategy. </w:t>
      </w:r>
    </w:p>
    <w:p w14:paraId="38DAE04B" w14:textId="4E98EC13" w:rsidR="00713837" w:rsidRPr="00C300C0" w:rsidRDefault="00D67AF1" w:rsidP="00A34164">
      <w:pPr>
        <w:pStyle w:val="Heading2"/>
      </w:pPr>
      <w:bookmarkStart w:id="11" w:name="_Toc194300631"/>
      <w:r>
        <w:t>2</w:t>
      </w:r>
      <w:r w:rsidR="004715AC">
        <w:t xml:space="preserve">.3. </w:t>
      </w:r>
      <w:r w:rsidR="00713837">
        <w:t>CPF performance in 202</w:t>
      </w:r>
      <w:r w:rsidR="6C355B6F">
        <w:t>4</w:t>
      </w:r>
      <w:bookmarkEnd w:id="11"/>
    </w:p>
    <w:p w14:paraId="558B594B" w14:textId="125588E9" w:rsidR="00670C27" w:rsidRDefault="69961D27" w:rsidP="46DCAAA1">
      <w:pPr>
        <w:rPr>
          <w:noProof/>
        </w:rPr>
      </w:pPr>
      <w:r w:rsidRPr="5ED0CC72">
        <w:rPr>
          <w:rFonts w:eastAsia="EC Square Sans Pro" w:cs="EC Square Sans Pro"/>
          <w:noProof/>
        </w:rPr>
        <w:t>In 2024, inflation dynamics and central bank actions continued to drive market developments (see Box). Despite this volatility, the gradual reduction in rates, combined with robust economic growth and resilient labo</w:t>
      </w:r>
      <w:r w:rsidR="505D3873" w:rsidRPr="5ED0CC72">
        <w:rPr>
          <w:rFonts w:eastAsia="EC Square Sans Pro" w:cs="EC Square Sans Pro"/>
          <w:noProof/>
        </w:rPr>
        <w:t>u</w:t>
      </w:r>
      <w:r w:rsidRPr="5ED0CC72">
        <w:rPr>
          <w:rFonts w:eastAsia="EC Square Sans Pro" w:cs="EC Square Sans Pro"/>
          <w:noProof/>
        </w:rPr>
        <w:t xml:space="preserve">r markets, provided overall support to financial markets and </w:t>
      </w:r>
      <w:r w:rsidR="00DB3056">
        <w:rPr>
          <w:rFonts w:eastAsia="EC Square Sans Pro" w:cs="EC Square Sans Pro"/>
          <w:noProof/>
        </w:rPr>
        <w:t>had a positive impact on</w:t>
      </w:r>
      <w:r w:rsidRPr="5ED0CC72">
        <w:rPr>
          <w:rFonts w:eastAsia="EC Square Sans Pro" w:cs="EC Square Sans Pro"/>
          <w:noProof/>
        </w:rPr>
        <w:t xml:space="preserve"> the valuation of the CPF’s bond and equity holdings. </w:t>
      </w:r>
      <w:r w:rsidR="57EE3412" w:rsidRPr="5ED0CC72">
        <w:rPr>
          <w:rFonts w:eastAsia="EC Square Sans Pro" w:cs="EC Square Sans Pro"/>
          <w:noProof/>
          <w:lang w:val="en-IE"/>
        </w:rPr>
        <w:t xml:space="preserve">Against this background, the CPF achieved an annual return of +3.57%, </w:t>
      </w:r>
      <w:r w:rsidR="2E1A66E8" w:rsidRPr="5ED0CC72">
        <w:rPr>
          <w:rFonts w:eastAsia="EC Square Sans Pro" w:cs="EC Square Sans Pro"/>
          <w:noProof/>
          <w:lang w:val="en-IE"/>
        </w:rPr>
        <w:t xml:space="preserve">exceeding </w:t>
      </w:r>
      <w:r w:rsidR="57EE3412" w:rsidRPr="5ED0CC72">
        <w:rPr>
          <w:rFonts w:eastAsia="EC Square Sans Pro" w:cs="EC Square Sans Pro"/>
          <w:noProof/>
          <w:lang w:val="en-IE"/>
        </w:rPr>
        <w:t>its portfolio benchmark</w:t>
      </w:r>
      <w:r w:rsidR="00CD15D6" w:rsidRPr="00870B44">
        <w:rPr>
          <w:rFonts w:eastAsia="EC Square Sans Pro" w:cs="Calibri"/>
          <w:noProof/>
          <w:lang w:val="en-IE"/>
        </w:rPr>
        <w:t> </w:t>
      </w:r>
      <w:r w:rsidR="00CD15D6" w:rsidRPr="00CD15D6">
        <w:rPr>
          <w:rFonts w:eastAsia="EC Square Sans Pro" w:cs="EC Square Sans Pro"/>
          <w:noProof/>
          <w:lang w:val="en-IE"/>
        </w:rPr>
        <w:t>(</w:t>
      </w:r>
      <w:r w:rsidR="00CD15D6">
        <w:rPr>
          <w:rStyle w:val="FootnoteReference"/>
          <w:rFonts w:eastAsia="EC Square Sans Pro" w:cs="EC Square Sans Pro"/>
          <w:noProof/>
          <w:lang w:val="en-IE"/>
        </w:rPr>
        <w:footnoteReference w:id="33"/>
      </w:r>
      <w:r w:rsidR="00CD15D6">
        <w:rPr>
          <w:rFonts w:eastAsia="EC Square Sans Pro" w:cs="EC Square Sans Pro"/>
          <w:noProof/>
          <w:lang w:val="en-IE"/>
        </w:rPr>
        <w:t>)</w:t>
      </w:r>
      <w:r w:rsidR="57EE3412" w:rsidRPr="5ED0CC72">
        <w:rPr>
          <w:rFonts w:eastAsia="EC Square Sans Pro" w:cs="EC Square Sans Pro"/>
          <w:noProof/>
          <w:lang w:val="en-IE"/>
        </w:rPr>
        <w:t xml:space="preserve"> (+3.31%).</w:t>
      </w:r>
      <w:r w:rsidR="155798ED" w:rsidRPr="5ED0CC72">
        <w:rPr>
          <w:noProof/>
          <w:lang w:val="en-IE"/>
        </w:rPr>
        <w:t xml:space="preserve"> </w:t>
      </w:r>
    </w:p>
    <w:p w14:paraId="3CE8F4C4" w14:textId="77777777" w:rsidR="00713837" w:rsidRPr="00670C27" w:rsidRDefault="00713837" w:rsidP="00713837">
      <w:pPr>
        <w:rPr>
          <w:noProo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5F1FF"/>
        <w:tblCellMar>
          <w:top w:w="170" w:type="dxa"/>
          <w:left w:w="170" w:type="dxa"/>
          <w:bottom w:w="170" w:type="dxa"/>
          <w:right w:w="170" w:type="dxa"/>
        </w:tblCellMar>
        <w:tblLook w:val="04A0" w:firstRow="1" w:lastRow="0" w:firstColumn="1" w:lastColumn="0" w:noHBand="0" w:noVBand="1"/>
      </w:tblPr>
      <w:tblGrid>
        <w:gridCol w:w="9056"/>
      </w:tblGrid>
      <w:tr w:rsidR="001C20CE" w:rsidRPr="00A7275B" w14:paraId="39CD2BF5" w14:textId="77777777" w:rsidTr="5ED0CC72">
        <w:trPr>
          <w:trHeight w:val="300"/>
        </w:trPr>
        <w:tc>
          <w:tcPr>
            <w:tcW w:w="9056" w:type="dxa"/>
            <w:shd w:val="clear" w:color="auto" w:fill="E5F1FF"/>
          </w:tcPr>
          <w:p w14:paraId="66DD6622" w14:textId="15E1FEDD" w:rsidR="001C20CE" w:rsidRPr="00A7275B" w:rsidRDefault="1582B337" w:rsidP="46DCAAA1">
            <w:pPr>
              <w:spacing w:after="160" w:line="257" w:lineRule="auto"/>
              <w:rPr>
                <w:rFonts w:eastAsia="Aptos" w:cs="Aptos"/>
                <w:b/>
                <w:bCs/>
                <w:noProof/>
                <w:color w:val="0070C0" w:themeColor="accent1"/>
                <w:sz w:val="22"/>
                <w:szCs w:val="22"/>
              </w:rPr>
            </w:pPr>
            <w:r w:rsidRPr="46DCAAA1">
              <w:rPr>
                <w:rFonts w:eastAsia="Aptos" w:cs="Aptos"/>
                <w:b/>
                <w:bCs/>
                <w:noProof/>
                <w:color w:val="0070C0" w:themeColor="accent1"/>
                <w:sz w:val="22"/>
                <w:szCs w:val="22"/>
              </w:rPr>
              <w:t>Market developments in 2024</w:t>
            </w:r>
          </w:p>
          <w:p w14:paraId="01B115C1" w14:textId="77777777" w:rsidR="00DB3056" w:rsidRPr="00464451" w:rsidRDefault="00DB3056" w:rsidP="00DB3056">
            <w:pPr>
              <w:spacing w:after="160" w:line="257" w:lineRule="auto"/>
              <w:rPr>
                <w:rFonts w:eastAsia="Aptos" w:cs="Aptos"/>
                <w:noProof/>
                <w:color w:val="000000" w:themeColor="text1"/>
                <w:sz w:val="22"/>
                <w:szCs w:val="22"/>
              </w:rPr>
            </w:pPr>
            <w:r w:rsidRPr="00464451">
              <w:rPr>
                <w:rFonts w:eastAsia="Aptos" w:cs="Aptos"/>
                <w:noProof/>
                <w:color w:val="000000" w:themeColor="text1"/>
                <w:sz w:val="22"/>
                <w:szCs w:val="22"/>
              </w:rPr>
              <w:t xml:space="preserve">Inflation data and respective action </w:t>
            </w:r>
            <w:r>
              <w:rPr>
                <w:rFonts w:eastAsia="Aptos" w:cs="Aptos"/>
                <w:noProof/>
                <w:color w:val="000000" w:themeColor="text1"/>
                <w:sz w:val="22"/>
                <w:szCs w:val="22"/>
              </w:rPr>
              <w:t>by</w:t>
            </w:r>
            <w:r w:rsidRPr="00464451">
              <w:rPr>
                <w:rFonts w:eastAsia="Aptos" w:cs="Aptos"/>
                <w:noProof/>
                <w:color w:val="000000" w:themeColor="text1"/>
                <w:sz w:val="22"/>
                <w:szCs w:val="22"/>
              </w:rPr>
              <w:t xml:space="preserve"> central banks remained the main market drivers in 2024. Following the steady decrease in inflation throughout 2023, the new year began with markets pricing a continuation of this trend. This disinflationary trend was driven by a combination of factors, including supply chain improvements, easing energy prices and a cooling housing market.</w:t>
            </w:r>
          </w:p>
          <w:p w14:paraId="019C38E0" w14:textId="77777777" w:rsidR="00DB3056" w:rsidRPr="00464451" w:rsidRDefault="00DB3056" w:rsidP="00DB3056">
            <w:pPr>
              <w:spacing w:after="160" w:line="257" w:lineRule="auto"/>
              <w:rPr>
                <w:rFonts w:eastAsia="Aptos" w:cs="Aptos"/>
                <w:noProof/>
                <w:color w:val="000000" w:themeColor="text1"/>
                <w:sz w:val="22"/>
                <w:szCs w:val="22"/>
              </w:rPr>
            </w:pPr>
            <w:r w:rsidRPr="00464451">
              <w:rPr>
                <w:rFonts w:eastAsia="Aptos" w:cs="Aptos"/>
                <w:noProof/>
                <w:color w:val="000000" w:themeColor="text1"/>
                <w:sz w:val="22"/>
                <w:szCs w:val="22"/>
              </w:rPr>
              <w:t xml:space="preserve">In turn, interest rates were initially expected to fall steadily during 2024, with the European Central Bank (ECB) policy rate expected to fall from 4% at the beginning of the year to 2.25% by year-end. These market expectations had already suppressed bond yields and the </w:t>
            </w:r>
            <w:r>
              <w:rPr>
                <w:rFonts w:eastAsia="Aptos" w:cs="Aptos"/>
                <w:noProof/>
                <w:color w:val="000000" w:themeColor="text1"/>
                <w:sz w:val="22"/>
                <w:szCs w:val="22"/>
              </w:rPr>
              <w:t xml:space="preserve">German </w:t>
            </w:r>
            <w:r w:rsidRPr="00464451">
              <w:rPr>
                <w:rFonts w:eastAsia="Aptos" w:cs="Aptos"/>
                <w:noProof/>
                <w:color w:val="000000" w:themeColor="text1"/>
                <w:sz w:val="22"/>
                <w:szCs w:val="22"/>
              </w:rPr>
              <w:t>10</w:t>
            </w:r>
            <w:r>
              <w:rPr>
                <w:rFonts w:eastAsia="Aptos" w:cs="Aptos"/>
                <w:noProof/>
                <w:color w:val="000000" w:themeColor="text1"/>
                <w:sz w:val="22"/>
                <w:szCs w:val="22"/>
              </w:rPr>
              <w:t>-</w:t>
            </w:r>
            <w:r w:rsidRPr="00464451">
              <w:rPr>
                <w:rFonts w:eastAsia="Aptos" w:cs="Aptos"/>
                <w:noProof/>
                <w:color w:val="000000" w:themeColor="text1"/>
                <w:sz w:val="22"/>
                <w:szCs w:val="22"/>
              </w:rPr>
              <w:t>Year government bond (Bund) was at its annual low at 2.02% in early January. As the year progressed</w:t>
            </w:r>
            <w:r>
              <w:rPr>
                <w:rFonts w:eastAsia="Aptos" w:cs="Aptos"/>
                <w:noProof/>
                <w:color w:val="000000" w:themeColor="text1"/>
                <w:sz w:val="22"/>
                <w:szCs w:val="22"/>
              </w:rPr>
              <w:t>,</w:t>
            </w:r>
            <w:r w:rsidRPr="00464451">
              <w:rPr>
                <w:rFonts w:eastAsia="Aptos" w:cs="Aptos"/>
                <w:noProof/>
                <w:color w:val="000000" w:themeColor="text1"/>
                <w:sz w:val="22"/>
                <w:szCs w:val="22"/>
              </w:rPr>
              <w:t xml:space="preserve"> inflation proved to be stickier than expected and the pace of decreas</w:t>
            </w:r>
            <w:r>
              <w:rPr>
                <w:rFonts w:eastAsia="Aptos" w:cs="Aptos"/>
                <w:noProof/>
                <w:color w:val="000000" w:themeColor="text1"/>
                <w:sz w:val="22"/>
                <w:szCs w:val="22"/>
              </w:rPr>
              <w:t>e</w:t>
            </w:r>
            <w:r w:rsidRPr="00464451">
              <w:rPr>
                <w:rFonts w:eastAsia="Aptos" w:cs="Aptos"/>
                <w:noProof/>
                <w:color w:val="000000" w:themeColor="text1"/>
                <w:sz w:val="22"/>
                <w:szCs w:val="22"/>
              </w:rPr>
              <w:t xml:space="preserve"> towards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ECB’s 2% target was slower than initially anticipated. This slowly pushed yields higher and the German Bund reached a peak of 2.69% in late May. Once the ECB initiated the rate-cutting cycle with its first cut of 0.25% in June, yields began to gradually move lower and the German Bund ended the year at 2.36%</w:t>
            </w:r>
            <w:r>
              <w:rPr>
                <w:rFonts w:eastAsia="Aptos" w:cs="Aptos"/>
                <w:noProof/>
                <w:color w:val="000000" w:themeColor="text1"/>
                <w:sz w:val="22"/>
                <w:szCs w:val="22"/>
              </w:rPr>
              <w:t>,</w:t>
            </w:r>
            <w:r w:rsidRPr="00464451">
              <w:rPr>
                <w:rFonts w:eastAsia="Aptos" w:cs="Aptos"/>
                <w:noProof/>
                <w:color w:val="000000" w:themeColor="text1"/>
                <w:sz w:val="22"/>
                <w:szCs w:val="22"/>
              </w:rPr>
              <w:t xml:space="preserve"> at which point the ECB had lowered its main policy rate by 1 percentage point in total, to 3%. Headline inflation slowly decreased towards ECB’s target, from 2.8% in January to 2.4% in December, after briefly dipping to as low as 1.8% in September.</w:t>
            </w:r>
          </w:p>
          <w:p w14:paraId="613E9FD9" w14:textId="77777777" w:rsidR="00DB3056" w:rsidRPr="00464451" w:rsidRDefault="00DB3056" w:rsidP="00DB3056">
            <w:pPr>
              <w:spacing w:after="160" w:line="257" w:lineRule="auto"/>
              <w:rPr>
                <w:rFonts w:eastAsia="Aptos" w:cs="Aptos"/>
                <w:noProof/>
                <w:color w:val="000000" w:themeColor="text1"/>
                <w:sz w:val="22"/>
                <w:szCs w:val="22"/>
              </w:rPr>
            </w:pPr>
            <w:r w:rsidRPr="00464451">
              <w:rPr>
                <w:rFonts w:eastAsia="Aptos" w:cs="Aptos"/>
                <w:noProof/>
                <w:color w:val="000000" w:themeColor="text1"/>
                <w:sz w:val="22"/>
                <w:szCs w:val="22"/>
              </w:rPr>
              <w:t>In the USA, headline inflation remained even stickier than in Europe. The first inflation reading of the year came in at 3.1% in January, before dipping to 2.4% in September and then reversing to 2.9% at year-end. The Federal Reserve Bank also cut its key policy rate by a total of 1 percentage point, to a target range of 4.25%-4.50%</w:t>
            </w:r>
            <w:r>
              <w:rPr>
                <w:rFonts w:eastAsia="Aptos" w:cs="Aptos"/>
                <w:noProof/>
                <w:color w:val="000000" w:themeColor="text1"/>
                <w:sz w:val="22"/>
                <w:szCs w:val="22"/>
              </w:rPr>
              <w:t>.</w:t>
            </w:r>
            <w:r w:rsidRPr="00464451">
              <w:rPr>
                <w:rFonts w:eastAsia="Aptos" w:cs="Aptos"/>
                <w:noProof/>
                <w:color w:val="000000" w:themeColor="text1"/>
                <w:sz w:val="22"/>
                <w:szCs w:val="22"/>
              </w:rPr>
              <w:t xml:space="preserve"> </w:t>
            </w:r>
            <w:r>
              <w:rPr>
                <w:rFonts w:eastAsia="Aptos" w:cs="Aptos"/>
                <w:noProof/>
                <w:color w:val="000000" w:themeColor="text1"/>
                <w:sz w:val="22"/>
                <w:szCs w:val="22"/>
              </w:rPr>
              <w:t>H</w:t>
            </w:r>
            <w:r w:rsidRPr="00464451">
              <w:rPr>
                <w:rFonts w:eastAsia="Aptos" w:cs="Aptos"/>
                <w:noProof/>
                <w:color w:val="000000" w:themeColor="text1"/>
                <w:sz w:val="22"/>
                <w:szCs w:val="22"/>
              </w:rPr>
              <w:t>owever</w:t>
            </w:r>
            <w:r>
              <w:rPr>
                <w:rFonts w:eastAsia="Aptos" w:cs="Aptos"/>
                <w:noProof/>
                <w:color w:val="000000" w:themeColor="text1"/>
                <w:sz w:val="22"/>
                <w:szCs w:val="22"/>
              </w:rPr>
              <w:t>,</w:t>
            </w:r>
            <w:r w:rsidRPr="00464451">
              <w:rPr>
                <w:rFonts w:eastAsia="Aptos" w:cs="Aptos"/>
                <w:noProof/>
                <w:color w:val="000000" w:themeColor="text1"/>
                <w:sz w:val="22"/>
                <w:szCs w:val="22"/>
              </w:rPr>
              <w:t xml:space="preserve"> it </w:t>
            </w:r>
            <w:r>
              <w:rPr>
                <w:rFonts w:eastAsia="Aptos" w:cs="Aptos"/>
                <w:noProof/>
                <w:color w:val="000000" w:themeColor="text1"/>
                <w:sz w:val="22"/>
                <w:szCs w:val="22"/>
              </w:rPr>
              <w:t xml:space="preserve">only </w:t>
            </w:r>
            <w:r w:rsidRPr="00464451">
              <w:rPr>
                <w:rFonts w:eastAsia="Aptos" w:cs="Aptos"/>
                <w:noProof/>
                <w:color w:val="000000" w:themeColor="text1"/>
                <w:sz w:val="22"/>
                <w:szCs w:val="22"/>
              </w:rPr>
              <w:t>started in September</w:t>
            </w:r>
            <w:r>
              <w:rPr>
                <w:rFonts w:eastAsia="Aptos" w:cs="Aptos"/>
                <w:noProof/>
                <w:color w:val="000000" w:themeColor="text1"/>
                <w:sz w:val="22"/>
                <w:szCs w:val="22"/>
              </w:rPr>
              <w:t>,</w:t>
            </w:r>
            <w:r w:rsidRPr="00464451">
              <w:rPr>
                <w:rFonts w:eastAsia="Aptos" w:cs="Aptos"/>
                <w:noProof/>
                <w:color w:val="000000" w:themeColor="text1"/>
                <w:sz w:val="22"/>
                <w:szCs w:val="22"/>
              </w:rPr>
              <w:t xml:space="preserve"> later than market expectations at the beginning of the year.</w:t>
            </w:r>
          </w:p>
          <w:p w14:paraId="3A873AB1" w14:textId="77777777" w:rsidR="00DB3056" w:rsidRPr="00464451" w:rsidRDefault="00DB3056" w:rsidP="00DB3056">
            <w:pPr>
              <w:spacing w:after="160" w:line="257" w:lineRule="auto"/>
              <w:rPr>
                <w:rFonts w:eastAsia="Aptos" w:cs="Aptos"/>
                <w:noProof/>
                <w:color w:val="000000" w:themeColor="text1"/>
                <w:sz w:val="22"/>
                <w:szCs w:val="22"/>
              </w:rPr>
            </w:pPr>
            <w:r w:rsidRPr="00464451">
              <w:rPr>
                <w:rFonts w:eastAsia="Aptos" w:cs="Aptos"/>
                <w:noProof/>
                <w:color w:val="000000" w:themeColor="text1"/>
                <w:sz w:val="22"/>
                <w:szCs w:val="22"/>
              </w:rPr>
              <w:t xml:space="preserve">In terms of economic growth,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US outperformed Europe. In Europe</w:t>
            </w:r>
            <w:r>
              <w:rPr>
                <w:rFonts w:eastAsia="Aptos" w:cs="Aptos"/>
                <w:noProof/>
                <w:color w:val="000000" w:themeColor="text1"/>
                <w:sz w:val="22"/>
                <w:szCs w:val="22"/>
              </w:rPr>
              <w:t>,</w:t>
            </w:r>
            <w:r w:rsidRPr="00464451">
              <w:rPr>
                <w:rFonts w:eastAsia="Aptos" w:cs="Aptos"/>
                <w:noProof/>
                <w:color w:val="000000" w:themeColor="text1"/>
                <w:sz w:val="22"/>
                <w:szCs w:val="22"/>
              </w:rPr>
              <w:t xml:space="preserve"> weaker growth in Germany was compensated by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strong performance of Spain</w:t>
            </w:r>
            <w:r>
              <w:rPr>
                <w:rFonts w:eastAsia="Aptos" w:cs="Aptos"/>
                <w:noProof/>
                <w:color w:val="000000" w:themeColor="text1"/>
                <w:sz w:val="22"/>
                <w:szCs w:val="22"/>
              </w:rPr>
              <w:t>,</w:t>
            </w:r>
            <w:r w:rsidRPr="00464451">
              <w:rPr>
                <w:rFonts w:eastAsia="Aptos" w:cs="Aptos"/>
                <w:noProof/>
                <w:color w:val="000000" w:themeColor="text1"/>
                <w:sz w:val="22"/>
                <w:szCs w:val="22"/>
              </w:rPr>
              <w:t xml:space="preserve"> with EU average growth of close to 1%. The job market remained very strong in both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 xml:space="preserve">EU and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 xml:space="preserve">US, and the unemployment rates in both regions remained near record lows, </w:t>
            </w:r>
            <w:r>
              <w:rPr>
                <w:rFonts w:eastAsia="Aptos" w:cs="Aptos"/>
                <w:noProof/>
                <w:color w:val="000000" w:themeColor="text1"/>
                <w:sz w:val="22"/>
                <w:szCs w:val="22"/>
              </w:rPr>
              <w:t>boosting</w:t>
            </w:r>
            <w:r w:rsidRPr="00464451">
              <w:rPr>
                <w:rFonts w:eastAsia="Aptos" w:cs="Aptos"/>
                <w:noProof/>
                <w:color w:val="000000" w:themeColor="text1"/>
                <w:sz w:val="22"/>
                <w:szCs w:val="22"/>
              </w:rPr>
              <w:t xml:space="preserve"> consumer confidence and spending.</w:t>
            </w:r>
          </w:p>
          <w:p w14:paraId="1C386025" w14:textId="37F55D1C" w:rsidR="001C20CE" w:rsidRPr="00A7275B" w:rsidRDefault="00DB3056" w:rsidP="46DCAAA1">
            <w:pPr>
              <w:spacing w:after="160" w:line="257" w:lineRule="auto"/>
              <w:rPr>
                <w:rFonts w:eastAsia="Aptos" w:cs="Aptos"/>
                <w:noProof/>
                <w:color w:val="000000" w:themeColor="text1"/>
                <w:sz w:val="22"/>
                <w:szCs w:val="22"/>
              </w:rPr>
            </w:pPr>
            <w:r w:rsidRPr="00464451">
              <w:rPr>
                <w:rFonts w:eastAsia="Aptos" w:cs="Aptos"/>
                <w:noProof/>
                <w:color w:val="000000" w:themeColor="text1"/>
                <w:sz w:val="22"/>
                <w:szCs w:val="22"/>
              </w:rPr>
              <w:t xml:space="preserve">Interest rate cuts, combined with decreasing inflation and good economic growth extended the market rally to most asset classes. Equity indices rose to all-time highs.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 xml:space="preserve">STOXX Europe 600 index was up 6%, while </w:t>
            </w:r>
            <w:r>
              <w:rPr>
                <w:rFonts w:eastAsia="Aptos" w:cs="Aptos"/>
                <w:noProof/>
                <w:color w:val="000000" w:themeColor="text1"/>
                <w:sz w:val="22"/>
                <w:szCs w:val="22"/>
              </w:rPr>
              <w:t xml:space="preserve">the </w:t>
            </w:r>
            <w:r w:rsidRPr="00464451">
              <w:rPr>
                <w:rFonts w:eastAsia="Aptos" w:cs="Aptos"/>
                <w:noProof/>
                <w:color w:val="000000" w:themeColor="text1"/>
                <w:sz w:val="22"/>
                <w:szCs w:val="22"/>
              </w:rPr>
              <w:t>US’s S&amp;P 500 was up 23.3%.</w:t>
            </w:r>
          </w:p>
        </w:tc>
      </w:tr>
    </w:tbl>
    <w:p w14:paraId="190EEC03" w14:textId="77777777" w:rsidR="00713837" w:rsidRPr="008B332F" w:rsidRDefault="00713837" w:rsidP="00713837">
      <w:pPr>
        <w:spacing w:after="0"/>
        <w:jc w:val="left"/>
        <w:rPr>
          <w:b/>
          <w:bCs/>
          <w:noProof/>
          <w:color w:val="365F91"/>
          <w:sz w:val="28"/>
          <w:szCs w:val="28"/>
        </w:rPr>
      </w:pPr>
      <w:r w:rsidRPr="008B332F">
        <w:rPr>
          <w:noProof/>
        </w:rPr>
        <w:br w:type="page"/>
      </w:r>
    </w:p>
    <w:p w14:paraId="6A99A2AC" w14:textId="07D1DA1B" w:rsidR="00713837" w:rsidRPr="003C5DD9" w:rsidRDefault="00713837" w:rsidP="46DCAAA1">
      <w:pPr>
        <w:pStyle w:val="Heading1"/>
        <w:rPr>
          <w:noProof/>
        </w:rPr>
      </w:pPr>
      <w:bookmarkStart w:id="12" w:name="_Toc194300632"/>
      <w:r w:rsidRPr="46DCAAA1">
        <w:rPr>
          <w:noProof/>
        </w:rPr>
        <w:t>CONCLUSION</w:t>
      </w:r>
      <w:r w:rsidR="00BA5CF6" w:rsidRPr="46DCAAA1">
        <w:rPr>
          <w:noProof/>
        </w:rPr>
        <w:t>S</w:t>
      </w:r>
      <w:bookmarkEnd w:id="12"/>
    </w:p>
    <w:p w14:paraId="4F0F52A2" w14:textId="10251C25" w:rsidR="40857EA4" w:rsidRDefault="1138A650" w:rsidP="46DCAAA1">
      <w:pPr>
        <w:rPr>
          <w:rFonts w:eastAsia="EC Square Sans Pro" w:cs="EC Square Sans Pro"/>
          <w:noProof/>
        </w:rPr>
      </w:pPr>
      <w:r w:rsidRPr="5ED0CC72">
        <w:rPr>
          <w:rFonts w:eastAsia="EC Square Sans Pro" w:cs="EC Square Sans Pro"/>
          <w:noProof/>
        </w:rPr>
        <w:t xml:space="preserve">During 2024, the CPF delivered a return of +3.57% </w:t>
      </w:r>
      <w:r w:rsidR="00DE0D8B">
        <w:rPr>
          <w:rFonts w:eastAsia="EC Square Sans Pro" w:cs="EC Square Sans Pro"/>
          <w:noProof/>
        </w:rPr>
        <w:t xml:space="preserve">exceeding its </w:t>
      </w:r>
      <w:r w:rsidRPr="5ED0CC72">
        <w:rPr>
          <w:rFonts w:eastAsia="EC Square Sans Pro" w:cs="EC Square Sans Pro"/>
          <w:noProof/>
        </w:rPr>
        <w:t>benchmark of +3.31%</w:t>
      </w:r>
      <w:r w:rsidR="00FD3494">
        <w:rPr>
          <w:rFonts w:eastAsia="EC Square Sans Pro" w:cs="EC Square Sans Pro"/>
          <w:noProof/>
        </w:rPr>
        <w:t>.</w:t>
      </w:r>
      <w:r w:rsidR="004140C7">
        <w:rPr>
          <w:rFonts w:eastAsia="EC Square Sans Pro" w:cs="EC Square Sans Pro"/>
          <w:noProof/>
        </w:rPr>
        <w:t xml:space="preserve">Combined with the positive return of </w:t>
      </w:r>
      <w:r w:rsidRPr="5ED0CC72">
        <w:rPr>
          <w:rFonts w:eastAsia="EC Square Sans Pro" w:cs="EC Square Sans Pro"/>
          <w:noProof/>
        </w:rPr>
        <w:t>+5.21% in 2023</w:t>
      </w:r>
      <w:r w:rsidR="00FD3494">
        <w:rPr>
          <w:rFonts w:eastAsia="EC Square Sans Pro" w:cs="EC Square Sans Pro"/>
          <w:noProof/>
        </w:rPr>
        <w:t>,</w:t>
      </w:r>
      <w:r w:rsidR="004140C7">
        <w:rPr>
          <w:rFonts w:eastAsia="EC Square Sans Pro" w:cs="EC Square Sans Pro"/>
          <w:noProof/>
        </w:rPr>
        <w:t xml:space="preserve">this has </w:t>
      </w:r>
      <w:r w:rsidR="59C91AAB" w:rsidRPr="5ED0CC72">
        <w:rPr>
          <w:rFonts w:eastAsia="EC Square Sans Pro" w:cs="EC Square Sans Pro"/>
          <w:noProof/>
        </w:rPr>
        <w:t xml:space="preserve">restored the market value of provisioning for </w:t>
      </w:r>
      <w:r w:rsidR="005160D9">
        <w:rPr>
          <w:rFonts w:eastAsia="EC Square Sans Pro" w:cs="EC Square Sans Pro"/>
          <w:noProof/>
        </w:rPr>
        <w:t xml:space="preserve">most of the </w:t>
      </w:r>
      <w:r w:rsidR="59C91AAB" w:rsidRPr="5ED0CC72">
        <w:rPr>
          <w:rFonts w:eastAsia="EC Square Sans Pro" w:cs="EC Square Sans Pro"/>
          <w:noProof/>
        </w:rPr>
        <w:t>b</w:t>
      </w:r>
      <w:r w:rsidR="00B57768">
        <w:rPr>
          <w:rFonts w:eastAsia="EC Square Sans Pro" w:cs="EC Square Sans Pro"/>
          <w:noProof/>
        </w:rPr>
        <w:t>u</w:t>
      </w:r>
      <w:r w:rsidR="59C91AAB" w:rsidRPr="5ED0CC72">
        <w:rPr>
          <w:rFonts w:eastAsia="EC Square Sans Pro" w:cs="EC Square Sans Pro"/>
          <w:noProof/>
        </w:rPr>
        <w:t xml:space="preserve">dgetary </w:t>
      </w:r>
      <w:r w:rsidRPr="5ED0CC72">
        <w:rPr>
          <w:rFonts w:eastAsia="EC Square Sans Pro" w:cs="EC Square Sans Pro"/>
          <w:noProof/>
        </w:rPr>
        <w:t>guarantees.</w:t>
      </w:r>
      <w:r w:rsidR="58D2722D" w:rsidRPr="5ED0CC72">
        <w:rPr>
          <w:rFonts w:eastAsia="EC Square Sans Pro" w:cs="EC Square Sans Pro"/>
          <w:noProof/>
        </w:rPr>
        <w:t xml:space="preserve"> </w:t>
      </w:r>
      <w:r w:rsidR="7F4B2F49" w:rsidRPr="5ED0CC72">
        <w:rPr>
          <w:rFonts w:eastAsia="EC Square Sans Pro" w:cs="EC Square Sans Pro"/>
          <w:noProof/>
        </w:rPr>
        <w:t>Looking ahead, the current positive interest rate environment provides a foundation for sustain</w:t>
      </w:r>
      <w:r w:rsidR="50B32A32" w:rsidRPr="5ED0CC72">
        <w:rPr>
          <w:rFonts w:eastAsia="EC Square Sans Pro" w:cs="EC Square Sans Pro"/>
          <w:noProof/>
        </w:rPr>
        <w:t>ed</w:t>
      </w:r>
      <w:r w:rsidR="7F4B2F49" w:rsidRPr="5ED0CC72">
        <w:rPr>
          <w:rFonts w:eastAsia="EC Square Sans Pro" w:cs="EC Square Sans Pro"/>
          <w:noProof/>
        </w:rPr>
        <w:t xml:space="preserve"> medium-term returns</w:t>
      </w:r>
      <w:r w:rsidR="3E22160A" w:rsidRPr="5ED0CC72">
        <w:rPr>
          <w:rFonts w:eastAsia="EC Square Sans Pro" w:cs="EC Square Sans Pro"/>
          <w:noProof/>
        </w:rPr>
        <w:t>. However</w:t>
      </w:r>
      <w:r w:rsidR="7F4B2F49" w:rsidRPr="5ED0CC72">
        <w:rPr>
          <w:rFonts w:eastAsia="EC Square Sans Pro" w:cs="EC Square Sans Pro"/>
          <w:noProof/>
        </w:rPr>
        <w:t xml:space="preserve">, heightened geopolitical risks could </w:t>
      </w:r>
      <w:r w:rsidR="0BBECA35" w:rsidRPr="5ED0CC72">
        <w:rPr>
          <w:rFonts w:eastAsia="EC Square Sans Pro" w:cs="EC Square Sans Pro"/>
          <w:noProof/>
        </w:rPr>
        <w:t xml:space="preserve">give rise to </w:t>
      </w:r>
      <w:r w:rsidR="7F4B2F49" w:rsidRPr="5ED0CC72">
        <w:rPr>
          <w:rFonts w:eastAsia="EC Square Sans Pro" w:cs="EC Square Sans Pro"/>
          <w:noProof/>
        </w:rPr>
        <w:t xml:space="preserve"> increased market volatility in 2025</w:t>
      </w:r>
      <w:r w:rsidR="5444B490" w:rsidRPr="5ED0CC72">
        <w:rPr>
          <w:rFonts w:eastAsia="EC Square Sans Pro" w:cs="EC Square Sans Pro"/>
          <w:noProof/>
        </w:rPr>
        <w:t xml:space="preserve"> in the CPF’s main asset classes (fixed income, equity)</w:t>
      </w:r>
      <w:r w:rsidR="7F4B2F49" w:rsidRPr="5ED0CC72">
        <w:rPr>
          <w:rFonts w:eastAsia="EC Square Sans Pro" w:cs="EC Square Sans Pro"/>
          <w:noProof/>
        </w:rPr>
        <w:t>.</w:t>
      </w:r>
    </w:p>
    <w:p w14:paraId="4A56ADEC" w14:textId="7AB55EED" w:rsidR="40857EA4" w:rsidRDefault="00A654CE" w:rsidP="46DCAAA1">
      <w:pPr>
        <w:rPr>
          <w:rFonts w:eastAsia="EC Square Sans Pro" w:cs="EC Square Sans Pro"/>
          <w:noProof/>
        </w:rPr>
      </w:pPr>
      <w:r>
        <w:rPr>
          <w:rFonts w:eastAsia="EC Square Sans Pro" w:cs="EC Square Sans Pro"/>
          <w:noProof/>
        </w:rPr>
        <w:t>The</w:t>
      </w:r>
      <w:r w:rsidR="7F4B2F49" w:rsidRPr="5ED0CC72">
        <w:rPr>
          <w:rFonts w:eastAsia="EC Square Sans Pro" w:cs="EC Square Sans Pro"/>
          <w:noProof/>
        </w:rPr>
        <w:t xml:space="preserve"> CPF broadened its strategy in 2023 by integrating pan-European equity indices alongside fixed income investments. In 2024, this equity diversification continued to</w:t>
      </w:r>
      <w:r w:rsidR="001669AB">
        <w:rPr>
          <w:rFonts w:eastAsia="EC Square Sans Pro" w:cs="EC Square Sans Pro"/>
          <w:noProof/>
        </w:rPr>
        <w:t xml:space="preserve"> have a positive impact on</w:t>
      </w:r>
      <w:r w:rsidR="7F4B2F49" w:rsidRPr="5ED0CC72">
        <w:rPr>
          <w:rFonts w:eastAsia="EC Square Sans Pro" w:cs="EC Square Sans Pro"/>
          <w:noProof/>
        </w:rPr>
        <w:t xml:space="preserve"> performance</w:t>
      </w:r>
      <w:r w:rsidR="481F2EA3" w:rsidRPr="5ED0CC72">
        <w:rPr>
          <w:rFonts w:eastAsia="EC Square Sans Pro" w:cs="EC Square Sans Pro"/>
          <w:noProof/>
        </w:rPr>
        <w:t xml:space="preserve"> (equity contributing</w:t>
      </w:r>
      <w:r w:rsidR="00B57768">
        <w:rPr>
          <w:rFonts w:eastAsia="EC Square Sans Pro" w:cs="EC Square Sans Pro"/>
          <w:noProof/>
        </w:rPr>
        <w:t xml:space="preserve"> </w:t>
      </w:r>
      <w:r w:rsidR="481F2EA3" w:rsidRPr="5ED0CC72">
        <w:rPr>
          <w:rFonts w:eastAsia="EC Square Sans Pro" w:cs="EC Square Sans Pro"/>
          <w:noProof/>
        </w:rPr>
        <w:t xml:space="preserve">+0.6% </w:t>
      </w:r>
      <w:r w:rsidR="3045E4AA" w:rsidRPr="5ED0CC72">
        <w:rPr>
          <w:rFonts w:eastAsia="EC Square Sans Pro" w:cs="EC Square Sans Pro"/>
          <w:noProof/>
        </w:rPr>
        <w:t>to</w:t>
      </w:r>
      <w:r w:rsidR="481F2EA3" w:rsidRPr="5ED0CC72">
        <w:rPr>
          <w:rFonts w:eastAsia="EC Square Sans Pro" w:cs="EC Square Sans Pro"/>
          <w:noProof/>
        </w:rPr>
        <w:t xml:space="preserve"> the total CPF performance)</w:t>
      </w:r>
      <w:r w:rsidR="7F4B2F49" w:rsidRPr="5ED0CC72">
        <w:rPr>
          <w:rFonts w:eastAsia="EC Square Sans Pro" w:cs="EC Square Sans Pro"/>
          <w:noProof/>
        </w:rPr>
        <w:t>, enhancing returns while maintaining a balanced risk profile.</w:t>
      </w:r>
    </w:p>
    <w:p w14:paraId="00DD81FD" w14:textId="1B079FBD" w:rsidR="0A8F9E9C" w:rsidRDefault="40857EA4" w:rsidP="46DCAAA1">
      <w:pPr>
        <w:rPr>
          <w:rFonts w:eastAsia="EC Square Sans Pro" w:cs="EC Square Sans Pro"/>
          <w:noProof/>
        </w:rPr>
      </w:pPr>
      <w:r w:rsidRPr="46DCAAA1">
        <w:rPr>
          <w:rFonts w:eastAsia="EC Square Sans Pro" w:cs="EC Square Sans Pro"/>
          <w:noProof/>
        </w:rPr>
        <w:t xml:space="preserve">Overall, while acknowledging the potential challenges ahead, particularly those </w:t>
      </w:r>
      <w:r w:rsidR="001669AB">
        <w:rPr>
          <w:rFonts w:eastAsia="EC Square Sans Pro" w:cs="EC Square Sans Pro"/>
          <w:noProof/>
        </w:rPr>
        <w:t xml:space="preserve">arising </w:t>
      </w:r>
      <w:r w:rsidRPr="46DCAAA1">
        <w:rPr>
          <w:rFonts w:eastAsia="EC Square Sans Pro" w:cs="EC Square Sans Pro"/>
          <w:noProof/>
        </w:rPr>
        <w:t>from geopolitical uncertainties, the CPF remains strategically positioned to navigate volatility and pursue long-term stability and growth consistent with its investment objectives.</w:t>
      </w:r>
    </w:p>
    <w:sectPr w:rsidR="0A8F9E9C" w:rsidSect="00371ABC">
      <w:headerReference w:type="even" r:id="rId22"/>
      <w:headerReference w:type="default" r:id="rId23"/>
      <w:footerReference w:type="even" r:id="rId24"/>
      <w:footerReference w:type="default" r:id="rId25"/>
      <w:headerReference w:type="first" r:id="rId26"/>
      <w:footerReference w:type="first" r:id="rId27"/>
      <w:endnotePr>
        <w:numFmt w:val="lowerLetter"/>
      </w:endnotePr>
      <w:pgSz w:w="11906" w:h="16838"/>
      <w:pgMar w:top="1134" w:right="1417" w:bottom="1134" w:left="1417"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1C9B66" w14:textId="77777777" w:rsidR="003574AE" w:rsidRDefault="003574AE">
      <w:pPr>
        <w:spacing w:after="0"/>
      </w:pPr>
      <w:r>
        <w:separator/>
      </w:r>
    </w:p>
  </w:endnote>
  <w:endnote w:type="continuationSeparator" w:id="0">
    <w:p w14:paraId="6146999E" w14:textId="77777777" w:rsidR="003574AE" w:rsidRDefault="003574AE">
      <w:pPr>
        <w:spacing w:after="0"/>
      </w:pPr>
      <w:r>
        <w:continuationSeparator/>
      </w:r>
    </w:p>
  </w:endnote>
  <w:endnote w:type="continuationNotice" w:id="1">
    <w:p w14:paraId="0CB93FF4" w14:textId="77777777" w:rsidR="003574AE" w:rsidRDefault="003574A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C Square Sans Pro">
    <w:altName w:val="Segoe UI"/>
    <w:charset w:val="00"/>
    <w:family w:val="swiss"/>
    <w:pitch w:val="variable"/>
    <w:sig w:usb0="20000287" w:usb1="00000001" w:usb2="0000000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E6063" w14:textId="3E1CA851" w:rsidR="00254768" w:rsidRPr="00254768" w:rsidRDefault="00254768" w:rsidP="00254768">
    <w:pPr>
      <w:pStyle w:val="FooterCoverPage"/>
      <w:rPr>
        <w:rFonts w:ascii="Arial" w:hAnsi="Arial" w:cs="Arial"/>
        <w:b/>
        <w:sz w:val="48"/>
      </w:rPr>
    </w:pPr>
    <w:r w:rsidRPr="00254768">
      <w:rPr>
        <w:rFonts w:ascii="Arial" w:hAnsi="Arial" w:cs="Arial"/>
        <w:b/>
        <w:sz w:val="48"/>
      </w:rPr>
      <w:t>EN</w:t>
    </w:r>
    <w:r w:rsidRPr="00254768">
      <w:rPr>
        <w:rFonts w:ascii="Arial" w:hAnsi="Arial" w:cs="Arial"/>
        <w:b/>
        <w:sz w:val="48"/>
      </w:rPr>
      <w:tab/>
    </w:r>
    <w:r w:rsidRPr="00254768">
      <w:rPr>
        <w:rFonts w:ascii="Arial" w:hAnsi="Arial" w:cs="Arial"/>
        <w:b/>
        <w:sz w:val="48"/>
      </w:rPr>
      <w:tab/>
    </w:r>
    <w:r w:rsidRPr="00254768">
      <w:tab/>
    </w:r>
    <w:r w:rsidRPr="00254768">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CF09FE" w14:textId="5857EC0D" w:rsidR="00254768" w:rsidRPr="00254768" w:rsidRDefault="00254768" w:rsidP="00254768">
    <w:pPr>
      <w:pStyle w:val="FooterCoverPage"/>
      <w:rPr>
        <w:rFonts w:ascii="Arial" w:hAnsi="Arial" w:cs="Arial"/>
        <w:b/>
        <w:sz w:val="48"/>
      </w:rPr>
    </w:pPr>
    <w:r w:rsidRPr="00254768">
      <w:rPr>
        <w:rFonts w:ascii="Arial" w:hAnsi="Arial" w:cs="Arial"/>
        <w:b/>
        <w:sz w:val="48"/>
      </w:rPr>
      <w:t>EN</w:t>
    </w:r>
    <w:r w:rsidRPr="00254768">
      <w:rPr>
        <w:rFonts w:ascii="Arial" w:hAnsi="Arial" w:cs="Arial"/>
        <w:b/>
        <w:sz w:val="48"/>
      </w:rPr>
      <w:tab/>
    </w:r>
    <w:r w:rsidRPr="00254768">
      <w:rPr>
        <w:rFonts w:ascii="Arial" w:hAnsi="Arial" w:cs="Arial"/>
        <w:b/>
        <w:sz w:val="48"/>
      </w:rPr>
      <w:tab/>
    </w:r>
    <w:r w:rsidRPr="00254768">
      <w:tab/>
    </w:r>
    <w:r w:rsidRPr="00254768">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C3EE8" w14:textId="77777777" w:rsidR="00254768" w:rsidRPr="00254768" w:rsidRDefault="00254768" w:rsidP="00254768">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7BCFC" w14:textId="77777777" w:rsidR="00C27875" w:rsidRPr="00655A36" w:rsidRDefault="00C27875" w:rsidP="00655A36">
    <w:pPr>
      <w:pStyle w:val="FooterCoverPage"/>
      <w:rPr>
        <w:rFonts w:ascii="Arial" w:hAnsi="Arial" w:cs="Arial"/>
        <w:b/>
        <w:sz w:val="48"/>
      </w:rPr>
    </w:pPr>
    <w:r w:rsidRPr="00655A36">
      <w:rPr>
        <w:rFonts w:ascii="Arial" w:hAnsi="Arial" w:cs="Arial"/>
        <w:b/>
        <w:sz w:val="48"/>
      </w:rPr>
      <w:t>EN</w:t>
    </w:r>
    <w:r w:rsidRPr="00655A36">
      <w:rPr>
        <w:rFonts w:ascii="Arial" w:hAnsi="Arial" w:cs="Arial"/>
        <w:b/>
        <w:sz w:val="48"/>
      </w:rPr>
      <w:tab/>
    </w:r>
    <w:r w:rsidRPr="00655A36">
      <w:rPr>
        <w:rFonts w:ascii="Arial" w:hAnsi="Arial" w:cs="Arial"/>
        <w:b/>
        <w:sz w:val="48"/>
      </w:rPr>
      <w:tab/>
    </w:r>
    <w:r w:rsidRPr="00655A36">
      <w:tab/>
    </w:r>
    <w:r w:rsidRPr="00655A36">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7681517"/>
      <w:docPartObj>
        <w:docPartGallery w:val="Page Numbers (Bottom of Page)"/>
        <w:docPartUnique/>
      </w:docPartObj>
    </w:sdtPr>
    <w:sdtEndPr>
      <w:rPr>
        <w:noProof/>
      </w:rPr>
    </w:sdtEndPr>
    <w:sdtContent>
      <w:p w14:paraId="1EF4218A" w14:textId="453BAAFD" w:rsidR="00AF66FB" w:rsidRDefault="00AF66FB">
        <w:pPr>
          <w:pStyle w:val="Footer"/>
          <w:jc w:val="center"/>
        </w:pPr>
        <w:r>
          <w:fldChar w:fldCharType="begin"/>
        </w:r>
        <w:r>
          <w:instrText xml:space="preserve"> PAGE   \* MERGEFORMAT </w:instrText>
        </w:r>
        <w:r>
          <w:fldChar w:fldCharType="separate"/>
        </w:r>
        <w:r w:rsidR="00254768">
          <w:rPr>
            <w:noProof/>
          </w:rPr>
          <w:t>10</w:t>
        </w:r>
        <w:r>
          <w:rPr>
            <w:noProof/>
          </w:rPr>
          <w:fldChar w:fldCharType="end"/>
        </w:r>
      </w:p>
    </w:sdtContent>
  </w:sdt>
  <w:p w14:paraId="51960B9D" w14:textId="5500E8E9" w:rsidR="00C27875" w:rsidRPr="00655A36" w:rsidRDefault="00C27875" w:rsidP="00655A36">
    <w:pPr>
      <w:pStyle w:val="FooterCoverPage"/>
      <w:rPr>
        <w:rFonts w:ascii="Arial" w:hAnsi="Arial" w:cs="Arial"/>
        <w:b/>
        <w:sz w:val="48"/>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0DDE5" w14:textId="77777777" w:rsidR="00C27875" w:rsidRDefault="00C27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41DC5" w14:textId="77777777" w:rsidR="003574AE" w:rsidRDefault="003574AE">
      <w:pPr>
        <w:spacing w:after="0"/>
      </w:pPr>
      <w:r>
        <w:separator/>
      </w:r>
    </w:p>
  </w:footnote>
  <w:footnote w:type="continuationSeparator" w:id="0">
    <w:p w14:paraId="21E92160" w14:textId="77777777" w:rsidR="003574AE" w:rsidRDefault="003574AE">
      <w:pPr>
        <w:spacing w:after="0"/>
      </w:pPr>
      <w:r>
        <w:continuationSeparator/>
      </w:r>
    </w:p>
  </w:footnote>
  <w:footnote w:type="continuationNotice" w:id="1">
    <w:p w14:paraId="5838175D" w14:textId="77777777" w:rsidR="003574AE" w:rsidRDefault="003574AE">
      <w:pPr>
        <w:spacing w:after="0"/>
      </w:pPr>
    </w:p>
  </w:footnote>
  <w:footnote w:id="2">
    <w:p w14:paraId="303B6E6E" w14:textId="77777777" w:rsidR="00D5705C" w:rsidRPr="00464451" w:rsidRDefault="00D5705C" w:rsidP="00D5705C">
      <w:pPr>
        <w:pStyle w:val="FootnoteText"/>
        <w:ind w:left="240" w:hanging="240"/>
      </w:pPr>
      <w:r w:rsidRPr="00464451">
        <w:t>(</w:t>
      </w:r>
      <w:r w:rsidRPr="00464451">
        <w:rPr>
          <w:rStyle w:val="FootnoteReference"/>
        </w:rPr>
        <w:footnoteRef/>
      </w:r>
      <w:r w:rsidRPr="00464451">
        <w:t>) Pursuant to Article</w:t>
      </w:r>
      <w:r>
        <w:rPr>
          <w:rFonts w:ascii="Calibri" w:hAnsi="Calibri" w:cs="Calibri"/>
        </w:rPr>
        <w:t> </w:t>
      </w:r>
      <w:r w:rsidRPr="00464451">
        <w:t>214 of the Financial Regulation (Regulation (EU, Euratom) 2018/1046 of the European Parliament and of the Council of 18</w:t>
      </w:r>
      <w:r>
        <w:rPr>
          <w:rFonts w:ascii="Calibri" w:hAnsi="Calibri" w:cs="Calibri"/>
        </w:rPr>
        <w:t> </w:t>
      </w:r>
      <w:r w:rsidRPr="00464451">
        <w:t>July 2018 on the financial rules applicable to the general budget of the Union, amending Regulations (EU) No</w:t>
      </w:r>
      <w:r>
        <w:rPr>
          <w:rFonts w:ascii="Calibri" w:hAnsi="Calibri" w:cs="Calibri"/>
        </w:rPr>
        <w:t> </w:t>
      </w:r>
      <w:r w:rsidRPr="00464451">
        <w:t>1296/2013, (EU) No</w:t>
      </w:r>
      <w:r>
        <w:rPr>
          <w:rFonts w:ascii="Calibri" w:hAnsi="Calibri" w:cs="Calibri"/>
        </w:rPr>
        <w:t> </w:t>
      </w:r>
      <w:r w:rsidRPr="00464451">
        <w:t>1301/2013, (EU) No</w:t>
      </w:r>
      <w:r>
        <w:rPr>
          <w:rFonts w:ascii="Calibri" w:hAnsi="Calibri" w:cs="Calibri"/>
        </w:rPr>
        <w:t> </w:t>
      </w:r>
      <w:r w:rsidRPr="00464451">
        <w:t>1303/2013, (EU) No</w:t>
      </w:r>
      <w:r>
        <w:rPr>
          <w:rFonts w:ascii="Calibri" w:hAnsi="Calibri" w:cs="Calibri"/>
        </w:rPr>
        <w:t> </w:t>
      </w:r>
      <w:r w:rsidRPr="00464451">
        <w:t>1304/2013, (EU) No</w:t>
      </w:r>
      <w:r>
        <w:rPr>
          <w:rFonts w:ascii="Calibri" w:hAnsi="Calibri" w:cs="Calibri"/>
        </w:rPr>
        <w:t> </w:t>
      </w:r>
      <w:r w:rsidRPr="00464451">
        <w:t>1309/2013, (EU) No</w:t>
      </w:r>
      <w:r>
        <w:rPr>
          <w:rFonts w:ascii="Calibri" w:hAnsi="Calibri" w:cs="Calibri"/>
        </w:rPr>
        <w:t> </w:t>
      </w:r>
      <w:r w:rsidRPr="00464451">
        <w:t>1316/2013, (EU) No</w:t>
      </w:r>
      <w:r>
        <w:rPr>
          <w:rFonts w:ascii="Calibri" w:hAnsi="Calibri" w:cs="Calibri"/>
        </w:rPr>
        <w:t> </w:t>
      </w:r>
      <w:r w:rsidRPr="00464451">
        <w:t>223/2014, (EU) No</w:t>
      </w:r>
      <w:r>
        <w:rPr>
          <w:rFonts w:ascii="Calibri" w:hAnsi="Calibri" w:cs="Calibri"/>
        </w:rPr>
        <w:t> </w:t>
      </w:r>
      <w:r w:rsidRPr="00464451">
        <w:t>283/2014, and Decision No</w:t>
      </w:r>
      <w:r>
        <w:rPr>
          <w:rFonts w:ascii="Calibri" w:hAnsi="Calibri" w:cs="Calibri"/>
        </w:rPr>
        <w:t> </w:t>
      </w:r>
      <w:r w:rsidRPr="00464451">
        <w:t>541/2014/EU and repealing Regulation (EU, Euratom) No</w:t>
      </w:r>
      <w:r>
        <w:rPr>
          <w:rFonts w:ascii="Calibri" w:hAnsi="Calibri" w:cs="Calibri"/>
        </w:rPr>
        <w:t> </w:t>
      </w:r>
      <w:r w:rsidRPr="00464451">
        <w:t>966/2012, OJ L 193, 30.7.2018, p.</w:t>
      </w:r>
      <w:r>
        <w:rPr>
          <w:rFonts w:ascii="Calibri" w:hAnsi="Calibri" w:cs="Calibri"/>
        </w:rPr>
        <w:t> </w:t>
      </w:r>
      <w:r w:rsidRPr="00464451">
        <w:t xml:space="preserve">1, the Commission </w:t>
      </w:r>
      <w:r>
        <w:t>must</w:t>
      </w:r>
      <w:r w:rsidRPr="00464451">
        <w:t xml:space="preserve"> report annually to the European Parliament and to the Council on the common provisioning fund. The Asset Management Guidelines of the CPF (Commission Decision of 25.3.2020 on the Asset Management Guidelines of the common provisioning fund (C(2020) 1896 final, OJ C 131, 22.4.2020, p.</w:t>
      </w:r>
      <w:r>
        <w:rPr>
          <w:rFonts w:ascii="Calibri" w:hAnsi="Calibri" w:cs="Calibri"/>
        </w:rPr>
        <w:t> </w:t>
      </w:r>
      <w:r w:rsidRPr="00464451">
        <w:t>3</w:t>
      </w:r>
      <w:r>
        <w:t>-</w:t>
      </w:r>
      <w:r w:rsidRPr="00464451">
        <w:t>11) provide further guidance on the contents of this report.</w:t>
      </w:r>
    </w:p>
  </w:footnote>
  <w:footnote w:id="3">
    <w:p w14:paraId="2930F912" w14:textId="2194FAC6" w:rsidR="00584AD0" w:rsidRPr="00AD032D" w:rsidRDefault="00584AD0" w:rsidP="00584AD0">
      <w:pPr>
        <w:pStyle w:val="FootnoteText"/>
      </w:pPr>
      <w:r w:rsidRPr="00AD032D">
        <w:t>(</w:t>
      </w:r>
      <w:r w:rsidRPr="00AD032D">
        <w:rPr>
          <w:rStyle w:val="FootnoteReference"/>
        </w:rPr>
        <w:footnoteRef/>
      </w:r>
      <w:r w:rsidRPr="00AD032D">
        <w:t>) European Fund for Strategic Investments (EFSI) and InvestEU.</w:t>
      </w:r>
    </w:p>
  </w:footnote>
  <w:footnote w:id="4">
    <w:p w14:paraId="56CFDDA3" w14:textId="41A98B77" w:rsidR="00584AD0" w:rsidRPr="00AD032D" w:rsidRDefault="00584AD0" w:rsidP="00584AD0">
      <w:pPr>
        <w:pStyle w:val="FootnoteText"/>
        <w:ind w:left="240" w:hanging="240"/>
      </w:pPr>
      <w:r w:rsidRPr="00AD032D">
        <w:t>(</w:t>
      </w:r>
      <w:r w:rsidRPr="00AD032D">
        <w:rPr>
          <w:rStyle w:val="FootnoteReference"/>
        </w:rPr>
        <w:footnoteRef/>
      </w:r>
      <w:r w:rsidRPr="00AD032D">
        <w:t>) External lending mandate (ELM), European Fund for Sustainable Development (EFSD) and European Fund for Sustainable Development</w:t>
      </w:r>
      <w:r w:rsidR="0036695A" w:rsidRPr="00AD032D">
        <w:t xml:space="preserve"> Plus</w:t>
      </w:r>
      <w:r w:rsidRPr="00AD032D">
        <w:t xml:space="preserve"> (EFSD+).</w:t>
      </w:r>
    </w:p>
  </w:footnote>
  <w:footnote w:id="5">
    <w:p w14:paraId="7D16F376" w14:textId="4351502D" w:rsidR="00740B92" w:rsidRPr="004E527E" w:rsidRDefault="00740B92">
      <w:pPr>
        <w:pStyle w:val="FootnoteText"/>
        <w:rPr>
          <w:lang w:val="en-IE"/>
        </w:rPr>
      </w:pPr>
      <w:r>
        <w:t>(</w:t>
      </w:r>
      <w:r>
        <w:rPr>
          <w:rStyle w:val="FootnoteReference"/>
        </w:rPr>
        <w:footnoteRef/>
      </w:r>
      <w:r>
        <w:t>)</w:t>
      </w:r>
      <w:r w:rsidR="00863817">
        <w:t xml:space="preserve"> </w:t>
      </w:r>
      <w:r w:rsidR="00863817" w:rsidRPr="004E527E">
        <w:t>Except MFA+ loans granted to Ukraine in 2023</w:t>
      </w:r>
      <w:r w:rsidR="00863817">
        <w:t>.</w:t>
      </w:r>
    </w:p>
  </w:footnote>
  <w:footnote w:id="6">
    <w:p w14:paraId="390D8E76" w14:textId="5D21ABD5" w:rsidR="00060817" w:rsidRPr="00060817" w:rsidRDefault="00060817" w:rsidP="00060817">
      <w:pPr>
        <w:pStyle w:val="FootnoteText"/>
        <w:jc w:val="left"/>
        <w:rPr>
          <w:lang w:val="en-IE"/>
        </w:rPr>
      </w:pPr>
      <w:r>
        <w:t>(</w:t>
      </w:r>
      <w:r>
        <w:rPr>
          <w:rStyle w:val="FootnoteReference"/>
        </w:rPr>
        <w:footnoteRef/>
      </w:r>
      <w:r>
        <w:t xml:space="preserve">) </w:t>
      </w:r>
      <w:r w:rsidR="00C37F68">
        <w:rPr>
          <w:rStyle w:val="Strong"/>
          <w:b w:val="0"/>
          <w:bCs w:val="0"/>
        </w:rPr>
        <w:t>A</w:t>
      </w:r>
      <w:r w:rsidR="00C37F68" w:rsidRPr="00870B44">
        <w:rPr>
          <w:rStyle w:val="Strong"/>
          <w:b w:val="0"/>
          <w:bCs w:val="0"/>
        </w:rPr>
        <w:t>bsolute return</w:t>
      </w:r>
      <w:r w:rsidR="00C37F68">
        <w:t xml:space="preserve"> refers to the return on an investment or portfolio over a specified period of time, without any reference to a benchmark or market index.</w:t>
      </w:r>
      <w:r w:rsidR="003F7023">
        <w:t xml:space="preserve">It represents </w:t>
      </w:r>
      <w:r w:rsidRPr="00060817">
        <w:t>the portfolio’s time-weighted percentage growth, measured so that cash inflows and</w:t>
      </w:r>
      <w:r>
        <w:t xml:space="preserve"> </w:t>
      </w:r>
      <w:r w:rsidRPr="00060817">
        <w:t>outflows</w:t>
      </w:r>
      <w:r w:rsidR="003F7023">
        <w:t xml:space="preserve"> </w:t>
      </w:r>
      <w:r w:rsidRPr="00060817">
        <w:t>have no effect on the result</w:t>
      </w:r>
      <w:r w:rsidR="00235B9A">
        <w:t>.</w:t>
      </w:r>
    </w:p>
  </w:footnote>
  <w:footnote w:id="7">
    <w:p w14:paraId="0237C7DA" w14:textId="77777777" w:rsidR="00DA6D2F" w:rsidRPr="00464451" w:rsidRDefault="00DA6D2F" w:rsidP="00DA6D2F">
      <w:pPr>
        <w:pStyle w:val="FootnoteText"/>
      </w:pPr>
      <w:r w:rsidRPr="00464451">
        <w:t>(</w:t>
      </w:r>
      <w:r w:rsidRPr="00464451">
        <w:rPr>
          <w:rStyle w:val="FootnoteReference"/>
        </w:rPr>
        <w:footnoteRef/>
      </w:r>
      <w:r w:rsidRPr="00464451">
        <w:t>)</w:t>
      </w:r>
      <w:r w:rsidRPr="00464451">
        <w:tab/>
        <w:t xml:space="preserve">The governance structure was presented in the CPF annual report for 2021, </w:t>
      </w:r>
      <w:hyperlink r:id="rId1">
        <w:r w:rsidRPr="00464451">
          <w:rPr>
            <w:color w:val="0000FF"/>
            <w:u w:val="single"/>
          </w:rPr>
          <w:t>EUR-Lex - 52022DC0213 - EN - EUR-Lex (europa.eu)</w:t>
        </w:r>
      </w:hyperlink>
      <w:r w:rsidRPr="00464451">
        <w:t>.</w:t>
      </w:r>
    </w:p>
  </w:footnote>
  <w:footnote w:id="8">
    <w:p w14:paraId="30FAA746" w14:textId="77777777" w:rsidR="00DA6D2F" w:rsidRPr="00464451" w:rsidRDefault="00DA6D2F" w:rsidP="00DA6D2F">
      <w:pPr>
        <w:pStyle w:val="FootnoteText"/>
        <w:ind w:left="240" w:hanging="240"/>
      </w:pPr>
      <w:r w:rsidRPr="00464451">
        <w:t>(</w:t>
      </w:r>
      <w:r w:rsidRPr="00464451">
        <w:rPr>
          <w:rStyle w:val="FootnoteReference"/>
        </w:rPr>
        <w:footnoteRef/>
      </w:r>
      <w:r w:rsidRPr="00464451">
        <w:t xml:space="preserve">) The net asset value (NAV) of the CPF is determined by the value of the total assets, less the liabilities, </w:t>
      </w:r>
      <w:r>
        <w:t>on</w:t>
      </w:r>
      <w:r w:rsidRPr="00464451">
        <w:t xml:space="preserve"> the respective NAV calculation date.</w:t>
      </w:r>
    </w:p>
  </w:footnote>
  <w:footnote w:id="9">
    <w:p w14:paraId="2C848773" w14:textId="1C4311BF" w:rsidR="00A41318" w:rsidRPr="00AD032D" w:rsidRDefault="006B013B" w:rsidP="00A41318">
      <w:pPr>
        <w:pStyle w:val="FootnoteText"/>
        <w:rPr>
          <w:noProof/>
        </w:rPr>
      </w:pPr>
      <w:r w:rsidRPr="00AD032D">
        <w:t>(</w:t>
      </w:r>
      <w:r w:rsidR="00A41318" w:rsidRPr="00AD032D">
        <w:rPr>
          <w:rStyle w:val="FootnoteReference"/>
        </w:rPr>
        <w:footnoteRef/>
      </w:r>
      <w:r w:rsidRPr="00AD032D">
        <w:t>)</w:t>
      </w:r>
      <w:r w:rsidR="00A41318" w:rsidRPr="00AD032D">
        <w:t xml:space="preserve"> </w:t>
      </w:r>
      <w:r w:rsidR="008D1AEF" w:rsidRPr="00AD032D">
        <w:rPr>
          <w:noProof/>
        </w:rPr>
        <w:t>I</w:t>
      </w:r>
      <w:r w:rsidR="00A41318" w:rsidRPr="00AD032D">
        <w:rPr>
          <w:noProof/>
        </w:rPr>
        <w:t xml:space="preserve">n line with e.g. Articles 212.2, 212.4, 213.1 and 213.4 </w:t>
      </w:r>
      <w:r w:rsidR="00C300C0" w:rsidRPr="00AD032D">
        <w:rPr>
          <w:noProof/>
        </w:rPr>
        <w:t>of the Financial Regulation</w:t>
      </w:r>
      <w:r w:rsidR="00A41318" w:rsidRPr="00AD032D">
        <w:rPr>
          <w:noProof/>
        </w:rPr>
        <w:t>.</w:t>
      </w:r>
    </w:p>
  </w:footnote>
  <w:footnote w:id="10">
    <w:p w14:paraId="734D1C0B" w14:textId="0CD62D5C" w:rsidR="00A41318" w:rsidRPr="004A3D3F" w:rsidRDefault="46DCAAA1" w:rsidP="00A41318">
      <w:pPr>
        <w:pStyle w:val="FootnoteText"/>
        <w:rPr>
          <w:lang w:val="en-US"/>
        </w:rPr>
      </w:pPr>
      <w:r w:rsidRPr="007419B2">
        <w:rPr>
          <w:lang w:val="en-US"/>
        </w:rPr>
        <w:t>(</w:t>
      </w:r>
      <w:r w:rsidR="00A41318" w:rsidRPr="00AD032D">
        <w:rPr>
          <w:rStyle w:val="FootnoteReference"/>
        </w:rPr>
        <w:footnoteRef/>
      </w:r>
      <w:r w:rsidRPr="004A3D3F">
        <w:rPr>
          <w:lang w:val="en-US"/>
        </w:rPr>
        <w:t>) For Spain.</w:t>
      </w:r>
    </w:p>
  </w:footnote>
  <w:footnote w:id="11">
    <w:p w14:paraId="5F520B1A" w14:textId="3C70A226" w:rsidR="00376FD7" w:rsidRPr="00376FD7" w:rsidRDefault="20CE6337">
      <w:pPr>
        <w:pStyle w:val="FootnoteText"/>
        <w:rPr>
          <w:lang w:val="en-IE"/>
        </w:rPr>
      </w:pPr>
      <w:r>
        <w:t>(</w:t>
      </w:r>
      <w:r w:rsidR="00376FD7">
        <w:rPr>
          <w:rStyle w:val="FootnoteReference"/>
        </w:rPr>
        <w:footnoteRef/>
      </w:r>
      <w:r>
        <w:t>)</w:t>
      </w:r>
      <w:r w:rsidR="5ED0CC72">
        <w:tab/>
      </w:r>
      <w:r w:rsidRPr="00376FD7">
        <w:rPr>
          <w:lang w:val="en-IE"/>
        </w:rPr>
        <w:t xml:space="preserve">Regulation (EU) 2024/792 of the European Parliament and of the Council of 29 February 2024 establishing the Ukraine Facility, OJ L, 2024/792, 29.2.2024.  </w:t>
      </w:r>
    </w:p>
  </w:footnote>
  <w:footnote w:id="12">
    <w:p w14:paraId="2CA96F94" w14:textId="77777777" w:rsidR="00FF29DE" w:rsidRPr="00464451" w:rsidRDefault="00FF29DE" w:rsidP="00FF29DE">
      <w:pPr>
        <w:pStyle w:val="FootnoteText"/>
        <w:ind w:left="360" w:hanging="360"/>
      </w:pPr>
      <w:r w:rsidRPr="00464451">
        <w:t>(</w:t>
      </w:r>
      <w:r w:rsidRPr="00464451">
        <w:rPr>
          <w:rStyle w:val="FootnoteReference"/>
        </w:rPr>
        <w:footnoteRef/>
      </w:r>
      <w:r w:rsidRPr="00464451">
        <w:t>) Guarantee Fund for external actions (GFEA), holding the provisions for the external lending mandate (ELM), legacy (macro-financial assistance - MFA) and Euratom programmes.</w:t>
      </w:r>
    </w:p>
  </w:footnote>
  <w:footnote w:id="13">
    <w:p w14:paraId="7B2A5475" w14:textId="77777777" w:rsidR="00FF29DE" w:rsidRPr="00464451" w:rsidRDefault="00FF29DE" w:rsidP="00FF29DE">
      <w:pPr>
        <w:spacing w:after="120"/>
        <w:ind w:left="357" w:hanging="357"/>
      </w:pPr>
      <w:r w:rsidRPr="00464451">
        <w:t>(</w:t>
      </w:r>
      <w:r w:rsidRPr="00464451">
        <w:rPr>
          <w:rStyle w:val="FootnoteReference"/>
        </w:rPr>
        <w:footnoteRef/>
      </w:r>
      <w:r w:rsidRPr="00464451">
        <w:t xml:space="preserve">) </w:t>
      </w:r>
      <w:r w:rsidRPr="00464451">
        <w:rPr>
          <w:sz w:val="20"/>
        </w:rPr>
        <w:t>European Fund for Sustainable Development.</w:t>
      </w:r>
    </w:p>
  </w:footnote>
  <w:footnote w:id="14">
    <w:p w14:paraId="21F70896" w14:textId="77777777" w:rsidR="00FF29DE" w:rsidRPr="00464451" w:rsidRDefault="00FF29DE" w:rsidP="00FF29DE">
      <w:pPr>
        <w:pStyle w:val="FootnoteText"/>
      </w:pPr>
      <w:r w:rsidRPr="00464451">
        <w:t>(</w:t>
      </w:r>
      <w:r w:rsidRPr="00464451">
        <w:rPr>
          <w:rStyle w:val="FootnoteReference"/>
        </w:rPr>
        <w:footnoteRef/>
      </w:r>
      <w:r w:rsidRPr="00464451">
        <w:t>)</w:t>
      </w:r>
      <w:r w:rsidRPr="00464451">
        <w:tab/>
        <w:t>EU Compartment.</w:t>
      </w:r>
    </w:p>
  </w:footnote>
  <w:footnote w:id="15">
    <w:p w14:paraId="1D11348B" w14:textId="77777777" w:rsidR="00FF29DE" w:rsidRPr="00464451" w:rsidRDefault="00FF29DE" w:rsidP="00FF29DE">
      <w:pPr>
        <w:pStyle w:val="FootnoteText"/>
      </w:pPr>
      <w:r w:rsidRPr="00464451">
        <w:t>(</w:t>
      </w:r>
      <w:r w:rsidRPr="00464451">
        <w:rPr>
          <w:rStyle w:val="FootnoteReference"/>
        </w:rPr>
        <w:footnoteRef/>
      </w:r>
      <w:r w:rsidRPr="00464451">
        <w:t>) Under Decision (EU) 2022/12018 and Decision (EU) 2022/1628 providing exceptional macro-financial assistance to Ukraine.</w:t>
      </w:r>
    </w:p>
  </w:footnote>
  <w:footnote w:id="16">
    <w:p w14:paraId="20B51697" w14:textId="54ABC4D4" w:rsidR="007B21CA" w:rsidRPr="00AD032D" w:rsidRDefault="006B013B" w:rsidP="007B21CA">
      <w:pPr>
        <w:pStyle w:val="FootnoteText"/>
      </w:pPr>
      <w:r w:rsidRPr="00AD032D">
        <w:t>(</w:t>
      </w:r>
      <w:r w:rsidR="007B21CA" w:rsidRPr="00AD032D">
        <w:rPr>
          <w:rStyle w:val="FootnoteReference"/>
        </w:rPr>
        <w:footnoteRef/>
      </w:r>
      <w:r w:rsidRPr="00AD032D">
        <w:t>)</w:t>
      </w:r>
      <w:r w:rsidR="007B21CA" w:rsidRPr="00AD032D">
        <w:t xml:space="preserve"> Commission Decision of 25.3.2020 on the Asset Management Guidelines of the common provisioning fund (C(2020) 1896 final, OJ C 131, 22.4.2020, p. 3–11.</w:t>
      </w:r>
    </w:p>
  </w:footnote>
  <w:footnote w:id="17">
    <w:p w14:paraId="50CE31AB" w14:textId="5F5B5E4B" w:rsidR="00725EB0" w:rsidRPr="00725EB0" w:rsidRDefault="46DCAAA1">
      <w:pPr>
        <w:pStyle w:val="FootnoteText"/>
      </w:pPr>
      <w:r>
        <w:t>(</w:t>
      </w:r>
      <w:r w:rsidR="00725EB0">
        <w:rPr>
          <w:rStyle w:val="FootnoteReference"/>
        </w:rPr>
        <w:footnoteRef/>
      </w:r>
      <w:r>
        <w:t>)</w:t>
      </w:r>
      <w:r w:rsidR="00725EB0">
        <w:tab/>
      </w:r>
      <w:r w:rsidRPr="00725EB0">
        <w:t xml:space="preserve">Out of EUR </w:t>
      </w:r>
      <w:r w:rsidR="00C56A60" w:rsidRPr="00725EB0">
        <w:t>3</w:t>
      </w:r>
      <w:r w:rsidR="00C56A60">
        <w:t>8</w:t>
      </w:r>
      <w:r w:rsidR="00C56A60" w:rsidRPr="00725EB0">
        <w:t xml:space="preserve">5 </w:t>
      </w:r>
      <w:r w:rsidRPr="00725EB0">
        <w:t>million, EUR 344 million correspond to CPF redemptions, EUR 41 million are recoveries.</w:t>
      </w:r>
    </w:p>
  </w:footnote>
  <w:footnote w:id="18">
    <w:p w14:paraId="5E306330" w14:textId="188BE2CF" w:rsidR="007B21CA" w:rsidRPr="00AD032D" w:rsidRDefault="46DCAAA1" w:rsidP="007B21CA">
      <w:pPr>
        <w:pStyle w:val="FootnoteText"/>
      </w:pPr>
      <w:r w:rsidRPr="00AD032D">
        <w:t>(</w:t>
      </w:r>
      <w:r w:rsidR="007B21CA" w:rsidRPr="00AD032D">
        <w:rPr>
          <w:rStyle w:val="FootnoteReference"/>
        </w:rPr>
        <w:footnoteRef/>
      </w:r>
      <w:r w:rsidRPr="00AD032D">
        <w:t>) Compared to EUR 351 million in 2023.</w:t>
      </w:r>
    </w:p>
  </w:footnote>
  <w:footnote w:id="19">
    <w:p w14:paraId="015A1B75" w14:textId="53B52909" w:rsidR="007B21CA" w:rsidRPr="00AD032D" w:rsidRDefault="006B013B" w:rsidP="007B21CA">
      <w:pPr>
        <w:pStyle w:val="FootnoteText"/>
      </w:pPr>
      <w:r w:rsidRPr="00AD032D">
        <w:t>(</w:t>
      </w:r>
      <w:r w:rsidR="007B21CA" w:rsidRPr="00AD032D">
        <w:rPr>
          <w:rStyle w:val="FootnoteReference"/>
        </w:rPr>
        <w:footnoteRef/>
      </w:r>
      <w:r w:rsidRPr="00AD032D">
        <w:t>)</w:t>
      </w:r>
      <w:r w:rsidR="007B21CA" w:rsidRPr="00AD032D">
        <w:t xml:space="preserve"> Individual guarantee calls are mentioned in a separate report under Article 41(5) of the Financial Regulation (FR).</w:t>
      </w:r>
    </w:p>
  </w:footnote>
  <w:footnote w:id="20">
    <w:p w14:paraId="78DC0402" w14:textId="65AB19E6" w:rsidR="007B21CA" w:rsidRPr="00AD032D" w:rsidRDefault="46DCAAA1" w:rsidP="007B21CA">
      <w:pPr>
        <w:pStyle w:val="FootnoteText"/>
      </w:pPr>
      <w:r w:rsidRPr="00AD032D">
        <w:t>(</w:t>
      </w:r>
      <w:r w:rsidR="007B21CA" w:rsidRPr="00AD032D">
        <w:rPr>
          <w:rStyle w:val="FootnoteReference"/>
        </w:rPr>
        <w:footnoteRef/>
      </w:r>
      <w:r w:rsidRPr="00AD032D">
        <w:t>) It is important to mention that payments may arise in 2025  or later</w:t>
      </w:r>
      <w:r>
        <w:t>,</w:t>
      </w:r>
      <w:r w:rsidRPr="00AD032D">
        <w:t xml:space="preserve"> which may require ex post adjustment of the </w:t>
      </w:r>
      <w:r w:rsidR="00871860" w:rsidRPr="00AD032D">
        <w:t>2024</w:t>
      </w:r>
      <w:r w:rsidR="00871860">
        <w:t xml:space="preserve"> </w:t>
      </w:r>
      <w:r w:rsidR="00871860" w:rsidRPr="00AD032D">
        <w:t>accounts</w:t>
      </w:r>
      <w:r w:rsidRPr="00AD032D">
        <w:t>.</w:t>
      </w:r>
    </w:p>
  </w:footnote>
  <w:footnote w:id="21">
    <w:p w14:paraId="1920EAEB" w14:textId="77777777" w:rsidR="00B53597" w:rsidRPr="00464451" w:rsidRDefault="00B53597" w:rsidP="00B53597">
      <w:pPr>
        <w:pStyle w:val="FootnoteText"/>
      </w:pPr>
      <w:r w:rsidRPr="00464451">
        <w:t>(</w:t>
      </w:r>
      <w:r w:rsidRPr="00464451">
        <w:rPr>
          <w:rStyle w:val="FootnoteReference"/>
        </w:rPr>
        <w:footnoteRef/>
      </w:r>
      <w:r w:rsidRPr="00464451">
        <w:t>) Commission Delegated Decision (EU, Euratom) C(2020)7684 supplementing Regulation (EU, Euratom) 2018/1046 of the European Parliament and of the Council with detailed conditions for the calculation of the effective provisioning rate of the common provisioning fund (OJ L 42, 5.2.2021, p.</w:t>
      </w:r>
      <w:r>
        <w:rPr>
          <w:rFonts w:ascii="Calibri" w:hAnsi="Calibri" w:cs="Calibri"/>
        </w:rPr>
        <w:t> </w:t>
      </w:r>
      <w:r w:rsidRPr="00464451">
        <w:t>12).</w:t>
      </w:r>
    </w:p>
  </w:footnote>
  <w:footnote w:id="22">
    <w:p w14:paraId="7E8FC910" w14:textId="77777777" w:rsidR="001E5489" w:rsidRPr="00870B44" w:rsidRDefault="001E5489" w:rsidP="001E5489">
      <w:pPr>
        <w:pStyle w:val="FootnoteText"/>
        <w:rPr>
          <w:lang w:val="fr-BE"/>
        </w:rPr>
      </w:pPr>
      <w:r w:rsidRPr="00870B44">
        <w:rPr>
          <w:lang w:val="fr-BE"/>
        </w:rPr>
        <w:t>(</w:t>
      </w:r>
      <w:r w:rsidRPr="00464451">
        <w:rPr>
          <w:rStyle w:val="FootnoteReference"/>
        </w:rPr>
        <w:footnoteRef/>
      </w:r>
      <w:r w:rsidRPr="00870B44">
        <w:rPr>
          <w:lang w:val="fr-BE"/>
        </w:rPr>
        <w:t xml:space="preserve">) </w:t>
      </w:r>
      <w:hyperlink r:id="rId2" w:history="1">
        <w:r w:rsidRPr="00870B44">
          <w:rPr>
            <w:rStyle w:val="Hyperlink"/>
            <w:lang w:val="fr-BE"/>
          </w:rPr>
          <w:t>EUR-Lex - 52022DC0213 - EN - EUR-Lex (europa.eu)</w:t>
        </w:r>
      </w:hyperlink>
    </w:p>
  </w:footnote>
  <w:footnote w:id="23">
    <w:p w14:paraId="6D2173A1" w14:textId="77777777" w:rsidR="001E5489" w:rsidRPr="00464451" w:rsidRDefault="001E5489" w:rsidP="001E5489">
      <w:pPr>
        <w:pStyle w:val="FootnoteText"/>
      </w:pPr>
      <w:r w:rsidRPr="00464451">
        <w:t>(</w:t>
      </w:r>
      <w:r w:rsidRPr="00464451">
        <w:rPr>
          <w:rStyle w:val="FootnoteReference"/>
        </w:rPr>
        <w:footnoteRef/>
      </w:r>
      <w:r w:rsidRPr="00464451">
        <w:t>) Article</w:t>
      </w:r>
      <w:r>
        <w:rPr>
          <w:rFonts w:ascii="Calibri" w:hAnsi="Calibri" w:cs="Calibri"/>
        </w:rPr>
        <w:t> </w:t>
      </w:r>
      <w:r w:rsidRPr="00464451">
        <w:t>2(1) of the Asset Management Guidelines.</w:t>
      </w:r>
    </w:p>
  </w:footnote>
  <w:footnote w:id="24">
    <w:p w14:paraId="375DDB67" w14:textId="77777777" w:rsidR="001E5489" w:rsidRPr="00464451" w:rsidRDefault="001E5489" w:rsidP="001E5489">
      <w:pPr>
        <w:pStyle w:val="FootnoteText"/>
      </w:pPr>
      <w:r w:rsidRPr="00464451">
        <w:rPr>
          <w:rStyle w:val="FootnoteReference"/>
        </w:rPr>
        <w:footnoteRef/>
      </w:r>
      <w:r w:rsidRPr="00464451">
        <w:t xml:space="preserve"> The assets of the CPF portfolio may be invested in hedged highly liquid bonds denominated in US dollars issued by sovereign and supranational entities solely for the purposes of diversification and exposure to another interest rate curve.</w:t>
      </w:r>
    </w:p>
  </w:footnote>
  <w:footnote w:id="25">
    <w:p w14:paraId="3451081A" w14:textId="0089EF6A" w:rsidR="00713837" w:rsidRPr="00AD032D" w:rsidRDefault="006B013B" w:rsidP="00713837">
      <w:pPr>
        <w:pStyle w:val="FootnoteText"/>
        <w:rPr>
          <w:lang w:val="en-US"/>
        </w:rPr>
      </w:pPr>
      <w:r w:rsidRPr="00AD032D">
        <w:t>(</w:t>
      </w:r>
      <w:r w:rsidR="00713837" w:rsidRPr="00AD032D">
        <w:rPr>
          <w:rStyle w:val="FootnoteReference"/>
        </w:rPr>
        <w:footnoteRef/>
      </w:r>
      <w:r w:rsidRPr="00AD032D">
        <w:t>)</w:t>
      </w:r>
      <w:r w:rsidR="00713837" w:rsidRPr="00AD032D">
        <w:t xml:space="preserve"> </w:t>
      </w:r>
      <w:r w:rsidR="00713837" w:rsidRPr="00AD032D">
        <w:rPr>
          <w:rStyle w:val="normaltextrun"/>
          <w:color w:val="000000"/>
          <w:shd w:val="clear" w:color="auto" w:fill="FFFFFF"/>
          <w:lang w:val="en-IE"/>
        </w:rPr>
        <w:t>0.04% default probability over a</w:t>
      </w:r>
      <w:r w:rsidR="00713837" w:rsidRPr="00AD032D">
        <w:rPr>
          <w:rStyle w:val="normaltextrun"/>
          <w:rFonts w:ascii="Calibri" w:hAnsi="Calibri" w:cs="Calibri"/>
          <w:color w:val="000000"/>
          <w:shd w:val="clear" w:color="auto" w:fill="FFFFFF"/>
          <w:lang w:val="en-IE"/>
        </w:rPr>
        <w:t> </w:t>
      </w:r>
      <w:r w:rsidR="00713837" w:rsidRPr="00AD032D">
        <w:rPr>
          <w:rStyle w:val="normaltextrun"/>
          <w:color w:val="000000"/>
          <w:shd w:val="clear" w:color="auto" w:fill="FFFFFF"/>
          <w:lang w:val="en-IE"/>
        </w:rPr>
        <w:t>one year</w:t>
      </w:r>
      <w:r w:rsidR="00713837" w:rsidRPr="00AD032D">
        <w:rPr>
          <w:rStyle w:val="normaltextrun"/>
          <w:rFonts w:ascii="Calibri" w:hAnsi="Calibri" w:cs="Calibri"/>
          <w:color w:val="000000"/>
          <w:shd w:val="clear" w:color="auto" w:fill="FFFFFF"/>
          <w:lang w:val="en-IE"/>
        </w:rPr>
        <w:t> </w:t>
      </w:r>
      <w:r w:rsidR="00713837" w:rsidRPr="00AD032D">
        <w:rPr>
          <w:rStyle w:val="normaltextrun"/>
          <w:color w:val="000000"/>
          <w:shd w:val="clear" w:color="auto" w:fill="FFFFFF"/>
          <w:lang w:val="en-IE"/>
        </w:rPr>
        <w:t>horizon.</w:t>
      </w:r>
    </w:p>
  </w:footnote>
  <w:footnote w:id="26">
    <w:p w14:paraId="23B0900F" w14:textId="7EC9FF37" w:rsidR="00713837" w:rsidRPr="00443FF4" w:rsidRDefault="006B013B" w:rsidP="00713837">
      <w:pPr>
        <w:pStyle w:val="FootnoteText"/>
        <w:rPr>
          <w:lang w:val="en-US"/>
        </w:rPr>
      </w:pPr>
      <w:r w:rsidRPr="00AD032D">
        <w:t>(</w:t>
      </w:r>
      <w:r w:rsidR="00713837" w:rsidRPr="00AD032D">
        <w:rPr>
          <w:rStyle w:val="FootnoteReference"/>
        </w:rPr>
        <w:footnoteRef/>
      </w:r>
      <w:r w:rsidRPr="00AD032D">
        <w:t>)</w:t>
      </w:r>
      <w:r w:rsidR="00713837" w:rsidRPr="00AD032D">
        <w:t xml:space="preserve"> </w:t>
      </w:r>
      <w:r w:rsidR="00713837" w:rsidRPr="00AD032D">
        <w:rPr>
          <w:lang w:val="en-US"/>
        </w:rPr>
        <w:t>Compared to over 3</w:t>
      </w:r>
      <w:r w:rsidR="00CD15D6">
        <w:rPr>
          <w:lang w:val="en-US"/>
        </w:rPr>
        <w:t>6</w:t>
      </w:r>
      <w:r w:rsidR="00713837" w:rsidRPr="00443FF4">
        <w:rPr>
          <w:lang w:val="en-US"/>
        </w:rPr>
        <w:t>% in 202</w:t>
      </w:r>
      <w:r w:rsidR="00CD15D6" w:rsidRPr="00443FF4">
        <w:rPr>
          <w:lang w:val="en-US"/>
        </w:rPr>
        <w:t>3</w:t>
      </w:r>
      <w:r w:rsidR="00713837" w:rsidRPr="00443FF4">
        <w:rPr>
          <w:lang w:val="en-US"/>
        </w:rPr>
        <w:t>.</w:t>
      </w:r>
    </w:p>
  </w:footnote>
  <w:footnote w:id="27">
    <w:p w14:paraId="47935548" w14:textId="184D5EF2" w:rsidR="00713837" w:rsidRPr="00443FF4" w:rsidRDefault="006B013B" w:rsidP="00713837">
      <w:pPr>
        <w:pStyle w:val="FootnoteText"/>
        <w:rPr>
          <w:lang w:val="en-US"/>
        </w:rPr>
      </w:pPr>
      <w:r w:rsidRPr="00443FF4">
        <w:t>(</w:t>
      </w:r>
      <w:r w:rsidR="00713837" w:rsidRPr="00443FF4">
        <w:rPr>
          <w:rStyle w:val="FootnoteReference"/>
        </w:rPr>
        <w:footnoteRef/>
      </w:r>
      <w:r w:rsidRPr="00443FF4">
        <w:t>)</w:t>
      </w:r>
      <w:r w:rsidR="00713837" w:rsidRPr="00443FF4">
        <w:t xml:space="preserve"> </w:t>
      </w:r>
      <w:r w:rsidR="00713837" w:rsidRPr="00443FF4">
        <w:rPr>
          <w:lang w:val="en-US"/>
        </w:rPr>
        <w:t xml:space="preserve">Compared to </w:t>
      </w:r>
      <w:r w:rsidR="00CD15D6" w:rsidRPr="00443FF4">
        <w:rPr>
          <w:lang w:val="en-US"/>
        </w:rPr>
        <w:t>6</w:t>
      </w:r>
      <w:r w:rsidR="00713837" w:rsidRPr="00443FF4">
        <w:rPr>
          <w:lang w:val="en-US"/>
        </w:rPr>
        <w:t>.</w:t>
      </w:r>
      <w:r w:rsidR="00CD15D6" w:rsidRPr="00443FF4">
        <w:rPr>
          <w:lang w:val="en-US"/>
        </w:rPr>
        <w:t>6</w:t>
      </w:r>
      <w:r w:rsidR="00713837" w:rsidRPr="00443FF4">
        <w:rPr>
          <w:lang w:val="en-US"/>
        </w:rPr>
        <w:t>% in 202</w:t>
      </w:r>
      <w:r w:rsidR="00CD15D6" w:rsidRPr="00443FF4">
        <w:rPr>
          <w:lang w:val="en-US"/>
        </w:rPr>
        <w:t>3</w:t>
      </w:r>
      <w:r w:rsidR="00713837" w:rsidRPr="00443FF4">
        <w:rPr>
          <w:lang w:val="en-US"/>
        </w:rPr>
        <w:t>.</w:t>
      </w:r>
    </w:p>
  </w:footnote>
  <w:footnote w:id="28">
    <w:p w14:paraId="595E4A85" w14:textId="672AE021" w:rsidR="00CD15D6" w:rsidRPr="00443FF4" w:rsidRDefault="00CD15D6">
      <w:pPr>
        <w:pStyle w:val="FootnoteText"/>
        <w:rPr>
          <w:lang w:val="en-IE"/>
        </w:rPr>
      </w:pPr>
      <w:r w:rsidRPr="00443FF4">
        <w:t>(</w:t>
      </w:r>
      <w:r w:rsidRPr="00443FF4">
        <w:rPr>
          <w:rStyle w:val="FootnoteReference"/>
        </w:rPr>
        <w:footnoteRef/>
      </w:r>
      <w:r w:rsidRPr="00443FF4">
        <w:t>)</w:t>
      </w:r>
      <w:r w:rsidRPr="00443FF4">
        <w:tab/>
        <w:t>Compared to 5.5% in 2023.</w:t>
      </w:r>
    </w:p>
  </w:footnote>
  <w:footnote w:id="29">
    <w:p w14:paraId="7A3B9015" w14:textId="192F6EE9" w:rsidR="00713837" w:rsidRPr="00443FF4" w:rsidRDefault="006B013B" w:rsidP="00713837">
      <w:pPr>
        <w:pStyle w:val="FootnoteText"/>
        <w:rPr>
          <w:lang w:val="en-US"/>
        </w:rPr>
      </w:pPr>
      <w:r w:rsidRPr="00443FF4">
        <w:t>(</w:t>
      </w:r>
      <w:r w:rsidR="00713837" w:rsidRPr="00443FF4">
        <w:rPr>
          <w:rStyle w:val="FootnoteReference"/>
        </w:rPr>
        <w:footnoteRef/>
      </w:r>
      <w:r w:rsidRPr="00443FF4">
        <w:t>)</w:t>
      </w:r>
      <w:r w:rsidR="00713837" w:rsidRPr="00443FF4">
        <w:t xml:space="preserve"> </w:t>
      </w:r>
      <w:r w:rsidR="00713837" w:rsidRPr="00443FF4">
        <w:rPr>
          <w:lang w:val="en-US"/>
        </w:rPr>
        <w:t xml:space="preserve">Compared to </w:t>
      </w:r>
      <w:r w:rsidR="00CD15D6" w:rsidRPr="00443FF4">
        <w:rPr>
          <w:lang w:val="en-US"/>
        </w:rPr>
        <w:t>15.2</w:t>
      </w:r>
      <w:r w:rsidR="00713837" w:rsidRPr="00443FF4">
        <w:rPr>
          <w:lang w:val="en-US"/>
        </w:rPr>
        <w:t>% in 202</w:t>
      </w:r>
      <w:r w:rsidR="00CD15D6" w:rsidRPr="00443FF4">
        <w:rPr>
          <w:lang w:val="en-US"/>
        </w:rPr>
        <w:t>3</w:t>
      </w:r>
      <w:r w:rsidR="00713837" w:rsidRPr="00443FF4">
        <w:rPr>
          <w:lang w:val="en-US"/>
        </w:rPr>
        <w:t>.</w:t>
      </w:r>
    </w:p>
  </w:footnote>
  <w:footnote w:id="30">
    <w:p w14:paraId="5A13692B" w14:textId="2CA3D8D0" w:rsidR="00713837" w:rsidRPr="00AD032D" w:rsidRDefault="006B013B" w:rsidP="00713837">
      <w:pPr>
        <w:pStyle w:val="FootnoteText"/>
        <w:rPr>
          <w:lang w:val="en-US"/>
        </w:rPr>
      </w:pPr>
      <w:r w:rsidRPr="00443FF4">
        <w:t>(</w:t>
      </w:r>
      <w:r w:rsidR="00713837" w:rsidRPr="00443FF4">
        <w:rPr>
          <w:rStyle w:val="FootnoteReference"/>
        </w:rPr>
        <w:footnoteRef/>
      </w:r>
      <w:r w:rsidRPr="00443FF4">
        <w:t>)</w:t>
      </w:r>
      <w:r w:rsidR="00713837" w:rsidRPr="00443FF4">
        <w:t xml:space="preserve"> </w:t>
      </w:r>
      <w:r w:rsidR="00713837" w:rsidRPr="00443FF4">
        <w:rPr>
          <w:lang w:val="en-US"/>
        </w:rPr>
        <w:t>On top of liquidity buffer described in Section 1.5</w:t>
      </w:r>
      <w:r w:rsidR="00713837" w:rsidRPr="00AD032D">
        <w:rPr>
          <w:lang w:val="en-US"/>
        </w:rPr>
        <w:t>.</w:t>
      </w:r>
    </w:p>
  </w:footnote>
  <w:footnote w:id="31">
    <w:p w14:paraId="6291A738" w14:textId="6B8EEB3F" w:rsidR="00052802" w:rsidRPr="00870B44" w:rsidRDefault="00052802">
      <w:pPr>
        <w:pStyle w:val="FootnoteText"/>
        <w:rPr>
          <w:lang w:val="en-IE"/>
        </w:rPr>
      </w:pPr>
      <w:r>
        <w:t>(</w:t>
      </w:r>
      <w:r>
        <w:rPr>
          <w:rStyle w:val="FootnoteReference"/>
        </w:rPr>
        <w:footnoteRef/>
      </w:r>
      <w:r>
        <w:t>)</w:t>
      </w:r>
      <w:r>
        <w:tab/>
      </w:r>
      <w:r w:rsidRPr="00870B44">
        <w:t>ESG footprint</w:t>
      </w:r>
      <w:r w:rsidRPr="00052802">
        <w:t xml:space="preserve"> – a quick score showing the portfolio’s overall impact on environmental, social, and</w:t>
      </w:r>
      <w:r>
        <w:t xml:space="preserve"> </w:t>
      </w:r>
      <w:r w:rsidRPr="00052802">
        <w:t>governance issues.</w:t>
      </w:r>
    </w:p>
  </w:footnote>
  <w:footnote w:id="32">
    <w:p w14:paraId="47D882D7" w14:textId="48C564D9" w:rsidR="00713837" w:rsidRPr="00AD032D" w:rsidRDefault="006B013B" w:rsidP="00713837">
      <w:pPr>
        <w:pStyle w:val="FootnoteText"/>
        <w:ind w:left="240" w:hanging="240"/>
        <w:rPr>
          <w:lang w:val="en-US"/>
        </w:rPr>
      </w:pPr>
      <w:r w:rsidRPr="00AD032D">
        <w:t>(</w:t>
      </w:r>
      <w:r w:rsidR="00713837" w:rsidRPr="00AD032D">
        <w:rPr>
          <w:rStyle w:val="FootnoteReference"/>
        </w:rPr>
        <w:footnoteRef/>
      </w:r>
      <w:r w:rsidRPr="00AD032D">
        <w:t>)</w:t>
      </w:r>
      <w:r w:rsidR="00713837" w:rsidRPr="00AD032D">
        <w:t xml:space="preserve"> In assessing whether bonds are classified as ESG-labelled for the purposes of CPF allocation, the Commission relies on the published assessment of the ‘use of proceeds’ of the asset in question by the analytics and data providers which the Commission uses for its asset management function. </w:t>
      </w:r>
    </w:p>
  </w:footnote>
  <w:footnote w:id="33">
    <w:p w14:paraId="4E5189CE" w14:textId="1328CEF8" w:rsidR="00CD15D6" w:rsidRPr="00870B44" w:rsidRDefault="00CD15D6">
      <w:pPr>
        <w:pStyle w:val="FootnoteText"/>
        <w:rPr>
          <w:lang w:val="en-IE"/>
        </w:rPr>
      </w:pPr>
      <w:r>
        <w:t>(</w:t>
      </w:r>
      <w:r>
        <w:rPr>
          <w:rStyle w:val="FootnoteReference"/>
        </w:rPr>
        <w:footnoteRef/>
      </w:r>
      <w:r>
        <w:t>)</w:t>
      </w:r>
      <w:r>
        <w:tab/>
        <w:t xml:space="preserve">As per the CPF Asset Management Guidelines (Decision COM(2020) 1896), </w:t>
      </w:r>
      <w:r w:rsidRPr="00870B44">
        <w:rPr>
          <w:i/>
          <w:iCs/>
        </w:rPr>
        <w:t>the assets should be managed by the financial manager on the basis of an investment strategy that is expressed in the form of a Strategic Asset Allocation, reflecting the investment objectives and the risk tolerance. The investment strategy should be reflected in a strategic benchmark (the ‘benchmark’). The benchmark should be set in line with good industry practices.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FBD99" w14:textId="77777777" w:rsidR="00254768" w:rsidRPr="00254768" w:rsidRDefault="00254768" w:rsidP="00254768">
    <w:pPr>
      <w:pStyle w:val="HeaderCoverPag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63ACA" w14:textId="77777777" w:rsidR="00254768" w:rsidRPr="00254768" w:rsidRDefault="00254768" w:rsidP="00254768">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31BFD" w14:textId="77777777" w:rsidR="00254768" w:rsidRPr="00254768" w:rsidRDefault="00254768" w:rsidP="00254768">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4D68B" w14:textId="77777777" w:rsidR="00C27875" w:rsidRDefault="00C278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C27875" w14:paraId="3A1AD61B" w14:textId="77777777" w:rsidTr="003B0A6D">
      <w:trPr>
        <w:trHeight w:val="300"/>
      </w:trPr>
      <w:tc>
        <w:tcPr>
          <w:tcW w:w="3020" w:type="dxa"/>
        </w:tcPr>
        <w:p w14:paraId="4BB403BA" w14:textId="77777777" w:rsidR="00C27875" w:rsidRDefault="00C27875" w:rsidP="003B0A6D">
          <w:pPr>
            <w:pStyle w:val="Header"/>
            <w:ind w:left="-115"/>
            <w:jc w:val="left"/>
          </w:pPr>
        </w:p>
      </w:tc>
      <w:tc>
        <w:tcPr>
          <w:tcW w:w="3020" w:type="dxa"/>
        </w:tcPr>
        <w:p w14:paraId="53FFC2D9" w14:textId="77777777" w:rsidR="00C27875" w:rsidRDefault="00C27875" w:rsidP="003B0A6D">
          <w:pPr>
            <w:pStyle w:val="Header"/>
            <w:jc w:val="center"/>
          </w:pPr>
        </w:p>
      </w:tc>
      <w:tc>
        <w:tcPr>
          <w:tcW w:w="3020" w:type="dxa"/>
        </w:tcPr>
        <w:p w14:paraId="15E2D53A" w14:textId="77777777" w:rsidR="00C27875" w:rsidRDefault="00C27875" w:rsidP="003B0A6D">
          <w:pPr>
            <w:pStyle w:val="Header"/>
            <w:ind w:right="-115"/>
            <w:jc w:val="right"/>
          </w:pPr>
        </w:p>
      </w:tc>
    </w:tr>
  </w:tbl>
  <w:p w14:paraId="3294A0F4" w14:textId="77777777" w:rsidR="00C27875" w:rsidRDefault="00C27875" w:rsidP="003B0A6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2F144" w14:textId="77777777" w:rsidR="00C27875" w:rsidRDefault="00C27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900F7"/>
    <w:multiLevelType w:val="multilevel"/>
    <w:tmpl w:val="8AFA2368"/>
    <w:name w:val="ListDash4Numbering"/>
    <w:lvl w:ilvl="0">
      <w:start w:val="1"/>
      <w:numFmt w:val="bullet"/>
      <w:pStyle w:val="ListDash4"/>
      <w:lvlText w:val="–"/>
      <w:lvlJc w:val="left"/>
      <w:pPr>
        <w:tabs>
          <w:tab w:val="num" w:pos="1485"/>
        </w:tabs>
        <w:ind w:left="1485" w:hanging="283"/>
      </w:pPr>
      <w:rPr>
        <w:rFonts w:ascii="Times New Roman" w:hAnsi="Times New Roman"/>
      </w:rPr>
    </w:lvl>
    <w:lvl w:ilvl="1">
      <w:start w:val="1"/>
      <w:numFmt w:val="bullet"/>
      <w:pStyle w:val="ListDash4Level2"/>
      <w:lvlText w:val="–"/>
      <w:lvlJc w:val="left"/>
      <w:pPr>
        <w:tabs>
          <w:tab w:val="num" w:pos="1769"/>
        </w:tabs>
        <w:ind w:left="1769" w:hanging="284"/>
      </w:pPr>
      <w:rPr>
        <w:rFonts w:ascii="Times New Roman" w:hAnsi="Times New Roman"/>
      </w:rPr>
    </w:lvl>
    <w:lvl w:ilvl="2">
      <w:start w:val="1"/>
      <w:numFmt w:val="bullet"/>
      <w:pStyle w:val="ListDash4Level3"/>
      <w:lvlText w:val="–"/>
      <w:lvlJc w:val="left"/>
      <w:pPr>
        <w:tabs>
          <w:tab w:val="num" w:pos="2052"/>
        </w:tabs>
        <w:ind w:left="2052" w:hanging="283"/>
      </w:pPr>
      <w:rPr>
        <w:rFonts w:ascii="Times New Roman" w:hAnsi="Times New Roman"/>
      </w:rPr>
    </w:lvl>
    <w:lvl w:ilvl="3">
      <w:start w:val="1"/>
      <w:numFmt w:val="bullet"/>
      <w:pStyle w:val="ListDash4Level4"/>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EFB7115"/>
    <w:multiLevelType w:val="multilevel"/>
    <w:tmpl w:val="3E1AD26C"/>
    <w:name w:val="ListNumber3Numbering"/>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 w15:restartNumberingAfterBreak="0">
    <w:nsid w:val="107E7479"/>
    <w:multiLevelType w:val="multilevel"/>
    <w:tmpl w:val="0409001F"/>
    <w:name w:val="EurolookHeading22"/>
    <w:numStyleLink w:val="Style1"/>
  </w:abstractNum>
  <w:abstractNum w:abstractNumId="3" w15:restartNumberingAfterBreak="0">
    <w:nsid w:val="120B7201"/>
    <w:multiLevelType w:val="multilevel"/>
    <w:tmpl w:val="46DA6D02"/>
    <w:name w:val="ListNumberNumbering"/>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4" w15:restartNumberingAfterBreak="0">
    <w:nsid w:val="120B8345"/>
    <w:multiLevelType w:val="multilevel"/>
    <w:tmpl w:val="8B407896"/>
    <w:name w:val="TableListNumberNumbering"/>
    <w:lvl w:ilvl="0">
      <w:start w:val="1"/>
      <w:numFmt w:val="decimal"/>
      <w:pStyle w:val="TableListNumber"/>
      <w:lvlText w:val="(%1)"/>
      <w:lvlJc w:val="left"/>
      <w:pPr>
        <w:tabs>
          <w:tab w:val="num" w:pos="454"/>
        </w:tabs>
        <w:ind w:left="454" w:hanging="454"/>
      </w:pPr>
    </w:lvl>
    <w:lvl w:ilvl="1">
      <w:start w:val="1"/>
      <w:numFmt w:val="lowerLetter"/>
      <w:pStyle w:val="TableListNumberLevel2"/>
      <w:lvlText w:val="(%2)"/>
      <w:lvlJc w:val="left"/>
      <w:pPr>
        <w:tabs>
          <w:tab w:val="num" w:pos="907"/>
        </w:tabs>
        <w:ind w:left="907" w:hanging="453"/>
      </w:pPr>
    </w:lvl>
    <w:lvl w:ilvl="2">
      <w:start w:val="1"/>
      <w:numFmt w:val="bullet"/>
      <w:pStyle w:val="TableListNumberLevel3"/>
      <w:lvlText w:val="–"/>
      <w:lvlJc w:val="left"/>
      <w:pPr>
        <w:tabs>
          <w:tab w:val="num" w:pos="1361"/>
        </w:tabs>
        <w:ind w:left="1361" w:hanging="454"/>
      </w:pPr>
      <w:rPr>
        <w:rFonts w:ascii="Times New Roman" w:hAnsi="Times New Roman"/>
      </w:rPr>
    </w:lvl>
    <w:lvl w:ilvl="3">
      <w:start w:val="1"/>
      <w:numFmt w:val="bullet"/>
      <w:pStyle w:val="Table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5" w15:restartNumberingAfterBreak="0">
    <w:nsid w:val="1262685D"/>
    <w:multiLevelType w:val="multilevel"/>
    <w:tmpl w:val="F7E24990"/>
    <w:name w:val="ListBullet4Numbering"/>
    <w:lvl w:ilvl="0">
      <w:start w:val="1"/>
      <w:numFmt w:val="bullet"/>
      <w:pStyle w:val="ListBullet4"/>
      <w:lvlText w:val=""/>
      <w:lvlJc w:val="left"/>
      <w:pPr>
        <w:tabs>
          <w:tab w:val="num" w:pos="1485"/>
        </w:tabs>
        <w:ind w:left="1485" w:hanging="283"/>
      </w:pPr>
      <w:rPr>
        <w:rFonts w:ascii="Symbol" w:hAnsi="Symbol"/>
      </w:rPr>
    </w:lvl>
    <w:lvl w:ilvl="1">
      <w:start w:val="1"/>
      <w:numFmt w:val="bullet"/>
      <w:pStyle w:val="ListBullet4Level2"/>
      <w:lvlText w:val=""/>
      <w:lvlJc w:val="left"/>
      <w:pPr>
        <w:tabs>
          <w:tab w:val="num" w:pos="1769"/>
        </w:tabs>
        <w:ind w:left="1769" w:hanging="284"/>
      </w:pPr>
      <w:rPr>
        <w:rFonts w:ascii="Symbol" w:hAnsi="Symbol"/>
      </w:rPr>
    </w:lvl>
    <w:lvl w:ilvl="2">
      <w:start w:val="1"/>
      <w:numFmt w:val="bullet"/>
      <w:pStyle w:val="ListBullet4Level3"/>
      <w:lvlText w:val=""/>
      <w:lvlJc w:val="left"/>
      <w:pPr>
        <w:tabs>
          <w:tab w:val="num" w:pos="2052"/>
        </w:tabs>
        <w:ind w:left="2052" w:hanging="283"/>
      </w:pPr>
      <w:rPr>
        <w:rFonts w:ascii="Symbol" w:hAnsi="Symbol"/>
      </w:rPr>
    </w:lvl>
    <w:lvl w:ilvl="3">
      <w:start w:val="1"/>
      <w:numFmt w:val="bullet"/>
      <w:pStyle w:val="ListBullet4Level4"/>
      <w:lvlText w:val=""/>
      <w:lvlJc w:val="left"/>
      <w:pPr>
        <w:tabs>
          <w:tab w:val="num" w:pos="2336"/>
        </w:tabs>
        <w:ind w:left="2336"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6" w15:restartNumberingAfterBreak="0">
    <w:nsid w:val="143D0A16"/>
    <w:multiLevelType w:val="multilevel"/>
    <w:tmpl w:val="DDEC6B6E"/>
    <w:name w:val="ListBullet3Numbering"/>
    <w:lvl w:ilvl="0">
      <w:start w:val="1"/>
      <w:numFmt w:val="bullet"/>
      <w:pStyle w:val="ListBullet3"/>
      <w:lvlText w:val=""/>
      <w:lvlJc w:val="left"/>
      <w:pPr>
        <w:tabs>
          <w:tab w:val="num" w:pos="1485"/>
        </w:tabs>
        <w:ind w:left="1485" w:hanging="283"/>
      </w:pPr>
      <w:rPr>
        <w:rFonts w:ascii="Symbol" w:hAnsi="Symbol"/>
      </w:rPr>
    </w:lvl>
    <w:lvl w:ilvl="1">
      <w:start w:val="1"/>
      <w:numFmt w:val="bullet"/>
      <w:pStyle w:val="ListBullet3Level2"/>
      <w:lvlText w:val=""/>
      <w:lvlJc w:val="left"/>
      <w:pPr>
        <w:tabs>
          <w:tab w:val="num" w:pos="1769"/>
        </w:tabs>
        <w:ind w:left="1769" w:hanging="284"/>
      </w:pPr>
      <w:rPr>
        <w:rFonts w:ascii="Symbol" w:hAnsi="Symbol"/>
      </w:rPr>
    </w:lvl>
    <w:lvl w:ilvl="2">
      <w:start w:val="1"/>
      <w:numFmt w:val="bullet"/>
      <w:pStyle w:val="ListBullet3Level3"/>
      <w:lvlText w:val=""/>
      <w:lvlJc w:val="left"/>
      <w:pPr>
        <w:tabs>
          <w:tab w:val="num" w:pos="2052"/>
        </w:tabs>
        <w:ind w:left="2052" w:hanging="283"/>
      </w:pPr>
      <w:rPr>
        <w:rFonts w:ascii="Symbol" w:hAnsi="Symbol"/>
      </w:rPr>
    </w:lvl>
    <w:lvl w:ilvl="3">
      <w:start w:val="1"/>
      <w:numFmt w:val="bullet"/>
      <w:pStyle w:val="ListBullet3Level4"/>
      <w:lvlText w:val=""/>
      <w:lvlJc w:val="left"/>
      <w:pPr>
        <w:tabs>
          <w:tab w:val="num" w:pos="2336"/>
        </w:tabs>
        <w:ind w:left="2336"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7" w15:restartNumberingAfterBreak="0">
    <w:nsid w:val="1495421D"/>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2F0AC5"/>
    <w:multiLevelType w:val="multilevel"/>
    <w:tmpl w:val="F448F48C"/>
    <w:name w:val="ListNumber2Numbering"/>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9" w15:restartNumberingAfterBreak="0">
    <w:nsid w:val="1C7B624F"/>
    <w:multiLevelType w:val="multilevel"/>
    <w:tmpl w:val="7D72EDAC"/>
    <w:name w:val="ListDash2Numbering"/>
    <w:lvl w:ilvl="0">
      <w:start w:val="1"/>
      <w:numFmt w:val="bullet"/>
      <w:pStyle w:val="ListDash2"/>
      <w:lvlText w:val="–"/>
      <w:lvlJc w:val="left"/>
      <w:pPr>
        <w:tabs>
          <w:tab w:val="num" w:pos="1485"/>
        </w:tabs>
        <w:ind w:left="1485" w:hanging="283"/>
      </w:pPr>
      <w:rPr>
        <w:rFonts w:ascii="Times New Roman" w:hAnsi="Times New Roman"/>
      </w:rPr>
    </w:lvl>
    <w:lvl w:ilvl="1">
      <w:start w:val="1"/>
      <w:numFmt w:val="bullet"/>
      <w:pStyle w:val="ListDash2Level2"/>
      <w:lvlText w:val="–"/>
      <w:lvlJc w:val="left"/>
      <w:pPr>
        <w:tabs>
          <w:tab w:val="num" w:pos="1769"/>
        </w:tabs>
        <w:ind w:left="1769" w:hanging="284"/>
      </w:pPr>
      <w:rPr>
        <w:rFonts w:ascii="Times New Roman" w:hAnsi="Times New Roman"/>
      </w:rPr>
    </w:lvl>
    <w:lvl w:ilvl="2">
      <w:start w:val="1"/>
      <w:numFmt w:val="bullet"/>
      <w:pStyle w:val="ListDash2Level3"/>
      <w:lvlText w:val="–"/>
      <w:lvlJc w:val="left"/>
      <w:pPr>
        <w:tabs>
          <w:tab w:val="num" w:pos="2052"/>
        </w:tabs>
        <w:ind w:left="2052" w:hanging="283"/>
      </w:pPr>
      <w:rPr>
        <w:rFonts w:ascii="Times New Roman" w:hAnsi="Times New Roman"/>
      </w:rPr>
    </w:lvl>
    <w:lvl w:ilvl="3">
      <w:start w:val="1"/>
      <w:numFmt w:val="bullet"/>
      <w:pStyle w:val="ListDash2Level4"/>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0" w15:restartNumberingAfterBreak="0">
    <w:nsid w:val="2A3A3473"/>
    <w:multiLevelType w:val="multilevel"/>
    <w:tmpl w:val="E564DE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C8DFDF8"/>
    <w:multiLevelType w:val="multilevel"/>
    <w:tmpl w:val="514C353E"/>
    <w:name w:val="ListBullet2Numbering"/>
    <w:lvl w:ilvl="0">
      <w:start w:val="1"/>
      <w:numFmt w:val="bullet"/>
      <w:pStyle w:val="ListBullet2"/>
      <w:lvlText w:val=""/>
      <w:lvlJc w:val="left"/>
      <w:pPr>
        <w:tabs>
          <w:tab w:val="num" w:pos="1485"/>
        </w:tabs>
        <w:ind w:left="1485" w:hanging="283"/>
      </w:pPr>
      <w:rPr>
        <w:rFonts w:ascii="Symbol" w:hAnsi="Symbol"/>
      </w:rPr>
    </w:lvl>
    <w:lvl w:ilvl="1">
      <w:start w:val="1"/>
      <w:numFmt w:val="bullet"/>
      <w:pStyle w:val="ListBullet2Level2"/>
      <w:lvlText w:val=""/>
      <w:lvlJc w:val="left"/>
      <w:pPr>
        <w:tabs>
          <w:tab w:val="num" w:pos="1769"/>
        </w:tabs>
        <w:ind w:left="1769" w:hanging="284"/>
      </w:pPr>
      <w:rPr>
        <w:rFonts w:ascii="Symbol" w:hAnsi="Symbol"/>
      </w:rPr>
    </w:lvl>
    <w:lvl w:ilvl="2">
      <w:start w:val="1"/>
      <w:numFmt w:val="bullet"/>
      <w:pStyle w:val="ListBullet2Level3"/>
      <w:lvlText w:val=""/>
      <w:lvlJc w:val="left"/>
      <w:pPr>
        <w:tabs>
          <w:tab w:val="num" w:pos="2052"/>
        </w:tabs>
        <w:ind w:left="2052" w:hanging="283"/>
      </w:pPr>
      <w:rPr>
        <w:rFonts w:ascii="Symbol" w:hAnsi="Symbol"/>
      </w:rPr>
    </w:lvl>
    <w:lvl w:ilvl="3">
      <w:start w:val="1"/>
      <w:numFmt w:val="bullet"/>
      <w:pStyle w:val="ListBullet2Level4"/>
      <w:lvlText w:val=""/>
      <w:lvlJc w:val="left"/>
      <w:pPr>
        <w:tabs>
          <w:tab w:val="num" w:pos="2336"/>
        </w:tabs>
        <w:ind w:left="2336"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2" w15:restartNumberingAfterBreak="0">
    <w:nsid w:val="2D293CE3"/>
    <w:multiLevelType w:val="multilevel"/>
    <w:tmpl w:val="73D8A89C"/>
    <w:name w:val="LegalNumParNumbering"/>
    <w:lvl w:ilvl="0">
      <w:start w:val="1"/>
      <w:numFmt w:val="decimal"/>
      <w:pStyle w:val="LegalNumPar"/>
      <w:lvlText w:val="%1."/>
      <w:lvlJc w:val="left"/>
      <w:pPr>
        <w:tabs>
          <w:tab w:val="num" w:pos="476"/>
        </w:tabs>
        <w:ind w:left="476" w:hanging="476"/>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3" w15:restartNumberingAfterBreak="0">
    <w:nsid w:val="2D293CF4"/>
    <w:multiLevelType w:val="multilevel"/>
    <w:tmpl w:val="969ED4AC"/>
    <w:name w:val="ContNumNumbering"/>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4" w15:restartNumberingAfterBreak="0">
    <w:nsid w:val="36324F1E"/>
    <w:multiLevelType w:val="multilevel"/>
    <w:tmpl w:val="5FF46CCC"/>
    <w:name w:val="ListDash3Numbering"/>
    <w:lvl w:ilvl="0">
      <w:start w:val="1"/>
      <w:numFmt w:val="bullet"/>
      <w:pStyle w:val="ListDash3"/>
      <w:lvlText w:val="–"/>
      <w:lvlJc w:val="left"/>
      <w:pPr>
        <w:tabs>
          <w:tab w:val="num" w:pos="1485"/>
        </w:tabs>
        <w:ind w:left="1485" w:hanging="283"/>
      </w:pPr>
      <w:rPr>
        <w:rFonts w:ascii="Times New Roman" w:hAnsi="Times New Roman"/>
      </w:rPr>
    </w:lvl>
    <w:lvl w:ilvl="1">
      <w:start w:val="1"/>
      <w:numFmt w:val="bullet"/>
      <w:pStyle w:val="ListDash3Level2"/>
      <w:lvlText w:val="–"/>
      <w:lvlJc w:val="left"/>
      <w:pPr>
        <w:tabs>
          <w:tab w:val="num" w:pos="1769"/>
        </w:tabs>
        <w:ind w:left="1769" w:hanging="284"/>
      </w:pPr>
      <w:rPr>
        <w:rFonts w:ascii="Times New Roman" w:hAnsi="Times New Roman"/>
      </w:rPr>
    </w:lvl>
    <w:lvl w:ilvl="2">
      <w:start w:val="1"/>
      <w:numFmt w:val="bullet"/>
      <w:pStyle w:val="ListDash3Level3"/>
      <w:lvlText w:val="–"/>
      <w:lvlJc w:val="left"/>
      <w:pPr>
        <w:tabs>
          <w:tab w:val="num" w:pos="2052"/>
        </w:tabs>
        <w:ind w:left="2052" w:hanging="283"/>
      </w:pPr>
      <w:rPr>
        <w:rFonts w:ascii="Times New Roman" w:hAnsi="Times New Roman"/>
      </w:rPr>
    </w:lvl>
    <w:lvl w:ilvl="3">
      <w:start w:val="1"/>
      <w:numFmt w:val="bullet"/>
      <w:pStyle w:val="ListDash3Level4"/>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5" w15:restartNumberingAfterBreak="0">
    <w:nsid w:val="37CB1E1C"/>
    <w:multiLevelType w:val="multilevel"/>
    <w:tmpl w:val="786086E0"/>
    <w:name w:val="ListDash1Numbering"/>
    <w:lvl w:ilvl="0">
      <w:start w:val="1"/>
      <w:numFmt w:val="bullet"/>
      <w:pStyle w:val="ListDash1"/>
      <w:lvlText w:val="–"/>
      <w:lvlJc w:val="left"/>
      <w:pPr>
        <w:tabs>
          <w:tab w:val="num" w:pos="765"/>
        </w:tabs>
        <w:ind w:left="765" w:hanging="283"/>
      </w:pPr>
      <w:rPr>
        <w:rFonts w:ascii="Times New Roman" w:hAnsi="Times New Roman"/>
      </w:rPr>
    </w:lvl>
    <w:lvl w:ilvl="1">
      <w:start w:val="1"/>
      <w:numFmt w:val="bullet"/>
      <w:pStyle w:val="ListDash1Level2"/>
      <w:lvlText w:val="–"/>
      <w:lvlJc w:val="left"/>
      <w:pPr>
        <w:tabs>
          <w:tab w:val="num" w:pos="1049"/>
        </w:tabs>
        <w:ind w:left="1049" w:hanging="284"/>
      </w:pPr>
      <w:rPr>
        <w:rFonts w:ascii="Times New Roman" w:hAnsi="Times New Roman"/>
      </w:rPr>
    </w:lvl>
    <w:lvl w:ilvl="2">
      <w:start w:val="1"/>
      <w:numFmt w:val="bullet"/>
      <w:pStyle w:val="ListDash1Level3"/>
      <w:lvlText w:val="–"/>
      <w:lvlJc w:val="left"/>
      <w:pPr>
        <w:tabs>
          <w:tab w:val="num" w:pos="1332"/>
        </w:tabs>
        <w:ind w:left="1332" w:hanging="283"/>
      </w:pPr>
      <w:rPr>
        <w:rFonts w:ascii="Times New Roman" w:hAnsi="Times New Roman"/>
      </w:rPr>
    </w:lvl>
    <w:lvl w:ilvl="3">
      <w:start w:val="1"/>
      <w:numFmt w:val="bullet"/>
      <w:pStyle w:val="ListDash1Level4"/>
      <w:lvlText w:val="–"/>
      <w:lvlJc w:val="left"/>
      <w:pPr>
        <w:tabs>
          <w:tab w:val="num" w:pos="1616"/>
        </w:tabs>
        <w:ind w:left="161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6" w15:restartNumberingAfterBreak="0">
    <w:nsid w:val="3A7730C4"/>
    <w:multiLevelType w:val="multilevel"/>
    <w:tmpl w:val="7E26E182"/>
    <w:name w:val="ListBullet1Numbering"/>
    <w:lvl w:ilvl="0">
      <w:start w:val="1"/>
      <w:numFmt w:val="bullet"/>
      <w:pStyle w:val="ListBullet1"/>
      <w:lvlText w:val=""/>
      <w:lvlJc w:val="left"/>
      <w:pPr>
        <w:tabs>
          <w:tab w:val="num" w:pos="765"/>
        </w:tabs>
        <w:ind w:left="765" w:hanging="283"/>
      </w:pPr>
      <w:rPr>
        <w:rFonts w:ascii="Symbol" w:hAnsi="Symbol"/>
      </w:rPr>
    </w:lvl>
    <w:lvl w:ilvl="1">
      <w:start w:val="1"/>
      <w:numFmt w:val="bullet"/>
      <w:pStyle w:val="ListBullet1Level2"/>
      <w:lvlText w:val=""/>
      <w:lvlJc w:val="left"/>
      <w:pPr>
        <w:tabs>
          <w:tab w:val="num" w:pos="1049"/>
        </w:tabs>
        <w:ind w:left="1049" w:hanging="284"/>
      </w:pPr>
      <w:rPr>
        <w:rFonts w:ascii="Symbol" w:hAnsi="Symbol"/>
      </w:rPr>
    </w:lvl>
    <w:lvl w:ilvl="2">
      <w:start w:val="1"/>
      <w:numFmt w:val="bullet"/>
      <w:pStyle w:val="ListBullet1Level3"/>
      <w:lvlText w:val=""/>
      <w:lvlJc w:val="left"/>
      <w:pPr>
        <w:tabs>
          <w:tab w:val="num" w:pos="1332"/>
        </w:tabs>
        <w:ind w:left="1332" w:hanging="283"/>
      </w:pPr>
      <w:rPr>
        <w:rFonts w:ascii="Symbol" w:hAnsi="Symbol"/>
      </w:rPr>
    </w:lvl>
    <w:lvl w:ilvl="3">
      <w:start w:val="1"/>
      <w:numFmt w:val="bullet"/>
      <w:pStyle w:val="ListBullet1Level4"/>
      <w:lvlText w:val=""/>
      <w:lvlJc w:val="left"/>
      <w:pPr>
        <w:tabs>
          <w:tab w:val="num" w:pos="1616"/>
        </w:tabs>
        <w:ind w:left="1616"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429E662A"/>
    <w:multiLevelType w:val="multilevel"/>
    <w:tmpl w:val="09EE48B0"/>
    <w:name w:val="ListNumber1Numbering"/>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8" w15:restartNumberingAfterBreak="0">
    <w:nsid w:val="4E1A63DF"/>
    <w:multiLevelType w:val="multilevel"/>
    <w:tmpl w:val="A4442D54"/>
    <w:name w:val="TableListBulletNumbering"/>
    <w:lvl w:ilvl="0">
      <w:start w:val="1"/>
      <w:numFmt w:val="bullet"/>
      <w:pStyle w:val="TableListBullet"/>
      <w:lvlText w:val=""/>
      <w:lvlJc w:val="left"/>
      <w:pPr>
        <w:tabs>
          <w:tab w:val="num" w:pos="283"/>
        </w:tabs>
        <w:ind w:left="283" w:hanging="283"/>
      </w:pPr>
      <w:rPr>
        <w:rFonts w:ascii="Symbol" w:hAnsi="Symbol"/>
      </w:rPr>
    </w:lvl>
    <w:lvl w:ilvl="1">
      <w:start w:val="1"/>
      <w:numFmt w:val="bullet"/>
      <w:pStyle w:val="TableListBulletLevel2"/>
      <w:lvlText w:val=""/>
      <w:lvlJc w:val="left"/>
      <w:pPr>
        <w:tabs>
          <w:tab w:val="num" w:pos="567"/>
        </w:tabs>
        <w:ind w:left="567" w:hanging="284"/>
      </w:pPr>
      <w:rPr>
        <w:rFonts w:ascii="Symbol" w:hAnsi="Symbol"/>
      </w:rPr>
    </w:lvl>
    <w:lvl w:ilvl="2">
      <w:start w:val="1"/>
      <w:numFmt w:val="bullet"/>
      <w:pStyle w:val="TableListBulletLevel3"/>
      <w:lvlText w:val=""/>
      <w:lvlJc w:val="left"/>
      <w:pPr>
        <w:tabs>
          <w:tab w:val="num" w:pos="850"/>
        </w:tabs>
        <w:ind w:left="850" w:hanging="283"/>
      </w:pPr>
      <w:rPr>
        <w:rFonts w:ascii="Symbol" w:hAnsi="Symbol"/>
      </w:rPr>
    </w:lvl>
    <w:lvl w:ilvl="3">
      <w:start w:val="1"/>
      <w:numFmt w:val="bullet"/>
      <w:pStyle w:val="TableListBulletLevel4"/>
      <w:lvlText w:val=""/>
      <w:lvlJc w:val="left"/>
      <w:pPr>
        <w:tabs>
          <w:tab w:val="num" w:pos="1134"/>
        </w:tabs>
        <w:ind w:left="1134"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9" w15:restartNumberingAfterBreak="0">
    <w:nsid w:val="4E1A982C"/>
    <w:multiLevelType w:val="multilevel"/>
    <w:tmpl w:val="7968E92C"/>
    <w:name w:val="ListBulletNumbering"/>
    <w:lvl w:ilvl="0">
      <w:start w:val="1"/>
      <w:numFmt w:val="bullet"/>
      <w:pStyle w:val="ListBullet"/>
      <w:lvlText w:val=""/>
      <w:lvlJc w:val="left"/>
      <w:pPr>
        <w:tabs>
          <w:tab w:val="num" w:pos="283"/>
        </w:tabs>
        <w:ind w:left="283" w:hanging="283"/>
      </w:pPr>
      <w:rPr>
        <w:rFonts w:ascii="Symbol" w:hAnsi="Symbol"/>
      </w:rPr>
    </w:lvl>
    <w:lvl w:ilvl="1">
      <w:start w:val="1"/>
      <w:numFmt w:val="bullet"/>
      <w:pStyle w:val="ListBulletLevel2"/>
      <w:lvlText w:val=""/>
      <w:lvlJc w:val="left"/>
      <w:pPr>
        <w:tabs>
          <w:tab w:val="num" w:pos="567"/>
        </w:tabs>
        <w:ind w:left="567" w:hanging="284"/>
      </w:pPr>
      <w:rPr>
        <w:rFonts w:ascii="Symbol" w:hAnsi="Symbol"/>
      </w:rPr>
    </w:lvl>
    <w:lvl w:ilvl="2">
      <w:start w:val="1"/>
      <w:numFmt w:val="bullet"/>
      <w:pStyle w:val="ListBulletLevel3"/>
      <w:lvlText w:val=""/>
      <w:lvlJc w:val="left"/>
      <w:pPr>
        <w:tabs>
          <w:tab w:val="num" w:pos="850"/>
        </w:tabs>
        <w:ind w:left="850" w:hanging="283"/>
      </w:pPr>
      <w:rPr>
        <w:rFonts w:ascii="Symbol" w:hAnsi="Symbol"/>
      </w:rPr>
    </w:lvl>
    <w:lvl w:ilvl="3">
      <w:start w:val="1"/>
      <w:numFmt w:val="bullet"/>
      <w:pStyle w:val="ListBulletLevel4"/>
      <w:lvlText w:val=""/>
      <w:lvlJc w:val="left"/>
      <w:pPr>
        <w:tabs>
          <w:tab w:val="num" w:pos="1134"/>
        </w:tabs>
        <w:ind w:left="1134"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0" w15:restartNumberingAfterBreak="0">
    <w:nsid w:val="5072619B"/>
    <w:multiLevelType w:val="multilevel"/>
    <w:tmpl w:val="A00EC5F6"/>
    <w:name w:val="ListDashNumbering"/>
    <w:lvl w:ilvl="0">
      <w:start w:val="1"/>
      <w:numFmt w:val="bullet"/>
      <w:pStyle w:val="ListDash"/>
      <w:lvlText w:val="–"/>
      <w:lvlJc w:val="left"/>
      <w:pPr>
        <w:tabs>
          <w:tab w:val="num" w:pos="283"/>
        </w:tabs>
        <w:ind w:left="283" w:hanging="283"/>
      </w:pPr>
      <w:rPr>
        <w:rFonts w:ascii="Times New Roman" w:hAnsi="Times New Roman"/>
      </w:rPr>
    </w:lvl>
    <w:lvl w:ilvl="1">
      <w:start w:val="1"/>
      <w:numFmt w:val="bullet"/>
      <w:pStyle w:val="ListDashLevel2"/>
      <w:lvlText w:val="–"/>
      <w:lvlJc w:val="left"/>
      <w:pPr>
        <w:tabs>
          <w:tab w:val="num" w:pos="567"/>
        </w:tabs>
        <w:ind w:left="567" w:hanging="284"/>
      </w:pPr>
      <w:rPr>
        <w:rFonts w:ascii="Times New Roman" w:hAnsi="Times New Roman"/>
      </w:rPr>
    </w:lvl>
    <w:lvl w:ilvl="2">
      <w:start w:val="1"/>
      <w:numFmt w:val="bullet"/>
      <w:pStyle w:val="ListDashLevel3"/>
      <w:lvlText w:val="–"/>
      <w:lvlJc w:val="left"/>
      <w:pPr>
        <w:tabs>
          <w:tab w:val="num" w:pos="850"/>
        </w:tabs>
        <w:ind w:left="850" w:hanging="283"/>
      </w:pPr>
      <w:rPr>
        <w:rFonts w:ascii="Times New Roman" w:hAnsi="Times New Roman"/>
      </w:rPr>
    </w:lvl>
    <w:lvl w:ilvl="3">
      <w:start w:val="1"/>
      <w:numFmt w:val="bullet"/>
      <w:pStyle w:val="ListDashLevel4"/>
      <w:lvlText w:val="–"/>
      <w:lvlJc w:val="left"/>
      <w:pPr>
        <w:tabs>
          <w:tab w:val="num" w:pos="1134"/>
        </w:tabs>
        <w:ind w:left="1134"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1" w15:restartNumberingAfterBreak="0">
    <w:nsid w:val="50729B52"/>
    <w:multiLevelType w:val="multilevel"/>
    <w:tmpl w:val="7D385002"/>
    <w:name w:val="TableListDashNumbering"/>
    <w:lvl w:ilvl="0">
      <w:start w:val="1"/>
      <w:numFmt w:val="bullet"/>
      <w:pStyle w:val="TableListDash"/>
      <w:lvlText w:val="–"/>
      <w:lvlJc w:val="left"/>
      <w:pPr>
        <w:tabs>
          <w:tab w:val="num" w:pos="283"/>
        </w:tabs>
        <w:ind w:left="283" w:hanging="283"/>
      </w:pPr>
      <w:rPr>
        <w:rFonts w:ascii="Times New Roman" w:hAnsi="Times New Roman"/>
      </w:rPr>
    </w:lvl>
    <w:lvl w:ilvl="1">
      <w:start w:val="1"/>
      <w:numFmt w:val="bullet"/>
      <w:pStyle w:val="TableListDashLevel2"/>
      <w:lvlText w:val="–"/>
      <w:lvlJc w:val="left"/>
      <w:pPr>
        <w:tabs>
          <w:tab w:val="num" w:pos="567"/>
        </w:tabs>
        <w:ind w:left="567" w:hanging="284"/>
      </w:pPr>
      <w:rPr>
        <w:rFonts w:ascii="Times New Roman" w:hAnsi="Times New Roman"/>
      </w:rPr>
    </w:lvl>
    <w:lvl w:ilvl="2">
      <w:start w:val="1"/>
      <w:numFmt w:val="bullet"/>
      <w:pStyle w:val="TableListDashLevel3"/>
      <w:lvlText w:val="–"/>
      <w:lvlJc w:val="left"/>
      <w:pPr>
        <w:tabs>
          <w:tab w:val="num" w:pos="850"/>
        </w:tabs>
        <w:ind w:left="850" w:hanging="283"/>
      </w:pPr>
      <w:rPr>
        <w:rFonts w:ascii="Times New Roman" w:hAnsi="Times New Roman"/>
      </w:rPr>
    </w:lvl>
    <w:lvl w:ilvl="3">
      <w:start w:val="1"/>
      <w:numFmt w:val="bullet"/>
      <w:pStyle w:val="TableListDashLevel4"/>
      <w:lvlText w:val="–"/>
      <w:lvlJc w:val="left"/>
      <w:pPr>
        <w:tabs>
          <w:tab w:val="num" w:pos="1134"/>
        </w:tabs>
        <w:ind w:left="1134"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2" w15:restartNumberingAfterBreak="0">
    <w:nsid w:val="58FF0A74"/>
    <w:multiLevelType w:val="hybridMultilevel"/>
    <w:tmpl w:val="7B96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7472E"/>
    <w:multiLevelType w:val="multilevel"/>
    <w:tmpl w:val="F4226252"/>
    <w:name w:val="ListNumber4Numbering"/>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4" w15:restartNumberingAfterBreak="0">
    <w:nsid w:val="6F404462"/>
    <w:multiLevelType w:val="hybridMultilevel"/>
    <w:tmpl w:val="62E8E910"/>
    <w:name w:val="EurolookHeading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F308E3"/>
    <w:multiLevelType w:val="hybridMultilevel"/>
    <w:tmpl w:val="38D6CB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72C07DC5"/>
    <w:multiLevelType w:val="hybridMultilevel"/>
    <w:tmpl w:val="A8F68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65145E"/>
    <w:multiLevelType w:val="multilevel"/>
    <w:tmpl w:val="48A0BA44"/>
    <w:name w:val="EurolookHeading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C651460"/>
    <w:multiLevelType w:val="singleLevel"/>
    <w:tmpl w:val="DCAA060D"/>
    <w:name w:val="AnnexNumbering"/>
    <w:lvl w:ilvl="0">
      <w:start w:val="1"/>
      <w:numFmt w:val="upperLetter"/>
      <w:pStyle w:val="AnnexTitle"/>
      <w:lvlText w:val="Annex %1"/>
      <w:lvlJc w:val="left"/>
      <w:pPr>
        <w:tabs>
          <w:tab w:val="num" w:pos="2268"/>
        </w:tabs>
        <w:ind w:left="2268" w:hanging="2268"/>
      </w:pPr>
      <w:rPr>
        <w:rFonts w:hint="default"/>
      </w:rPr>
    </w:lvl>
  </w:abstractNum>
  <w:num w:numId="1">
    <w:abstractNumId w:val="0"/>
  </w:num>
  <w:num w:numId="2">
    <w:abstractNumId w:val="14"/>
  </w:num>
  <w:num w:numId="3">
    <w:abstractNumId w:val="9"/>
  </w:num>
  <w:num w:numId="4">
    <w:abstractNumId w:val="15"/>
  </w:num>
  <w:num w:numId="5">
    <w:abstractNumId w:val="20"/>
  </w:num>
  <w:num w:numId="6">
    <w:abstractNumId w:val="23"/>
  </w:num>
  <w:num w:numId="7">
    <w:abstractNumId w:val="1"/>
  </w:num>
  <w:num w:numId="8">
    <w:abstractNumId w:val="8"/>
  </w:num>
  <w:num w:numId="9">
    <w:abstractNumId w:val="17"/>
  </w:num>
  <w:num w:numId="10">
    <w:abstractNumId w:val="3"/>
  </w:num>
  <w:num w:numId="11">
    <w:abstractNumId w:val="5"/>
  </w:num>
  <w:num w:numId="12">
    <w:abstractNumId w:val="6"/>
  </w:num>
  <w:num w:numId="13">
    <w:abstractNumId w:val="11"/>
  </w:num>
  <w:num w:numId="14">
    <w:abstractNumId w:val="16"/>
  </w:num>
  <w:num w:numId="15">
    <w:abstractNumId w:val="19"/>
  </w:num>
  <w:num w:numId="16">
    <w:abstractNumId w:val="27"/>
  </w:num>
  <w:num w:numId="17">
    <w:abstractNumId w:val="12"/>
  </w:num>
  <w:num w:numId="18">
    <w:abstractNumId w:val="13"/>
  </w:num>
  <w:num w:numId="19">
    <w:abstractNumId w:val="28"/>
  </w:num>
  <w:num w:numId="20">
    <w:abstractNumId w:val="18"/>
  </w:num>
  <w:num w:numId="21">
    <w:abstractNumId w:val="21"/>
  </w:num>
  <w:num w:numId="22">
    <w:abstractNumId w:val="4"/>
  </w:num>
  <w:num w:numId="23">
    <w:abstractNumId w:val="22"/>
  </w:num>
  <w:num w:numId="24">
    <w:abstractNumId w:val="25"/>
  </w:num>
  <w:num w:numId="25">
    <w:abstractNumId w:val="24"/>
  </w:num>
  <w:num w:numId="26">
    <w:abstractNumId w:val="10"/>
  </w:num>
  <w:num w:numId="27">
    <w:abstractNumId w:val="2"/>
  </w:num>
  <w:num w:numId="28">
    <w:abstractNumId w:val="7"/>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movePersonalInformation/>
  <w:removeDateAndTime/>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defaultTabStop w:val="720"/>
  <w:hyphenationZone w:val="425"/>
  <w:characterSpacingControl w:val="doNotCompress"/>
  <w:hdrShapeDefaults>
    <o:shapedefaults v:ext="edit" spidmax="2051"/>
  </w:hdrShapeDefaults>
  <w:footnotePr>
    <w:footnote w:id="-1"/>
    <w:footnote w:id="0"/>
    <w:footnote w:id="1"/>
  </w:footnotePr>
  <w:endnotePr>
    <w:numFmt w:val="lowerLette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Status" w:val="Green"/>
    <w:docVar w:name="EPKit_DocumentHasBeenSaved" w:val="true"/>
    <w:docVar w:name="LW_CORRIGENDUM" w:val="&lt;UNUSED&gt;"/>
    <w:docVar w:name="LW_COVERPAGE_EXISTS" w:val="True"/>
    <w:docVar w:name="LW_COVERPAGE_GUID" w:val="3CD8F7D1-1146-4118-BC46-06F1965DC2E0"/>
    <w:docVar w:name="LW_COVERPAGE_TYPE" w:val="1"/>
    <w:docVar w:name="LW_CROSSREFERENCE" w:val="{SWD(2025) 100 final}"/>
    <w:docVar w:name="LW_DocType" w:val="EUROLOOK"/>
    <w:docVar w:name="LW_EMISSION" w:val="6.6.2025"/>
    <w:docVar w:name="LW_EMISSION_ISODATE" w:val="2025-06-06"/>
    <w:docVar w:name="LW_EMISSION_LOCATION" w:val="BRX"/>
    <w:docVar w:name="LW_EMISSION_PREFIX" w:val="Brussels, "/>
    <w:docVar w:name="LW_EMISSION_SUFFIX" w:val=" "/>
    <w:docVar w:name="LW_ID_DOCTYPE_NONLW" w:val="CP-006"/>
    <w:docVar w:name="LW_LANGUE" w:val="EN"/>
    <w:docVar w:name="LW_LEVEL_OF_SENSITIVITY" w:val="Standard treatment"/>
    <w:docVar w:name="LW_NOM.INST" w:val="EUROPEAN COMMISSION"/>
    <w:docVar w:name="LW_NOM.INST_JOINTDOC" w:val="&lt;EMPTY&gt;"/>
    <w:docVar w:name="LW_PART_NBR" w:val="1"/>
    <w:docVar w:name="LW_PART_NBR_TOTAL" w:val="1"/>
    <w:docVar w:name="LW_REF.INST.NEW" w:val="COM"/>
    <w:docVar w:name="LW_REF.INST.NEW_ADOPTED" w:val="final"/>
    <w:docVar w:name="LW_REF.INST.NEW_TEXT" w:val="(2025) 400"/>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on the common provisioning fund in 2024"/>
    <w:docVar w:name="LW_TYPE.DOC.CP" w:val="REPORT FROM THE COMMISSION TO THE EUROPEAN PARLIAMENT AND THE COUNCIL"/>
    <w:docVar w:name="LwApiVersions" w:val="LW4CoDe 1.24.5.0; LW 9.0, Build 20240221"/>
  </w:docVars>
  <w:rsids>
    <w:rsidRoot w:val="00584AD0"/>
    <w:rsid w:val="0000005D"/>
    <w:rsid w:val="000001DC"/>
    <w:rsid w:val="000009F5"/>
    <w:rsid w:val="000017B0"/>
    <w:rsid w:val="00001B91"/>
    <w:rsid w:val="000026DE"/>
    <w:rsid w:val="00002F4D"/>
    <w:rsid w:val="00003A81"/>
    <w:rsid w:val="00004079"/>
    <w:rsid w:val="000040AE"/>
    <w:rsid w:val="00004566"/>
    <w:rsid w:val="00006E08"/>
    <w:rsid w:val="00006E70"/>
    <w:rsid w:val="00010830"/>
    <w:rsid w:val="00010972"/>
    <w:rsid w:val="00010A8F"/>
    <w:rsid w:val="00010B34"/>
    <w:rsid w:val="00010F4B"/>
    <w:rsid w:val="000123E6"/>
    <w:rsid w:val="000126B7"/>
    <w:rsid w:val="00012811"/>
    <w:rsid w:val="000129E4"/>
    <w:rsid w:val="00012B6E"/>
    <w:rsid w:val="000130B1"/>
    <w:rsid w:val="0001315D"/>
    <w:rsid w:val="00013822"/>
    <w:rsid w:val="000158EC"/>
    <w:rsid w:val="000170C9"/>
    <w:rsid w:val="0001712A"/>
    <w:rsid w:val="000172D8"/>
    <w:rsid w:val="000172D9"/>
    <w:rsid w:val="000219D0"/>
    <w:rsid w:val="00022525"/>
    <w:rsid w:val="00022E58"/>
    <w:rsid w:val="00023118"/>
    <w:rsid w:val="00023AB1"/>
    <w:rsid w:val="000249F0"/>
    <w:rsid w:val="000254B8"/>
    <w:rsid w:val="00025777"/>
    <w:rsid w:val="00025997"/>
    <w:rsid w:val="00026086"/>
    <w:rsid w:val="00027A25"/>
    <w:rsid w:val="000301F7"/>
    <w:rsid w:val="00030C42"/>
    <w:rsid w:val="00032B71"/>
    <w:rsid w:val="000339C9"/>
    <w:rsid w:val="00034793"/>
    <w:rsid w:val="000347A4"/>
    <w:rsid w:val="00034F4D"/>
    <w:rsid w:val="00035DF3"/>
    <w:rsid w:val="00037811"/>
    <w:rsid w:val="00040384"/>
    <w:rsid w:val="00040560"/>
    <w:rsid w:val="00040876"/>
    <w:rsid w:val="00040BD7"/>
    <w:rsid w:val="00043714"/>
    <w:rsid w:val="00044D5A"/>
    <w:rsid w:val="00044D9F"/>
    <w:rsid w:val="000450CE"/>
    <w:rsid w:val="000469B7"/>
    <w:rsid w:val="0004761B"/>
    <w:rsid w:val="0005043E"/>
    <w:rsid w:val="00050875"/>
    <w:rsid w:val="000509D5"/>
    <w:rsid w:val="00050CD8"/>
    <w:rsid w:val="00050E20"/>
    <w:rsid w:val="00050E40"/>
    <w:rsid w:val="000514C5"/>
    <w:rsid w:val="000524D1"/>
    <w:rsid w:val="0005269B"/>
    <w:rsid w:val="00052802"/>
    <w:rsid w:val="00052EFC"/>
    <w:rsid w:val="0005314C"/>
    <w:rsid w:val="00053AA8"/>
    <w:rsid w:val="00054165"/>
    <w:rsid w:val="00054986"/>
    <w:rsid w:val="00054FD0"/>
    <w:rsid w:val="000559DC"/>
    <w:rsid w:val="00055ACC"/>
    <w:rsid w:val="00055AE9"/>
    <w:rsid w:val="0005673E"/>
    <w:rsid w:val="00056CA7"/>
    <w:rsid w:val="00056D68"/>
    <w:rsid w:val="00057ACC"/>
    <w:rsid w:val="00057C08"/>
    <w:rsid w:val="00057C59"/>
    <w:rsid w:val="00060817"/>
    <w:rsid w:val="0006111C"/>
    <w:rsid w:val="000613F4"/>
    <w:rsid w:val="00061A91"/>
    <w:rsid w:val="00061BFE"/>
    <w:rsid w:val="00063859"/>
    <w:rsid w:val="0006541E"/>
    <w:rsid w:val="0006549E"/>
    <w:rsid w:val="00065632"/>
    <w:rsid w:val="00065B4D"/>
    <w:rsid w:val="00066858"/>
    <w:rsid w:val="00066D02"/>
    <w:rsid w:val="0006750F"/>
    <w:rsid w:val="00067F7D"/>
    <w:rsid w:val="000703E5"/>
    <w:rsid w:val="000717B7"/>
    <w:rsid w:val="0007268A"/>
    <w:rsid w:val="00072A6A"/>
    <w:rsid w:val="00072B9F"/>
    <w:rsid w:val="00073C88"/>
    <w:rsid w:val="00074F75"/>
    <w:rsid w:val="00074F9A"/>
    <w:rsid w:val="00074FC6"/>
    <w:rsid w:val="00075084"/>
    <w:rsid w:val="00075985"/>
    <w:rsid w:val="00075A53"/>
    <w:rsid w:val="0007639C"/>
    <w:rsid w:val="0007666C"/>
    <w:rsid w:val="0007691A"/>
    <w:rsid w:val="00077359"/>
    <w:rsid w:val="00077A51"/>
    <w:rsid w:val="0008016E"/>
    <w:rsid w:val="000815F5"/>
    <w:rsid w:val="000818B9"/>
    <w:rsid w:val="00081D95"/>
    <w:rsid w:val="00082147"/>
    <w:rsid w:val="00083127"/>
    <w:rsid w:val="00083859"/>
    <w:rsid w:val="00084487"/>
    <w:rsid w:val="000855B5"/>
    <w:rsid w:val="00085CD9"/>
    <w:rsid w:val="00085E1C"/>
    <w:rsid w:val="00087B77"/>
    <w:rsid w:val="00087E2C"/>
    <w:rsid w:val="00090C7C"/>
    <w:rsid w:val="00091154"/>
    <w:rsid w:val="0009192A"/>
    <w:rsid w:val="000922E4"/>
    <w:rsid w:val="00092C36"/>
    <w:rsid w:val="00092DDB"/>
    <w:rsid w:val="00093FF8"/>
    <w:rsid w:val="00094BA0"/>
    <w:rsid w:val="00094CF5"/>
    <w:rsid w:val="00095167"/>
    <w:rsid w:val="00095215"/>
    <w:rsid w:val="0009542E"/>
    <w:rsid w:val="00095485"/>
    <w:rsid w:val="00097F87"/>
    <w:rsid w:val="000A03DC"/>
    <w:rsid w:val="000A1044"/>
    <w:rsid w:val="000A17E2"/>
    <w:rsid w:val="000A194C"/>
    <w:rsid w:val="000A1D91"/>
    <w:rsid w:val="000A2014"/>
    <w:rsid w:val="000A21A7"/>
    <w:rsid w:val="000A2DA2"/>
    <w:rsid w:val="000A31DF"/>
    <w:rsid w:val="000A338D"/>
    <w:rsid w:val="000A41AE"/>
    <w:rsid w:val="000A5F86"/>
    <w:rsid w:val="000A7FFD"/>
    <w:rsid w:val="000B0068"/>
    <w:rsid w:val="000B0AA5"/>
    <w:rsid w:val="000B0D9D"/>
    <w:rsid w:val="000B1803"/>
    <w:rsid w:val="000B1B9A"/>
    <w:rsid w:val="000B32FB"/>
    <w:rsid w:val="000B35F6"/>
    <w:rsid w:val="000B4D93"/>
    <w:rsid w:val="000B5BC1"/>
    <w:rsid w:val="000B6DE7"/>
    <w:rsid w:val="000B7738"/>
    <w:rsid w:val="000B7C9B"/>
    <w:rsid w:val="000C09C4"/>
    <w:rsid w:val="000C0E07"/>
    <w:rsid w:val="000C120B"/>
    <w:rsid w:val="000C1B02"/>
    <w:rsid w:val="000C1B29"/>
    <w:rsid w:val="000C1CC1"/>
    <w:rsid w:val="000C3ABE"/>
    <w:rsid w:val="000C3C19"/>
    <w:rsid w:val="000C3C1D"/>
    <w:rsid w:val="000C4224"/>
    <w:rsid w:val="000C541E"/>
    <w:rsid w:val="000C5739"/>
    <w:rsid w:val="000C5A8D"/>
    <w:rsid w:val="000C6004"/>
    <w:rsid w:val="000C6620"/>
    <w:rsid w:val="000C7B50"/>
    <w:rsid w:val="000D132E"/>
    <w:rsid w:val="000D1438"/>
    <w:rsid w:val="000D3127"/>
    <w:rsid w:val="000D3C4E"/>
    <w:rsid w:val="000D5646"/>
    <w:rsid w:val="000D5CF9"/>
    <w:rsid w:val="000D635D"/>
    <w:rsid w:val="000D6DBE"/>
    <w:rsid w:val="000D7F51"/>
    <w:rsid w:val="000E02C5"/>
    <w:rsid w:val="000E0753"/>
    <w:rsid w:val="000E1A4B"/>
    <w:rsid w:val="000E1D66"/>
    <w:rsid w:val="000E2920"/>
    <w:rsid w:val="000E3230"/>
    <w:rsid w:val="000E3562"/>
    <w:rsid w:val="000E3856"/>
    <w:rsid w:val="000E4DB5"/>
    <w:rsid w:val="000E4E2C"/>
    <w:rsid w:val="000E5928"/>
    <w:rsid w:val="000E68C8"/>
    <w:rsid w:val="000F04DC"/>
    <w:rsid w:val="000F0FB9"/>
    <w:rsid w:val="000F123A"/>
    <w:rsid w:val="000F1E36"/>
    <w:rsid w:val="000F241D"/>
    <w:rsid w:val="000F3E68"/>
    <w:rsid w:val="000F405D"/>
    <w:rsid w:val="000F464A"/>
    <w:rsid w:val="000F5101"/>
    <w:rsid w:val="000F7169"/>
    <w:rsid w:val="000F71EC"/>
    <w:rsid w:val="000F7568"/>
    <w:rsid w:val="00101137"/>
    <w:rsid w:val="00101D94"/>
    <w:rsid w:val="00102650"/>
    <w:rsid w:val="0010297B"/>
    <w:rsid w:val="00103FFF"/>
    <w:rsid w:val="0010498C"/>
    <w:rsid w:val="00104A1A"/>
    <w:rsid w:val="00104D45"/>
    <w:rsid w:val="001058A7"/>
    <w:rsid w:val="001067D2"/>
    <w:rsid w:val="00107254"/>
    <w:rsid w:val="00107A52"/>
    <w:rsid w:val="001119D8"/>
    <w:rsid w:val="00114E1B"/>
    <w:rsid w:val="00115167"/>
    <w:rsid w:val="0011720F"/>
    <w:rsid w:val="00117C38"/>
    <w:rsid w:val="00117DA5"/>
    <w:rsid w:val="001207DD"/>
    <w:rsid w:val="00120E96"/>
    <w:rsid w:val="001210A5"/>
    <w:rsid w:val="001218F3"/>
    <w:rsid w:val="0012349A"/>
    <w:rsid w:val="00123730"/>
    <w:rsid w:val="0012378E"/>
    <w:rsid w:val="001237D1"/>
    <w:rsid w:val="00123A8C"/>
    <w:rsid w:val="00123A93"/>
    <w:rsid w:val="001240AC"/>
    <w:rsid w:val="001244C2"/>
    <w:rsid w:val="001244EE"/>
    <w:rsid w:val="00125529"/>
    <w:rsid w:val="0012616F"/>
    <w:rsid w:val="0012626B"/>
    <w:rsid w:val="0012691A"/>
    <w:rsid w:val="00126BE1"/>
    <w:rsid w:val="00126DE2"/>
    <w:rsid w:val="001302F8"/>
    <w:rsid w:val="001305ED"/>
    <w:rsid w:val="00130A98"/>
    <w:rsid w:val="00131DE5"/>
    <w:rsid w:val="00132471"/>
    <w:rsid w:val="00132A2C"/>
    <w:rsid w:val="001332AF"/>
    <w:rsid w:val="00133963"/>
    <w:rsid w:val="00133B08"/>
    <w:rsid w:val="001341B6"/>
    <w:rsid w:val="0013421C"/>
    <w:rsid w:val="00134985"/>
    <w:rsid w:val="00135631"/>
    <w:rsid w:val="00136180"/>
    <w:rsid w:val="0013622D"/>
    <w:rsid w:val="001368CE"/>
    <w:rsid w:val="001407EB"/>
    <w:rsid w:val="00140D8D"/>
    <w:rsid w:val="00140EB8"/>
    <w:rsid w:val="00141400"/>
    <w:rsid w:val="0014144F"/>
    <w:rsid w:val="00141E31"/>
    <w:rsid w:val="001422EA"/>
    <w:rsid w:val="00142D3D"/>
    <w:rsid w:val="00143056"/>
    <w:rsid w:val="00143262"/>
    <w:rsid w:val="001439B9"/>
    <w:rsid w:val="00144127"/>
    <w:rsid w:val="0014477B"/>
    <w:rsid w:val="00144E33"/>
    <w:rsid w:val="0014505C"/>
    <w:rsid w:val="0014522E"/>
    <w:rsid w:val="001459D4"/>
    <w:rsid w:val="0014607E"/>
    <w:rsid w:val="00147296"/>
    <w:rsid w:val="001501D7"/>
    <w:rsid w:val="001505EB"/>
    <w:rsid w:val="001507E9"/>
    <w:rsid w:val="00151C9D"/>
    <w:rsid w:val="00152B1F"/>
    <w:rsid w:val="0015303A"/>
    <w:rsid w:val="00154184"/>
    <w:rsid w:val="00155819"/>
    <w:rsid w:val="00156BC1"/>
    <w:rsid w:val="00156DA5"/>
    <w:rsid w:val="00156E84"/>
    <w:rsid w:val="001574D3"/>
    <w:rsid w:val="00160097"/>
    <w:rsid w:val="001601B8"/>
    <w:rsid w:val="00160B3E"/>
    <w:rsid w:val="001622A9"/>
    <w:rsid w:val="0016252A"/>
    <w:rsid w:val="001625CC"/>
    <w:rsid w:val="0016328C"/>
    <w:rsid w:val="00163F11"/>
    <w:rsid w:val="001642FD"/>
    <w:rsid w:val="00164780"/>
    <w:rsid w:val="00164969"/>
    <w:rsid w:val="00164F5D"/>
    <w:rsid w:val="0016629E"/>
    <w:rsid w:val="00166720"/>
    <w:rsid w:val="001669AB"/>
    <w:rsid w:val="00166E1A"/>
    <w:rsid w:val="0016746D"/>
    <w:rsid w:val="00167984"/>
    <w:rsid w:val="00167F67"/>
    <w:rsid w:val="00170751"/>
    <w:rsid w:val="001712FC"/>
    <w:rsid w:val="0017150E"/>
    <w:rsid w:val="00172302"/>
    <w:rsid w:val="00172608"/>
    <w:rsid w:val="001735FA"/>
    <w:rsid w:val="0017363E"/>
    <w:rsid w:val="00174428"/>
    <w:rsid w:val="001762AE"/>
    <w:rsid w:val="00176556"/>
    <w:rsid w:val="0017681D"/>
    <w:rsid w:val="0017750E"/>
    <w:rsid w:val="001806C3"/>
    <w:rsid w:val="00180973"/>
    <w:rsid w:val="00180B5B"/>
    <w:rsid w:val="00181056"/>
    <w:rsid w:val="00181175"/>
    <w:rsid w:val="00181A4D"/>
    <w:rsid w:val="00181CF3"/>
    <w:rsid w:val="00182030"/>
    <w:rsid w:val="0018241D"/>
    <w:rsid w:val="00182A3D"/>
    <w:rsid w:val="0018515F"/>
    <w:rsid w:val="001864F2"/>
    <w:rsid w:val="00186E48"/>
    <w:rsid w:val="0019113B"/>
    <w:rsid w:val="00191189"/>
    <w:rsid w:val="00192314"/>
    <w:rsid w:val="00192D47"/>
    <w:rsid w:val="00194BE8"/>
    <w:rsid w:val="00195B2D"/>
    <w:rsid w:val="00197A4F"/>
    <w:rsid w:val="00197C91"/>
    <w:rsid w:val="001A0708"/>
    <w:rsid w:val="001A2161"/>
    <w:rsid w:val="001A2921"/>
    <w:rsid w:val="001A2DEE"/>
    <w:rsid w:val="001A32CC"/>
    <w:rsid w:val="001A3DAD"/>
    <w:rsid w:val="001A3F3B"/>
    <w:rsid w:val="001A4283"/>
    <w:rsid w:val="001A49C0"/>
    <w:rsid w:val="001A5E67"/>
    <w:rsid w:val="001A6810"/>
    <w:rsid w:val="001A731E"/>
    <w:rsid w:val="001A7D77"/>
    <w:rsid w:val="001A7F17"/>
    <w:rsid w:val="001B0465"/>
    <w:rsid w:val="001B0857"/>
    <w:rsid w:val="001B0C10"/>
    <w:rsid w:val="001B0C46"/>
    <w:rsid w:val="001B0DA3"/>
    <w:rsid w:val="001B1DA4"/>
    <w:rsid w:val="001B2122"/>
    <w:rsid w:val="001B24F3"/>
    <w:rsid w:val="001B2871"/>
    <w:rsid w:val="001B2D2A"/>
    <w:rsid w:val="001B300F"/>
    <w:rsid w:val="001B3094"/>
    <w:rsid w:val="001B3671"/>
    <w:rsid w:val="001B3682"/>
    <w:rsid w:val="001B3E24"/>
    <w:rsid w:val="001B4DF7"/>
    <w:rsid w:val="001B5E3F"/>
    <w:rsid w:val="001B64D9"/>
    <w:rsid w:val="001B6E1C"/>
    <w:rsid w:val="001B7E48"/>
    <w:rsid w:val="001C0BA9"/>
    <w:rsid w:val="001C20CE"/>
    <w:rsid w:val="001C273E"/>
    <w:rsid w:val="001C363B"/>
    <w:rsid w:val="001C3B47"/>
    <w:rsid w:val="001C4415"/>
    <w:rsid w:val="001C49EB"/>
    <w:rsid w:val="001C4A5D"/>
    <w:rsid w:val="001C5AFD"/>
    <w:rsid w:val="001C730B"/>
    <w:rsid w:val="001D071A"/>
    <w:rsid w:val="001D0ADB"/>
    <w:rsid w:val="001D0B57"/>
    <w:rsid w:val="001D2968"/>
    <w:rsid w:val="001D5E14"/>
    <w:rsid w:val="001D5F21"/>
    <w:rsid w:val="001D6B89"/>
    <w:rsid w:val="001D79C4"/>
    <w:rsid w:val="001D7D36"/>
    <w:rsid w:val="001E0A53"/>
    <w:rsid w:val="001E1C81"/>
    <w:rsid w:val="001E2651"/>
    <w:rsid w:val="001E407C"/>
    <w:rsid w:val="001E44BA"/>
    <w:rsid w:val="001E5489"/>
    <w:rsid w:val="001E6A84"/>
    <w:rsid w:val="001E7502"/>
    <w:rsid w:val="001E7C7C"/>
    <w:rsid w:val="001F02DD"/>
    <w:rsid w:val="001F0DE5"/>
    <w:rsid w:val="001F15E0"/>
    <w:rsid w:val="001F2119"/>
    <w:rsid w:val="001F2239"/>
    <w:rsid w:val="001F405A"/>
    <w:rsid w:val="001F40F8"/>
    <w:rsid w:val="001F56BB"/>
    <w:rsid w:val="001F5A6E"/>
    <w:rsid w:val="001F60DF"/>
    <w:rsid w:val="001F6A92"/>
    <w:rsid w:val="001F762B"/>
    <w:rsid w:val="001F7BA1"/>
    <w:rsid w:val="00201449"/>
    <w:rsid w:val="002014CB"/>
    <w:rsid w:val="002014E3"/>
    <w:rsid w:val="00201D4A"/>
    <w:rsid w:val="00201F40"/>
    <w:rsid w:val="002043C6"/>
    <w:rsid w:val="0020494D"/>
    <w:rsid w:val="002050CC"/>
    <w:rsid w:val="00205BA8"/>
    <w:rsid w:val="002063E2"/>
    <w:rsid w:val="0020660F"/>
    <w:rsid w:val="00206C0C"/>
    <w:rsid w:val="00207B37"/>
    <w:rsid w:val="00207B9F"/>
    <w:rsid w:val="00210112"/>
    <w:rsid w:val="002105BE"/>
    <w:rsid w:val="00210FA9"/>
    <w:rsid w:val="002111AD"/>
    <w:rsid w:val="00211C55"/>
    <w:rsid w:val="00211C86"/>
    <w:rsid w:val="00212DA6"/>
    <w:rsid w:val="002134BE"/>
    <w:rsid w:val="002135DF"/>
    <w:rsid w:val="0021385C"/>
    <w:rsid w:val="00213F45"/>
    <w:rsid w:val="002141B0"/>
    <w:rsid w:val="0021485F"/>
    <w:rsid w:val="00214B0E"/>
    <w:rsid w:val="00214EA3"/>
    <w:rsid w:val="00214FEA"/>
    <w:rsid w:val="00215356"/>
    <w:rsid w:val="00215637"/>
    <w:rsid w:val="00215708"/>
    <w:rsid w:val="00215A86"/>
    <w:rsid w:val="00216F79"/>
    <w:rsid w:val="00217DAA"/>
    <w:rsid w:val="0022072C"/>
    <w:rsid w:val="002212E2"/>
    <w:rsid w:val="0022139D"/>
    <w:rsid w:val="00221463"/>
    <w:rsid w:val="00221536"/>
    <w:rsid w:val="002221A3"/>
    <w:rsid w:val="002226D0"/>
    <w:rsid w:val="0022287F"/>
    <w:rsid w:val="00223173"/>
    <w:rsid w:val="0022363E"/>
    <w:rsid w:val="00223732"/>
    <w:rsid w:val="00223A5B"/>
    <w:rsid w:val="00223F4C"/>
    <w:rsid w:val="00224CF9"/>
    <w:rsid w:val="00225002"/>
    <w:rsid w:val="0022501A"/>
    <w:rsid w:val="00225165"/>
    <w:rsid w:val="00225234"/>
    <w:rsid w:val="002252E5"/>
    <w:rsid w:val="002252FD"/>
    <w:rsid w:val="00225A02"/>
    <w:rsid w:val="00225C37"/>
    <w:rsid w:val="00225F54"/>
    <w:rsid w:val="00226B35"/>
    <w:rsid w:val="00226B38"/>
    <w:rsid w:val="00226F9C"/>
    <w:rsid w:val="002277FA"/>
    <w:rsid w:val="00227AB3"/>
    <w:rsid w:val="00227B8C"/>
    <w:rsid w:val="00230265"/>
    <w:rsid w:val="00232FE2"/>
    <w:rsid w:val="00233038"/>
    <w:rsid w:val="0023367D"/>
    <w:rsid w:val="0023508A"/>
    <w:rsid w:val="002351CA"/>
    <w:rsid w:val="00235295"/>
    <w:rsid w:val="00235B9A"/>
    <w:rsid w:val="00236735"/>
    <w:rsid w:val="00236757"/>
    <w:rsid w:val="00236D32"/>
    <w:rsid w:val="00237292"/>
    <w:rsid w:val="002378FA"/>
    <w:rsid w:val="00237BDE"/>
    <w:rsid w:val="00237D0E"/>
    <w:rsid w:val="00237E4F"/>
    <w:rsid w:val="00240C0F"/>
    <w:rsid w:val="00242D4E"/>
    <w:rsid w:val="0024350E"/>
    <w:rsid w:val="00243C30"/>
    <w:rsid w:val="00243FEE"/>
    <w:rsid w:val="002446EF"/>
    <w:rsid w:val="00244D46"/>
    <w:rsid w:val="00244DF4"/>
    <w:rsid w:val="00245014"/>
    <w:rsid w:val="002454A2"/>
    <w:rsid w:val="002454CB"/>
    <w:rsid w:val="00245550"/>
    <w:rsid w:val="00245DB6"/>
    <w:rsid w:val="0024758F"/>
    <w:rsid w:val="00247964"/>
    <w:rsid w:val="00247E69"/>
    <w:rsid w:val="002500AC"/>
    <w:rsid w:val="0025034E"/>
    <w:rsid w:val="0025048D"/>
    <w:rsid w:val="00251337"/>
    <w:rsid w:val="002513B8"/>
    <w:rsid w:val="0025155D"/>
    <w:rsid w:val="00251938"/>
    <w:rsid w:val="00251F4C"/>
    <w:rsid w:val="00252DF1"/>
    <w:rsid w:val="00253EEA"/>
    <w:rsid w:val="00254150"/>
    <w:rsid w:val="00254285"/>
    <w:rsid w:val="00254322"/>
    <w:rsid w:val="00254768"/>
    <w:rsid w:val="002547ED"/>
    <w:rsid w:val="00254D9E"/>
    <w:rsid w:val="00255508"/>
    <w:rsid w:val="00256604"/>
    <w:rsid w:val="00256A3E"/>
    <w:rsid w:val="002575A5"/>
    <w:rsid w:val="002579AD"/>
    <w:rsid w:val="002607FE"/>
    <w:rsid w:val="002611C9"/>
    <w:rsid w:val="002615BB"/>
    <w:rsid w:val="002619C0"/>
    <w:rsid w:val="00262B77"/>
    <w:rsid w:val="002639A3"/>
    <w:rsid w:val="00264FE3"/>
    <w:rsid w:val="00265960"/>
    <w:rsid w:val="002659B4"/>
    <w:rsid w:val="00265A6A"/>
    <w:rsid w:val="00265CDC"/>
    <w:rsid w:val="00265F0F"/>
    <w:rsid w:val="00266426"/>
    <w:rsid w:val="002672AF"/>
    <w:rsid w:val="0026799B"/>
    <w:rsid w:val="00267FCE"/>
    <w:rsid w:val="0027062F"/>
    <w:rsid w:val="00270AED"/>
    <w:rsid w:val="00270F26"/>
    <w:rsid w:val="002728B4"/>
    <w:rsid w:val="00272F12"/>
    <w:rsid w:val="002731B2"/>
    <w:rsid w:val="0027323A"/>
    <w:rsid w:val="002732AD"/>
    <w:rsid w:val="00273528"/>
    <w:rsid w:val="00273827"/>
    <w:rsid w:val="002738F6"/>
    <w:rsid w:val="002739F9"/>
    <w:rsid w:val="00273B1D"/>
    <w:rsid w:val="00273B1F"/>
    <w:rsid w:val="00273CDE"/>
    <w:rsid w:val="00274B38"/>
    <w:rsid w:val="002750AA"/>
    <w:rsid w:val="00275326"/>
    <w:rsid w:val="00275C33"/>
    <w:rsid w:val="00275D74"/>
    <w:rsid w:val="002768A9"/>
    <w:rsid w:val="00276B5A"/>
    <w:rsid w:val="002779D1"/>
    <w:rsid w:val="0028004B"/>
    <w:rsid w:val="00280064"/>
    <w:rsid w:val="002805B5"/>
    <w:rsid w:val="00281315"/>
    <w:rsid w:val="00281A43"/>
    <w:rsid w:val="00281B20"/>
    <w:rsid w:val="00282D36"/>
    <w:rsid w:val="00282D40"/>
    <w:rsid w:val="00283A2A"/>
    <w:rsid w:val="00283C70"/>
    <w:rsid w:val="00284086"/>
    <w:rsid w:val="00284E39"/>
    <w:rsid w:val="00285205"/>
    <w:rsid w:val="00285596"/>
    <w:rsid w:val="00285763"/>
    <w:rsid w:val="00286D29"/>
    <w:rsid w:val="00286EBF"/>
    <w:rsid w:val="00286FD1"/>
    <w:rsid w:val="002876EC"/>
    <w:rsid w:val="00291462"/>
    <w:rsid w:val="00291501"/>
    <w:rsid w:val="00291ECC"/>
    <w:rsid w:val="00292183"/>
    <w:rsid w:val="0029264E"/>
    <w:rsid w:val="002933EC"/>
    <w:rsid w:val="002936D2"/>
    <w:rsid w:val="00293C0D"/>
    <w:rsid w:val="00294351"/>
    <w:rsid w:val="00296878"/>
    <w:rsid w:val="00296F81"/>
    <w:rsid w:val="00297AC4"/>
    <w:rsid w:val="002A0062"/>
    <w:rsid w:val="002A03F8"/>
    <w:rsid w:val="002A22B3"/>
    <w:rsid w:val="002A32C9"/>
    <w:rsid w:val="002A36F6"/>
    <w:rsid w:val="002A3CFB"/>
    <w:rsid w:val="002A4715"/>
    <w:rsid w:val="002A4B70"/>
    <w:rsid w:val="002A51E8"/>
    <w:rsid w:val="002A59EC"/>
    <w:rsid w:val="002A5D71"/>
    <w:rsid w:val="002A5ECA"/>
    <w:rsid w:val="002A681A"/>
    <w:rsid w:val="002A6897"/>
    <w:rsid w:val="002A6AD2"/>
    <w:rsid w:val="002A6E1A"/>
    <w:rsid w:val="002A6F6F"/>
    <w:rsid w:val="002B0611"/>
    <w:rsid w:val="002B0916"/>
    <w:rsid w:val="002B0D85"/>
    <w:rsid w:val="002B1D85"/>
    <w:rsid w:val="002B1E5D"/>
    <w:rsid w:val="002B1EE0"/>
    <w:rsid w:val="002B22F1"/>
    <w:rsid w:val="002B3CB1"/>
    <w:rsid w:val="002B3E24"/>
    <w:rsid w:val="002B43E0"/>
    <w:rsid w:val="002B4D7A"/>
    <w:rsid w:val="002B5A39"/>
    <w:rsid w:val="002B5A97"/>
    <w:rsid w:val="002B5FF8"/>
    <w:rsid w:val="002B6044"/>
    <w:rsid w:val="002B6CC9"/>
    <w:rsid w:val="002B77D0"/>
    <w:rsid w:val="002B79AA"/>
    <w:rsid w:val="002B7CB6"/>
    <w:rsid w:val="002C0035"/>
    <w:rsid w:val="002C1628"/>
    <w:rsid w:val="002C2448"/>
    <w:rsid w:val="002C34AC"/>
    <w:rsid w:val="002C3567"/>
    <w:rsid w:val="002C4352"/>
    <w:rsid w:val="002C4904"/>
    <w:rsid w:val="002C79B5"/>
    <w:rsid w:val="002D0E86"/>
    <w:rsid w:val="002D0F27"/>
    <w:rsid w:val="002D100F"/>
    <w:rsid w:val="002D10CC"/>
    <w:rsid w:val="002D14CB"/>
    <w:rsid w:val="002D14E8"/>
    <w:rsid w:val="002D1E79"/>
    <w:rsid w:val="002D3A31"/>
    <w:rsid w:val="002D4DB2"/>
    <w:rsid w:val="002D4ECD"/>
    <w:rsid w:val="002D51FB"/>
    <w:rsid w:val="002D5BE2"/>
    <w:rsid w:val="002D64C9"/>
    <w:rsid w:val="002D6CA6"/>
    <w:rsid w:val="002D6F24"/>
    <w:rsid w:val="002D732C"/>
    <w:rsid w:val="002D740A"/>
    <w:rsid w:val="002D7841"/>
    <w:rsid w:val="002D7F26"/>
    <w:rsid w:val="002E0D4C"/>
    <w:rsid w:val="002E174C"/>
    <w:rsid w:val="002E1989"/>
    <w:rsid w:val="002E19FE"/>
    <w:rsid w:val="002E21E2"/>
    <w:rsid w:val="002E2F2A"/>
    <w:rsid w:val="002E3F1F"/>
    <w:rsid w:val="002E5957"/>
    <w:rsid w:val="002E6268"/>
    <w:rsid w:val="002E63A4"/>
    <w:rsid w:val="002E647A"/>
    <w:rsid w:val="002E6BCC"/>
    <w:rsid w:val="002E6EF2"/>
    <w:rsid w:val="002E7633"/>
    <w:rsid w:val="002E78FF"/>
    <w:rsid w:val="002F0043"/>
    <w:rsid w:val="002F05AF"/>
    <w:rsid w:val="002F0CC3"/>
    <w:rsid w:val="002F1163"/>
    <w:rsid w:val="002F28E0"/>
    <w:rsid w:val="002F308A"/>
    <w:rsid w:val="002F32BB"/>
    <w:rsid w:val="002F33B7"/>
    <w:rsid w:val="002F40CB"/>
    <w:rsid w:val="002F5831"/>
    <w:rsid w:val="002F5D73"/>
    <w:rsid w:val="002F7012"/>
    <w:rsid w:val="00303473"/>
    <w:rsid w:val="00303625"/>
    <w:rsid w:val="00303EAF"/>
    <w:rsid w:val="0030438B"/>
    <w:rsid w:val="003046C8"/>
    <w:rsid w:val="003047D1"/>
    <w:rsid w:val="00305329"/>
    <w:rsid w:val="00306453"/>
    <w:rsid w:val="00306A2A"/>
    <w:rsid w:val="00306EAB"/>
    <w:rsid w:val="00307B8B"/>
    <w:rsid w:val="00310590"/>
    <w:rsid w:val="00310F71"/>
    <w:rsid w:val="00311A34"/>
    <w:rsid w:val="00311E32"/>
    <w:rsid w:val="00312481"/>
    <w:rsid w:val="00312489"/>
    <w:rsid w:val="003128BC"/>
    <w:rsid w:val="00312B6B"/>
    <w:rsid w:val="0031314E"/>
    <w:rsid w:val="00314053"/>
    <w:rsid w:val="00314210"/>
    <w:rsid w:val="0031484D"/>
    <w:rsid w:val="003149DD"/>
    <w:rsid w:val="0031582B"/>
    <w:rsid w:val="003160B2"/>
    <w:rsid w:val="00316481"/>
    <w:rsid w:val="0031660C"/>
    <w:rsid w:val="0031680F"/>
    <w:rsid w:val="00316E6A"/>
    <w:rsid w:val="0031716D"/>
    <w:rsid w:val="00317201"/>
    <w:rsid w:val="003179DE"/>
    <w:rsid w:val="00317F50"/>
    <w:rsid w:val="00320358"/>
    <w:rsid w:val="00320499"/>
    <w:rsid w:val="00320605"/>
    <w:rsid w:val="00320DEA"/>
    <w:rsid w:val="00321095"/>
    <w:rsid w:val="00321354"/>
    <w:rsid w:val="0032350E"/>
    <w:rsid w:val="00323650"/>
    <w:rsid w:val="003236D1"/>
    <w:rsid w:val="00323A37"/>
    <w:rsid w:val="00323E26"/>
    <w:rsid w:val="003248A2"/>
    <w:rsid w:val="00324AF6"/>
    <w:rsid w:val="0032665C"/>
    <w:rsid w:val="00327234"/>
    <w:rsid w:val="00327783"/>
    <w:rsid w:val="00330BD6"/>
    <w:rsid w:val="00330E29"/>
    <w:rsid w:val="00331050"/>
    <w:rsid w:val="003324DE"/>
    <w:rsid w:val="003325A1"/>
    <w:rsid w:val="00332A34"/>
    <w:rsid w:val="00332B1E"/>
    <w:rsid w:val="00332DBD"/>
    <w:rsid w:val="003331B0"/>
    <w:rsid w:val="00333EAB"/>
    <w:rsid w:val="0033401C"/>
    <w:rsid w:val="0033485E"/>
    <w:rsid w:val="003350DD"/>
    <w:rsid w:val="00335B64"/>
    <w:rsid w:val="0033602E"/>
    <w:rsid w:val="00336D33"/>
    <w:rsid w:val="00337497"/>
    <w:rsid w:val="0034093A"/>
    <w:rsid w:val="003419C2"/>
    <w:rsid w:val="00341B9E"/>
    <w:rsid w:val="00342606"/>
    <w:rsid w:val="00342D95"/>
    <w:rsid w:val="00343161"/>
    <w:rsid w:val="003435AB"/>
    <w:rsid w:val="00343806"/>
    <w:rsid w:val="003447C9"/>
    <w:rsid w:val="0034557C"/>
    <w:rsid w:val="00345697"/>
    <w:rsid w:val="0034697B"/>
    <w:rsid w:val="0034711A"/>
    <w:rsid w:val="00347132"/>
    <w:rsid w:val="00347816"/>
    <w:rsid w:val="003478BD"/>
    <w:rsid w:val="003478F8"/>
    <w:rsid w:val="00347E91"/>
    <w:rsid w:val="003506AA"/>
    <w:rsid w:val="00350EE0"/>
    <w:rsid w:val="00350F10"/>
    <w:rsid w:val="003518FB"/>
    <w:rsid w:val="003522A6"/>
    <w:rsid w:val="003522C9"/>
    <w:rsid w:val="00352451"/>
    <w:rsid w:val="00355550"/>
    <w:rsid w:val="00355C03"/>
    <w:rsid w:val="00356172"/>
    <w:rsid w:val="00356510"/>
    <w:rsid w:val="00356546"/>
    <w:rsid w:val="00356D56"/>
    <w:rsid w:val="00356FEE"/>
    <w:rsid w:val="003572DA"/>
    <w:rsid w:val="003574AE"/>
    <w:rsid w:val="00357699"/>
    <w:rsid w:val="00357B10"/>
    <w:rsid w:val="00360B67"/>
    <w:rsid w:val="00362695"/>
    <w:rsid w:val="00362DCE"/>
    <w:rsid w:val="00363883"/>
    <w:rsid w:val="00364F84"/>
    <w:rsid w:val="0036519C"/>
    <w:rsid w:val="00365D35"/>
    <w:rsid w:val="00365FDF"/>
    <w:rsid w:val="00366369"/>
    <w:rsid w:val="0036695A"/>
    <w:rsid w:val="00366EFB"/>
    <w:rsid w:val="00367147"/>
    <w:rsid w:val="00367404"/>
    <w:rsid w:val="00370558"/>
    <w:rsid w:val="00370E94"/>
    <w:rsid w:val="00371378"/>
    <w:rsid w:val="003716F7"/>
    <w:rsid w:val="003719BC"/>
    <w:rsid w:val="00371ABC"/>
    <w:rsid w:val="00371F18"/>
    <w:rsid w:val="00372396"/>
    <w:rsid w:val="003726D1"/>
    <w:rsid w:val="00372F26"/>
    <w:rsid w:val="0037334F"/>
    <w:rsid w:val="0037390A"/>
    <w:rsid w:val="00375332"/>
    <w:rsid w:val="0037589F"/>
    <w:rsid w:val="00375AEA"/>
    <w:rsid w:val="00375DE6"/>
    <w:rsid w:val="00376D10"/>
    <w:rsid w:val="00376FD7"/>
    <w:rsid w:val="00377638"/>
    <w:rsid w:val="00380522"/>
    <w:rsid w:val="0038058D"/>
    <w:rsid w:val="00381203"/>
    <w:rsid w:val="00381438"/>
    <w:rsid w:val="00381A27"/>
    <w:rsid w:val="00381B3A"/>
    <w:rsid w:val="003833D5"/>
    <w:rsid w:val="003835C1"/>
    <w:rsid w:val="00383D92"/>
    <w:rsid w:val="003840C9"/>
    <w:rsid w:val="003842EB"/>
    <w:rsid w:val="00384A33"/>
    <w:rsid w:val="00384D12"/>
    <w:rsid w:val="00384E30"/>
    <w:rsid w:val="003851CB"/>
    <w:rsid w:val="0038573B"/>
    <w:rsid w:val="00385AA2"/>
    <w:rsid w:val="00385FEE"/>
    <w:rsid w:val="003867F3"/>
    <w:rsid w:val="003879B9"/>
    <w:rsid w:val="00387C99"/>
    <w:rsid w:val="00391212"/>
    <w:rsid w:val="0039130B"/>
    <w:rsid w:val="00391389"/>
    <w:rsid w:val="003918C7"/>
    <w:rsid w:val="00391C46"/>
    <w:rsid w:val="00391E49"/>
    <w:rsid w:val="00392EAF"/>
    <w:rsid w:val="0039403B"/>
    <w:rsid w:val="00394248"/>
    <w:rsid w:val="00394626"/>
    <w:rsid w:val="00395B1E"/>
    <w:rsid w:val="0039605D"/>
    <w:rsid w:val="003962CA"/>
    <w:rsid w:val="00396FF5"/>
    <w:rsid w:val="00397D70"/>
    <w:rsid w:val="00397EC0"/>
    <w:rsid w:val="003A0479"/>
    <w:rsid w:val="003A12DD"/>
    <w:rsid w:val="003A25CE"/>
    <w:rsid w:val="003A2F42"/>
    <w:rsid w:val="003A2F77"/>
    <w:rsid w:val="003A2FA6"/>
    <w:rsid w:val="003A2FE2"/>
    <w:rsid w:val="003A485B"/>
    <w:rsid w:val="003A4863"/>
    <w:rsid w:val="003A48D7"/>
    <w:rsid w:val="003A5CDC"/>
    <w:rsid w:val="003A60B2"/>
    <w:rsid w:val="003A6131"/>
    <w:rsid w:val="003A70BC"/>
    <w:rsid w:val="003A7159"/>
    <w:rsid w:val="003A7872"/>
    <w:rsid w:val="003A7F78"/>
    <w:rsid w:val="003B0497"/>
    <w:rsid w:val="003B0924"/>
    <w:rsid w:val="003B0A6D"/>
    <w:rsid w:val="003B0D02"/>
    <w:rsid w:val="003B1539"/>
    <w:rsid w:val="003B1A36"/>
    <w:rsid w:val="003B1F11"/>
    <w:rsid w:val="003B2505"/>
    <w:rsid w:val="003B25CD"/>
    <w:rsid w:val="003B2801"/>
    <w:rsid w:val="003B2E70"/>
    <w:rsid w:val="003B32DC"/>
    <w:rsid w:val="003B4DC7"/>
    <w:rsid w:val="003B55D7"/>
    <w:rsid w:val="003B61A1"/>
    <w:rsid w:val="003C0458"/>
    <w:rsid w:val="003C07A7"/>
    <w:rsid w:val="003C0C59"/>
    <w:rsid w:val="003C0E9F"/>
    <w:rsid w:val="003C1388"/>
    <w:rsid w:val="003C1AD2"/>
    <w:rsid w:val="003C1C2A"/>
    <w:rsid w:val="003C252A"/>
    <w:rsid w:val="003C2530"/>
    <w:rsid w:val="003C3D8E"/>
    <w:rsid w:val="003C3E1C"/>
    <w:rsid w:val="003C3EC5"/>
    <w:rsid w:val="003C53A4"/>
    <w:rsid w:val="003C54D1"/>
    <w:rsid w:val="003C59C2"/>
    <w:rsid w:val="003C5A5E"/>
    <w:rsid w:val="003C5DD9"/>
    <w:rsid w:val="003C66E4"/>
    <w:rsid w:val="003C6ADD"/>
    <w:rsid w:val="003C6B05"/>
    <w:rsid w:val="003C6D1F"/>
    <w:rsid w:val="003C6D77"/>
    <w:rsid w:val="003D0B00"/>
    <w:rsid w:val="003D0C06"/>
    <w:rsid w:val="003D17CD"/>
    <w:rsid w:val="003D205B"/>
    <w:rsid w:val="003D2E93"/>
    <w:rsid w:val="003D4995"/>
    <w:rsid w:val="003D522F"/>
    <w:rsid w:val="003D52BC"/>
    <w:rsid w:val="003D533B"/>
    <w:rsid w:val="003D679E"/>
    <w:rsid w:val="003D6807"/>
    <w:rsid w:val="003D7F6B"/>
    <w:rsid w:val="003E0008"/>
    <w:rsid w:val="003E07CB"/>
    <w:rsid w:val="003E14B0"/>
    <w:rsid w:val="003E1555"/>
    <w:rsid w:val="003E175C"/>
    <w:rsid w:val="003E21F6"/>
    <w:rsid w:val="003E3046"/>
    <w:rsid w:val="003E3162"/>
    <w:rsid w:val="003E35E7"/>
    <w:rsid w:val="003E38FA"/>
    <w:rsid w:val="003E4435"/>
    <w:rsid w:val="003E5697"/>
    <w:rsid w:val="003E58BE"/>
    <w:rsid w:val="003E62E2"/>
    <w:rsid w:val="003E6967"/>
    <w:rsid w:val="003E6EEB"/>
    <w:rsid w:val="003E7446"/>
    <w:rsid w:val="003E7880"/>
    <w:rsid w:val="003F16E5"/>
    <w:rsid w:val="003F26AB"/>
    <w:rsid w:val="003F2879"/>
    <w:rsid w:val="003F39EE"/>
    <w:rsid w:val="003F3A2D"/>
    <w:rsid w:val="003F4B79"/>
    <w:rsid w:val="003F5758"/>
    <w:rsid w:val="003F577C"/>
    <w:rsid w:val="003F6317"/>
    <w:rsid w:val="003F64E4"/>
    <w:rsid w:val="003F6751"/>
    <w:rsid w:val="003F680E"/>
    <w:rsid w:val="003F7023"/>
    <w:rsid w:val="00401144"/>
    <w:rsid w:val="004015F4"/>
    <w:rsid w:val="00401B90"/>
    <w:rsid w:val="00401B9D"/>
    <w:rsid w:val="0040326B"/>
    <w:rsid w:val="004045D1"/>
    <w:rsid w:val="00404D75"/>
    <w:rsid w:val="00405892"/>
    <w:rsid w:val="00405F10"/>
    <w:rsid w:val="00406CFD"/>
    <w:rsid w:val="00407025"/>
    <w:rsid w:val="004078D3"/>
    <w:rsid w:val="00407900"/>
    <w:rsid w:val="00407E59"/>
    <w:rsid w:val="00410296"/>
    <w:rsid w:val="0041082D"/>
    <w:rsid w:val="00410CB6"/>
    <w:rsid w:val="00410D93"/>
    <w:rsid w:val="00412FA4"/>
    <w:rsid w:val="004140C7"/>
    <w:rsid w:val="00415BFD"/>
    <w:rsid w:val="00416170"/>
    <w:rsid w:val="004165AE"/>
    <w:rsid w:val="00416D18"/>
    <w:rsid w:val="0042010F"/>
    <w:rsid w:val="004202F6"/>
    <w:rsid w:val="00420FCA"/>
    <w:rsid w:val="004220E9"/>
    <w:rsid w:val="00422885"/>
    <w:rsid w:val="004228B3"/>
    <w:rsid w:val="00422A7E"/>
    <w:rsid w:val="00422F05"/>
    <w:rsid w:val="00423B59"/>
    <w:rsid w:val="00423E0B"/>
    <w:rsid w:val="00424B7A"/>
    <w:rsid w:val="00424F7B"/>
    <w:rsid w:val="004250D0"/>
    <w:rsid w:val="004250E5"/>
    <w:rsid w:val="00426A51"/>
    <w:rsid w:val="0043237C"/>
    <w:rsid w:val="00432430"/>
    <w:rsid w:val="004326FD"/>
    <w:rsid w:val="004330E2"/>
    <w:rsid w:val="004362D4"/>
    <w:rsid w:val="00436434"/>
    <w:rsid w:val="00436BDD"/>
    <w:rsid w:val="004373AC"/>
    <w:rsid w:val="004375C1"/>
    <w:rsid w:val="00437E66"/>
    <w:rsid w:val="004404F3"/>
    <w:rsid w:val="00440BF9"/>
    <w:rsid w:val="00441263"/>
    <w:rsid w:val="004414AF"/>
    <w:rsid w:val="0044243A"/>
    <w:rsid w:val="00443102"/>
    <w:rsid w:val="004432BD"/>
    <w:rsid w:val="00443488"/>
    <w:rsid w:val="0044378C"/>
    <w:rsid w:val="00443BDA"/>
    <w:rsid w:val="00443FF4"/>
    <w:rsid w:val="00444511"/>
    <w:rsid w:val="00444926"/>
    <w:rsid w:val="00444B01"/>
    <w:rsid w:val="0044581D"/>
    <w:rsid w:val="00447C5C"/>
    <w:rsid w:val="00447D81"/>
    <w:rsid w:val="004503EC"/>
    <w:rsid w:val="004508F9"/>
    <w:rsid w:val="004552F6"/>
    <w:rsid w:val="00455AF9"/>
    <w:rsid w:val="00456026"/>
    <w:rsid w:val="0045681B"/>
    <w:rsid w:val="00456BFA"/>
    <w:rsid w:val="004570D4"/>
    <w:rsid w:val="004571BD"/>
    <w:rsid w:val="0045777E"/>
    <w:rsid w:val="004577C9"/>
    <w:rsid w:val="00460EA1"/>
    <w:rsid w:val="00461FF9"/>
    <w:rsid w:val="004623AE"/>
    <w:rsid w:val="00462820"/>
    <w:rsid w:val="0046383D"/>
    <w:rsid w:val="00463B4A"/>
    <w:rsid w:val="00464B2E"/>
    <w:rsid w:val="00465ACA"/>
    <w:rsid w:val="00466A37"/>
    <w:rsid w:val="00466E9D"/>
    <w:rsid w:val="00466ED2"/>
    <w:rsid w:val="0046713E"/>
    <w:rsid w:val="00467872"/>
    <w:rsid w:val="00467FE4"/>
    <w:rsid w:val="0047050D"/>
    <w:rsid w:val="00471586"/>
    <w:rsid w:val="004715AC"/>
    <w:rsid w:val="00472010"/>
    <w:rsid w:val="00472604"/>
    <w:rsid w:val="00472B6E"/>
    <w:rsid w:val="00472D2F"/>
    <w:rsid w:val="00473081"/>
    <w:rsid w:val="00473940"/>
    <w:rsid w:val="00474E95"/>
    <w:rsid w:val="00475BAD"/>
    <w:rsid w:val="004763F0"/>
    <w:rsid w:val="00476BD0"/>
    <w:rsid w:val="004773AF"/>
    <w:rsid w:val="004777D7"/>
    <w:rsid w:val="00480073"/>
    <w:rsid w:val="004808F0"/>
    <w:rsid w:val="00480C34"/>
    <w:rsid w:val="00481570"/>
    <w:rsid w:val="00481721"/>
    <w:rsid w:val="00482191"/>
    <w:rsid w:val="00482682"/>
    <w:rsid w:val="004829BE"/>
    <w:rsid w:val="00482E83"/>
    <w:rsid w:val="00483F6F"/>
    <w:rsid w:val="00484055"/>
    <w:rsid w:val="00484AF0"/>
    <w:rsid w:val="00484DDC"/>
    <w:rsid w:val="004865BD"/>
    <w:rsid w:val="00486A61"/>
    <w:rsid w:val="00486B0B"/>
    <w:rsid w:val="00486ECA"/>
    <w:rsid w:val="004907F5"/>
    <w:rsid w:val="00490E87"/>
    <w:rsid w:val="00491BDF"/>
    <w:rsid w:val="00492DD8"/>
    <w:rsid w:val="00494941"/>
    <w:rsid w:val="00495188"/>
    <w:rsid w:val="004956F0"/>
    <w:rsid w:val="004957C3"/>
    <w:rsid w:val="0049647D"/>
    <w:rsid w:val="00496C93"/>
    <w:rsid w:val="004A10E4"/>
    <w:rsid w:val="004A10E5"/>
    <w:rsid w:val="004A190B"/>
    <w:rsid w:val="004A1FC5"/>
    <w:rsid w:val="004A256B"/>
    <w:rsid w:val="004A3878"/>
    <w:rsid w:val="004A3D3F"/>
    <w:rsid w:val="004A56F9"/>
    <w:rsid w:val="004A5954"/>
    <w:rsid w:val="004A5B0B"/>
    <w:rsid w:val="004A61F0"/>
    <w:rsid w:val="004A6531"/>
    <w:rsid w:val="004A65EC"/>
    <w:rsid w:val="004A6926"/>
    <w:rsid w:val="004A71BA"/>
    <w:rsid w:val="004B02F3"/>
    <w:rsid w:val="004B05AE"/>
    <w:rsid w:val="004B12D2"/>
    <w:rsid w:val="004B18B5"/>
    <w:rsid w:val="004B284B"/>
    <w:rsid w:val="004B2C03"/>
    <w:rsid w:val="004B301F"/>
    <w:rsid w:val="004B319B"/>
    <w:rsid w:val="004B522C"/>
    <w:rsid w:val="004B7144"/>
    <w:rsid w:val="004C0A87"/>
    <w:rsid w:val="004C0C24"/>
    <w:rsid w:val="004C0C79"/>
    <w:rsid w:val="004C1257"/>
    <w:rsid w:val="004C1ACC"/>
    <w:rsid w:val="004C1C22"/>
    <w:rsid w:val="004C2080"/>
    <w:rsid w:val="004C27E3"/>
    <w:rsid w:val="004C2AAA"/>
    <w:rsid w:val="004C395E"/>
    <w:rsid w:val="004C450D"/>
    <w:rsid w:val="004C4EDF"/>
    <w:rsid w:val="004C5448"/>
    <w:rsid w:val="004C56C0"/>
    <w:rsid w:val="004C5CFD"/>
    <w:rsid w:val="004C5F84"/>
    <w:rsid w:val="004C663A"/>
    <w:rsid w:val="004C6B71"/>
    <w:rsid w:val="004C730F"/>
    <w:rsid w:val="004C7797"/>
    <w:rsid w:val="004C7FB3"/>
    <w:rsid w:val="004D05C8"/>
    <w:rsid w:val="004D0B51"/>
    <w:rsid w:val="004D0E90"/>
    <w:rsid w:val="004D1702"/>
    <w:rsid w:val="004D3083"/>
    <w:rsid w:val="004D4221"/>
    <w:rsid w:val="004D4F63"/>
    <w:rsid w:val="004D57F8"/>
    <w:rsid w:val="004D5838"/>
    <w:rsid w:val="004D5D7E"/>
    <w:rsid w:val="004D5E94"/>
    <w:rsid w:val="004D6337"/>
    <w:rsid w:val="004D6AF9"/>
    <w:rsid w:val="004E028F"/>
    <w:rsid w:val="004E066C"/>
    <w:rsid w:val="004E0C4D"/>
    <w:rsid w:val="004E0F4D"/>
    <w:rsid w:val="004E13B0"/>
    <w:rsid w:val="004E140B"/>
    <w:rsid w:val="004E208D"/>
    <w:rsid w:val="004E30B7"/>
    <w:rsid w:val="004E31C1"/>
    <w:rsid w:val="004E38DD"/>
    <w:rsid w:val="004E527E"/>
    <w:rsid w:val="004E5F35"/>
    <w:rsid w:val="004E666D"/>
    <w:rsid w:val="004E72F6"/>
    <w:rsid w:val="004E7D8F"/>
    <w:rsid w:val="004E7F89"/>
    <w:rsid w:val="004F0C98"/>
    <w:rsid w:val="004F16D3"/>
    <w:rsid w:val="004F3138"/>
    <w:rsid w:val="004F4415"/>
    <w:rsid w:val="004F4855"/>
    <w:rsid w:val="004F4BB9"/>
    <w:rsid w:val="004F4DE1"/>
    <w:rsid w:val="004F5BC1"/>
    <w:rsid w:val="004F5F9F"/>
    <w:rsid w:val="004F62C2"/>
    <w:rsid w:val="004F67EA"/>
    <w:rsid w:val="004F6E23"/>
    <w:rsid w:val="004F6F67"/>
    <w:rsid w:val="004F7112"/>
    <w:rsid w:val="004F7227"/>
    <w:rsid w:val="00500299"/>
    <w:rsid w:val="005003BD"/>
    <w:rsid w:val="00500B5F"/>
    <w:rsid w:val="005010C5"/>
    <w:rsid w:val="005019D9"/>
    <w:rsid w:val="00501D26"/>
    <w:rsid w:val="00501ECF"/>
    <w:rsid w:val="005027C7"/>
    <w:rsid w:val="00502917"/>
    <w:rsid w:val="00502FB1"/>
    <w:rsid w:val="005034BF"/>
    <w:rsid w:val="005034F5"/>
    <w:rsid w:val="0050370B"/>
    <w:rsid w:val="005037F7"/>
    <w:rsid w:val="005038D9"/>
    <w:rsid w:val="00503C9C"/>
    <w:rsid w:val="00503E1C"/>
    <w:rsid w:val="00505326"/>
    <w:rsid w:val="00505925"/>
    <w:rsid w:val="005066C8"/>
    <w:rsid w:val="00506FE2"/>
    <w:rsid w:val="00507440"/>
    <w:rsid w:val="00511403"/>
    <w:rsid w:val="00511C87"/>
    <w:rsid w:val="00511E2E"/>
    <w:rsid w:val="0051216F"/>
    <w:rsid w:val="00512430"/>
    <w:rsid w:val="0051298E"/>
    <w:rsid w:val="00512BDE"/>
    <w:rsid w:val="0051330B"/>
    <w:rsid w:val="00514BFE"/>
    <w:rsid w:val="00514D35"/>
    <w:rsid w:val="00515A09"/>
    <w:rsid w:val="00515DD7"/>
    <w:rsid w:val="00516043"/>
    <w:rsid w:val="005160D9"/>
    <w:rsid w:val="00516D26"/>
    <w:rsid w:val="00516E40"/>
    <w:rsid w:val="00517155"/>
    <w:rsid w:val="0051796B"/>
    <w:rsid w:val="00517EE1"/>
    <w:rsid w:val="00517F8D"/>
    <w:rsid w:val="005209CF"/>
    <w:rsid w:val="00520EA0"/>
    <w:rsid w:val="005215B7"/>
    <w:rsid w:val="00521927"/>
    <w:rsid w:val="00521A12"/>
    <w:rsid w:val="00522568"/>
    <w:rsid w:val="00522840"/>
    <w:rsid w:val="005229D1"/>
    <w:rsid w:val="005230CE"/>
    <w:rsid w:val="0052623E"/>
    <w:rsid w:val="0052632D"/>
    <w:rsid w:val="00526E40"/>
    <w:rsid w:val="00526F12"/>
    <w:rsid w:val="005277B7"/>
    <w:rsid w:val="00530C71"/>
    <w:rsid w:val="005324D1"/>
    <w:rsid w:val="00532EF6"/>
    <w:rsid w:val="0053305F"/>
    <w:rsid w:val="00533637"/>
    <w:rsid w:val="00533BDE"/>
    <w:rsid w:val="00533D54"/>
    <w:rsid w:val="0053427E"/>
    <w:rsid w:val="00534A9C"/>
    <w:rsid w:val="00534BD3"/>
    <w:rsid w:val="00534FBB"/>
    <w:rsid w:val="005350F2"/>
    <w:rsid w:val="00535118"/>
    <w:rsid w:val="00535F8D"/>
    <w:rsid w:val="00536E35"/>
    <w:rsid w:val="00536EDB"/>
    <w:rsid w:val="0054042C"/>
    <w:rsid w:val="00540E81"/>
    <w:rsid w:val="00541621"/>
    <w:rsid w:val="005417CA"/>
    <w:rsid w:val="00542E3B"/>
    <w:rsid w:val="0054348B"/>
    <w:rsid w:val="00543599"/>
    <w:rsid w:val="0054360B"/>
    <w:rsid w:val="005436B1"/>
    <w:rsid w:val="0054396D"/>
    <w:rsid w:val="00543C1C"/>
    <w:rsid w:val="00543E06"/>
    <w:rsid w:val="00544B0D"/>
    <w:rsid w:val="00545862"/>
    <w:rsid w:val="00546EB0"/>
    <w:rsid w:val="00547D69"/>
    <w:rsid w:val="005506D8"/>
    <w:rsid w:val="00551267"/>
    <w:rsid w:val="005515C3"/>
    <w:rsid w:val="00551A7E"/>
    <w:rsid w:val="00552245"/>
    <w:rsid w:val="00552623"/>
    <w:rsid w:val="00552AFD"/>
    <w:rsid w:val="0055321C"/>
    <w:rsid w:val="005533B5"/>
    <w:rsid w:val="005533E9"/>
    <w:rsid w:val="005536A1"/>
    <w:rsid w:val="005565F7"/>
    <w:rsid w:val="00556914"/>
    <w:rsid w:val="00557955"/>
    <w:rsid w:val="00557BCF"/>
    <w:rsid w:val="00557E8A"/>
    <w:rsid w:val="005600B7"/>
    <w:rsid w:val="005601D4"/>
    <w:rsid w:val="0056030C"/>
    <w:rsid w:val="00560506"/>
    <w:rsid w:val="005614C8"/>
    <w:rsid w:val="005622CA"/>
    <w:rsid w:val="0056253E"/>
    <w:rsid w:val="00562907"/>
    <w:rsid w:val="005629DF"/>
    <w:rsid w:val="00563519"/>
    <w:rsid w:val="0056417E"/>
    <w:rsid w:val="00564298"/>
    <w:rsid w:val="00565515"/>
    <w:rsid w:val="00565CD2"/>
    <w:rsid w:val="00566435"/>
    <w:rsid w:val="005665B1"/>
    <w:rsid w:val="00566AA2"/>
    <w:rsid w:val="005670AA"/>
    <w:rsid w:val="0056770E"/>
    <w:rsid w:val="00567F7D"/>
    <w:rsid w:val="0056DFEB"/>
    <w:rsid w:val="00570746"/>
    <w:rsid w:val="00570BDC"/>
    <w:rsid w:val="00571F0F"/>
    <w:rsid w:val="005720B2"/>
    <w:rsid w:val="00573163"/>
    <w:rsid w:val="005738C6"/>
    <w:rsid w:val="0057413E"/>
    <w:rsid w:val="00574520"/>
    <w:rsid w:val="005746B9"/>
    <w:rsid w:val="00575293"/>
    <w:rsid w:val="00575507"/>
    <w:rsid w:val="00575A62"/>
    <w:rsid w:val="00576CD0"/>
    <w:rsid w:val="00577879"/>
    <w:rsid w:val="005779D5"/>
    <w:rsid w:val="0058106E"/>
    <w:rsid w:val="00581536"/>
    <w:rsid w:val="00581AA8"/>
    <w:rsid w:val="0058283E"/>
    <w:rsid w:val="00582CDF"/>
    <w:rsid w:val="00583974"/>
    <w:rsid w:val="005845DC"/>
    <w:rsid w:val="00584AD0"/>
    <w:rsid w:val="00585253"/>
    <w:rsid w:val="0058581F"/>
    <w:rsid w:val="00585D16"/>
    <w:rsid w:val="00585ED6"/>
    <w:rsid w:val="005861EE"/>
    <w:rsid w:val="00586543"/>
    <w:rsid w:val="005868C6"/>
    <w:rsid w:val="00587FA9"/>
    <w:rsid w:val="005901E6"/>
    <w:rsid w:val="00590387"/>
    <w:rsid w:val="0059043A"/>
    <w:rsid w:val="00590A1C"/>
    <w:rsid w:val="00591D9D"/>
    <w:rsid w:val="00592668"/>
    <w:rsid w:val="00592FCE"/>
    <w:rsid w:val="005934C6"/>
    <w:rsid w:val="0059351C"/>
    <w:rsid w:val="00596E79"/>
    <w:rsid w:val="005A05F6"/>
    <w:rsid w:val="005A1207"/>
    <w:rsid w:val="005A16E4"/>
    <w:rsid w:val="005A1BF2"/>
    <w:rsid w:val="005A1C6D"/>
    <w:rsid w:val="005A2572"/>
    <w:rsid w:val="005A2CEF"/>
    <w:rsid w:val="005A3036"/>
    <w:rsid w:val="005A3811"/>
    <w:rsid w:val="005A3B58"/>
    <w:rsid w:val="005A3DCD"/>
    <w:rsid w:val="005A3DE4"/>
    <w:rsid w:val="005A4AF4"/>
    <w:rsid w:val="005A581C"/>
    <w:rsid w:val="005A7051"/>
    <w:rsid w:val="005A7620"/>
    <w:rsid w:val="005A7B1B"/>
    <w:rsid w:val="005B0A8C"/>
    <w:rsid w:val="005B0F60"/>
    <w:rsid w:val="005B1BCC"/>
    <w:rsid w:val="005B1D83"/>
    <w:rsid w:val="005B1F6B"/>
    <w:rsid w:val="005B294E"/>
    <w:rsid w:val="005B2F44"/>
    <w:rsid w:val="005B2F6F"/>
    <w:rsid w:val="005B397C"/>
    <w:rsid w:val="005B449A"/>
    <w:rsid w:val="005B4AF7"/>
    <w:rsid w:val="005B50D7"/>
    <w:rsid w:val="005B5A0A"/>
    <w:rsid w:val="005B5CED"/>
    <w:rsid w:val="005B6852"/>
    <w:rsid w:val="005B76BA"/>
    <w:rsid w:val="005B774B"/>
    <w:rsid w:val="005B7C7A"/>
    <w:rsid w:val="005C0295"/>
    <w:rsid w:val="005C0BEB"/>
    <w:rsid w:val="005C1C64"/>
    <w:rsid w:val="005C2970"/>
    <w:rsid w:val="005C2C7D"/>
    <w:rsid w:val="005C2FE7"/>
    <w:rsid w:val="005C334D"/>
    <w:rsid w:val="005C33F6"/>
    <w:rsid w:val="005C3A2E"/>
    <w:rsid w:val="005C3F70"/>
    <w:rsid w:val="005C422C"/>
    <w:rsid w:val="005C4780"/>
    <w:rsid w:val="005C4FCA"/>
    <w:rsid w:val="005C58AD"/>
    <w:rsid w:val="005C59F8"/>
    <w:rsid w:val="005C5DA4"/>
    <w:rsid w:val="005C7235"/>
    <w:rsid w:val="005C72F9"/>
    <w:rsid w:val="005C73CB"/>
    <w:rsid w:val="005C7785"/>
    <w:rsid w:val="005C7EBF"/>
    <w:rsid w:val="005D0542"/>
    <w:rsid w:val="005D079B"/>
    <w:rsid w:val="005D0CF4"/>
    <w:rsid w:val="005D1D76"/>
    <w:rsid w:val="005D2296"/>
    <w:rsid w:val="005D239C"/>
    <w:rsid w:val="005D2771"/>
    <w:rsid w:val="005D2B41"/>
    <w:rsid w:val="005D3E06"/>
    <w:rsid w:val="005D3E64"/>
    <w:rsid w:val="005D46D4"/>
    <w:rsid w:val="005D66B9"/>
    <w:rsid w:val="005D6C5F"/>
    <w:rsid w:val="005D723F"/>
    <w:rsid w:val="005E0624"/>
    <w:rsid w:val="005E1075"/>
    <w:rsid w:val="005E1701"/>
    <w:rsid w:val="005E1761"/>
    <w:rsid w:val="005E1B69"/>
    <w:rsid w:val="005E36A2"/>
    <w:rsid w:val="005E3987"/>
    <w:rsid w:val="005E42E5"/>
    <w:rsid w:val="005E471A"/>
    <w:rsid w:val="005E4761"/>
    <w:rsid w:val="005E5FB4"/>
    <w:rsid w:val="005E6B7A"/>
    <w:rsid w:val="005E6B85"/>
    <w:rsid w:val="005E708D"/>
    <w:rsid w:val="005F0FEE"/>
    <w:rsid w:val="005F1206"/>
    <w:rsid w:val="005F12BB"/>
    <w:rsid w:val="005F168A"/>
    <w:rsid w:val="005F2141"/>
    <w:rsid w:val="005F25B7"/>
    <w:rsid w:val="005F2D22"/>
    <w:rsid w:val="005F35BF"/>
    <w:rsid w:val="005F439A"/>
    <w:rsid w:val="005F4A78"/>
    <w:rsid w:val="005F5907"/>
    <w:rsid w:val="005F5B15"/>
    <w:rsid w:val="005F6BD8"/>
    <w:rsid w:val="005F706F"/>
    <w:rsid w:val="0060182A"/>
    <w:rsid w:val="006019DC"/>
    <w:rsid w:val="00601A4D"/>
    <w:rsid w:val="00601B49"/>
    <w:rsid w:val="00603AC3"/>
    <w:rsid w:val="00604B21"/>
    <w:rsid w:val="0060504A"/>
    <w:rsid w:val="006052FB"/>
    <w:rsid w:val="0060602D"/>
    <w:rsid w:val="00607CAD"/>
    <w:rsid w:val="006113C5"/>
    <w:rsid w:val="00612838"/>
    <w:rsid w:val="00612A08"/>
    <w:rsid w:val="00612A3D"/>
    <w:rsid w:val="00612BC6"/>
    <w:rsid w:val="00613562"/>
    <w:rsid w:val="00613A99"/>
    <w:rsid w:val="006141A8"/>
    <w:rsid w:val="0061437D"/>
    <w:rsid w:val="00614696"/>
    <w:rsid w:val="00614CB0"/>
    <w:rsid w:val="00614D66"/>
    <w:rsid w:val="00615DE4"/>
    <w:rsid w:val="00615F07"/>
    <w:rsid w:val="00615F3D"/>
    <w:rsid w:val="0061605A"/>
    <w:rsid w:val="0061635C"/>
    <w:rsid w:val="00616EA6"/>
    <w:rsid w:val="006171F7"/>
    <w:rsid w:val="006207A1"/>
    <w:rsid w:val="00621165"/>
    <w:rsid w:val="00621222"/>
    <w:rsid w:val="0062279F"/>
    <w:rsid w:val="006228F2"/>
    <w:rsid w:val="00622954"/>
    <w:rsid w:val="0062384F"/>
    <w:rsid w:val="00624674"/>
    <w:rsid w:val="00624E3A"/>
    <w:rsid w:val="0062635D"/>
    <w:rsid w:val="00626810"/>
    <w:rsid w:val="00626CB6"/>
    <w:rsid w:val="006319C6"/>
    <w:rsid w:val="00631E4A"/>
    <w:rsid w:val="00632310"/>
    <w:rsid w:val="00632940"/>
    <w:rsid w:val="0063354E"/>
    <w:rsid w:val="006344E3"/>
    <w:rsid w:val="00634661"/>
    <w:rsid w:val="00634964"/>
    <w:rsid w:val="00635EE6"/>
    <w:rsid w:val="00636065"/>
    <w:rsid w:val="006366FB"/>
    <w:rsid w:val="00636E06"/>
    <w:rsid w:val="006374ED"/>
    <w:rsid w:val="006375AF"/>
    <w:rsid w:val="006406CC"/>
    <w:rsid w:val="006410E3"/>
    <w:rsid w:val="00641C48"/>
    <w:rsid w:val="0064325F"/>
    <w:rsid w:val="0064376E"/>
    <w:rsid w:val="00644DD8"/>
    <w:rsid w:val="00645549"/>
    <w:rsid w:val="00647055"/>
    <w:rsid w:val="00647C8A"/>
    <w:rsid w:val="00647DDB"/>
    <w:rsid w:val="0065150B"/>
    <w:rsid w:val="00651882"/>
    <w:rsid w:val="00651BE1"/>
    <w:rsid w:val="006527E7"/>
    <w:rsid w:val="00652819"/>
    <w:rsid w:val="00652D3B"/>
    <w:rsid w:val="00653868"/>
    <w:rsid w:val="006538B0"/>
    <w:rsid w:val="0065393F"/>
    <w:rsid w:val="00653EF7"/>
    <w:rsid w:val="00654D0C"/>
    <w:rsid w:val="00655A36"/>
    <w:rsid w:val="0065611C"/>
    <w:rsid w:val="00656C71"/>
    <w:rsid w:val="006571CD"/>
    <w:rsid w:val="00657684"/>
    <w:rsid w:val="00657E58"/>
    <w:rsid w:val="006600E9"/>
    <w:rsid w:val="00660265"/>
    <w:rsid w:val="006606C8"/>
    <w:rsid w:val="00660A00"/>
    <w:rsid w:val="00660D20"/>
    <w:rsid w:val="00661147"/>
    <w:rsid w:val="006616EB"/>
    <w:rsid w:val="00661A41"/>
    <w:rsid w:val="00661F55"/>
    <w:rsid w:val="006622F8"/>
    <w:rsid w:val="006630E3"/>
    <w:rsid w:val="006637FF"/>
    <w:rsid w:val="006640D7"/>
    <w:rsid w:val="00664251"/>
    <w:rsid w:val="00664373"/>
    <w:rsid w:val="006647A7"/>
    <w:rsid w:val="00664CF1"/>
    <w:rsid w:val="00665806"/>
    <w:rsid w:val="006659A8"/>
    <w:rsid w:val="00666776"/>
    <w:rsid w:val="006668C4"/>
    <w:rsid w:val="00666EA4"/>
    <w:rsid w:val="00667011"/>
    <w:rsid w:val="00670A3E"/>
    <w:rsid w:val="00670AFD"/>
    <w:rsid w:val="00670C27"/>
    <w:rsid w:val="006713B5"/>
    <w:rsid w:val="00671717"/>
    <w:rsid w:val="0067526C"/>
    <w:rsid w:val="00676353"/>
    <w:rsid w:val="0067649A"/>
    <w:rsid w:val="0067685A"/>
    <w:rsid w:val="00680BAA"/>
    <w:rsid w:val="00682455"/>
    <w:rsid w:val="0068371D"/>
    <w:rsid w:val="00684F58"/>
    <w:rsid w:val="0068511E"/>
    <w:rsid w:val="0068621B"/>
    <w:rsid w:val="00686367"/>
    <w:rsid w:val="006865FB"/>
    <w:rsid w:val="00686B2B"/>
    <w:rsid w:val="0068786B"/>
    <w:rsid w:val="00687BB8"/>
    <w:rsid w:val="006900C3"/>
    <w:rsid w:val="00690674"/>
    <w:rsid w:val="00691148"/>
    <w:rsid w:val="00691D1C"/>
    <w:rsid w:val="006926E7"/>
    <w:rsid w:val="00692B1E"/>
    <w:rsid w:val="00692EE5"/>
    <w:rsid w:val="00693C9D"/>
    <w:rsid w:val="00694645"/>
    <w:rsid w:val="00694CB1"/>
    <w:rsid w:val="00695544"/>
    <w:rsid w:val="00696B3D"/>
    <w:rsid w:val="0069748B"/>
    <w:rsid w:val="00697A6B"/>
    <w:rsid w:val="00697E53"/>
    <w:rsid w:val="006A0A3E"/>
    <w:rsid w:val="006A16C5"/>
    <w:rsid w:val="006A17F7"/>
    <w:rsid w:val="006A1E46"/>
    <w:rsid w:val="006A205C"/>
    <w:rsid w:val="006A32A5"/>
    <w:rsid w:val="006A44EA"/>
    <w:rsid w:val="006A4596"/>
    <w:rsid w:val="006A4987"/>
    <w:rsid w:val="006A4A26"/>
    <w:rsid w:val="006A4C55"/>
    <w:rsid w:val="006A4E15"/>
    <w:rsid w:val="006A5A01"/>
    <w:rsid w:val="006A658D"/>
    <w:rsid w:val="006A7370"/>
    <w:rsid w:val="006B0053"/>
    <w:rsid w:val="006B013B"/>
    <w:rsid w:val="006B048D"/>
    <w:rsid w:val="006B07A5"/>
    <w:rsid w:val="006B0B98"/>
    <w:rsid w:val="006B0DB9"/>
    <w:rsid w:val="006B10DE"/>
    <w:rsid w:val="006B11C5"/>
    <w:rsid w:val="006B1360"/>
    <w:rsid w:val="006B13B4"/>
    <w:rsid w:val="006B2015"/>
    <w:rsid w:val="006B2090"/>
    <w:rsid w:val="006B2282"/>
    <w:rsid w:val="006B23BF"/>
    <w:rsid w:val="006B2991"/>
    <w:rsid w:val="006B323E"/>
    <w:rsid w:val="006B3588"/>
    <w:rsid w:val="006B45B9"/>
    <w:rsid w:val="006B4BFA"/>
    <w:rsid w:val="006B55D2"/>
    <w:rsid w:val="006B78A1"/>
    <w:rsid w:val="006B7922"/>
    <w:rsid w:val="006B7CB1"/>
    <w:rsid w:val="006B7E79"/>
    <w:rsid w:val="006C03A8"/>
    <w:rsid w:val="006C072A"/>
    <w:rsid w:val="006C086A"/>
    <w:rsid w:val="006C0AED"/>
    <w:rsid w:val="006C0C4B"/>
    <w:rsid w:val="006C1732"/>
    <w:rsid w:val="006C2582"/>
    <w:rsid w:val="006C2643"/>
    <w:rsid w:val="006C2801"/>
    <w:rsid w:val="006C2B8D"/>
    <w:rsid w:val="006C4324"/>
    <w:rsid w:val="006C4546"/>
    <w:rsid w:val="006C49C0"/>
    <w:rsid w:val="006C4A06"/>
    <w:rsid w:val="006C59E4"/>
    <w:rsid w:val="006C5AC2"/>
    <w:rsid w:val="006C5C91"/>
    <w:rsid w:val="006C5D1B"/>
    <w:rsid w:val="006C750C"/>
    <w:rsid w:val="006D1BD1"/>
    <w:rsid w:val="006D2449"/>
    <w:rsid w:val="006D2F39"/>
    <w:rsid w:val="006D4F22"/>
    <w:rsid w:val="006D5C8C"/>
    <w:rsid w:val="006D5E13"/>
    <w:rsid w:val="006D61D1"/>
    <w:rsid w:val="006D6578"/>
    <w:rsid w:val="006D6D23"/>
    <w:rsid w:val="006D70DD"/>
    <w:rsid w:val="006D7C45"/>
    <w:rsid w:val="006D7D59"/>
    <w:rsid w:val="006E1088"/>
    <w:rsid w:val="006E191A"/>
    <w:rsid w:val="006E2132"/>
    <w:rsid w:val="006E3155"/>
    <w:rsid w:val="006E31EC"/>
    <w:rsid w:val="006E387A"/>
    <w:rsid w:val="006E3AB2"/>
    <w:rsid w:val="006E3CC0"/>
    <w:rsid w:val="006E430A"/>
    <w:rsid w:val="006E484D"/>
    <w:rsid w:val="006E4EB4"/>
    <w:rsid w:val="006E55AE"/>
    <w:rsid w:val="006E6ACB"/>
    <w:rsid w:val="006E6E73"/>
    <w:rsid w:val="006F01F1"/>
    <w:rsid w:val="006F0CC7"/>
    <w:rsid w:val="006F0D20"/>
    <w:rsid w:val="006F0EFD"/>
    <w:rsid w:val="006F1D36"/>
    <w:rsid w:val="006F1F94"/>
    <w:rsid w:val="006F26B8"/>
    <w:rsid w:val="006F3A74"/>
    <w:rsid w:val="006F4165"/>
    <w:rsid w:val="006F4512"/>
    <w:rsid w:val="006F4806"/>
    <w:rsid w:val="006F63CC"/>
    <w:rsid w:val="006F6C76"/>
    <w:rsid w:val="006F735B"/>
    <w:rsid w:val="006F7ABA"/>
    <w:rsid w:val="00700A86"/>
    <w:rsid w:val="00701119"/>
    <w:rsid w:val="007018E5"/>
    <w:rsid w:val="00702433"/>
    <w:rsid w:val="00702C5B"/>
    <w:rsid w:val="00702E40"/>
    <w:rsid w:val="007038A5"/>
    <w:rsid w:val="00703A46"/>
    <w:rsid w:val="00704183"/>
    <w:rsid w:val="00704E69"/>
    <w:rsid w:val="00705ADE"/>
    <w:rsid w:val="00706FB3"/>
    <w:rsid w:val="00707A94"/>
    <w:rsid w:val="00707B7C"/>
    <w:rsid w:val="00707C00"/>
    <w:rsid w:val="0071204D"/>
    <w:rsid w:val="007120BA"/>
    <w:rsid w:val="00713837"/>
    <w:rsid w:val="00714F62"/>
    <w:rsid w:val="007151F0"/>
    <w:rsid w:val="0071526C"/>
    <w:rsid w:val="00715393"/>
    <w:rsid w:val="00717219"/>
    <w:rsid w:val="00717781"/>
    <w:rsid w:val="00720179"/>
    <w:rsid w:val="00720756"/>
    <w:rsid w:val="00722890"/>
    <w:rsid w:val="00722E7F"/>
    <w:rsid w:val="00723CCF"/>
    <w:rsid w:val="00724195"/>
    <w:rsid w:val="007244BB"/>
    <w:rsid w:val="00725686"/>
    <w:rsid w:val="007257FF"/>
    <w:rsid w:val="00725EB0"/>
    <w:rsid w:val="007267F0"/>
    <w:rsid w:val="00726CA4"/>
    <w:rsid w:val="00731D77"/>
    <w:rsid w:val="00732B3A"/>
    <w:rsid w:val="007332EA"/>
    <w:rsid w:val="00733819"/>
    <w:rsid w:val="007338C9"/>
    <w:rsid w:val="00734C15"/>
    <w:rsid w:val="0073566B"/>
    <w:rsid w:val="00735F8F"/>
    <w:rsid w:val="0073739E"/>
    <w:rsid w:val="007403E2"/>
    <w:rsid w:val="00740B92"/>
    <w:rsid w:val="0074103B"/>
    <w:rsid w:val="007419B2"/>
    <w:rsid w:val="00742B7E"/>
    <w:rsid w:val="007439B6"/>
    <w:rsid w:val="00743E32"/>
    <w:rsid w:val="0074480A"/>
    <w:rsid w:val="0074570B"/>
    <w:rsid w:val="00747255"/>
    <w:rsid w:val="00747C78"/>
    <w:rsid w:val="00750E37"/>
    <w:rsid w:val="00752152"/>
    <w:rsid w:val="00753212"/>
    <w:rsid w:val="007532A7"/>
    <w:rsid w:val="00753CFE"/>
    <w:rsid w:val="00753FAA"/>
    <w:rsid w:val="00754A44"/>
    <w:rsid w:val="00754C0B"/>
    <w:rsid w:val="00754F95"/>
    <w:rsid w:val="007560A8"/>
    <w:rsid w:val="0075618E"/>
    <w:rsid w:val="0075640F"/>
    <w:rsid w:val="00756B40"/>
    <w:rsid w:val="00756D37"/>
    <w:rsid w:val="00757187"/>
    <w:rsid w:val="00760E74"/>
    <w:rsid w:val="0076155E"/>
    <w:rsid w:val="00761588"/>
    <w:rsid w:val="00762E3C"/>
    <w:rsid w:val="0076337F"/>
    <w:rsid w:val="00763A14"/>
    <w:rsid w:val="00763F77"/>
    <w:rsid w:val="00764809"/>
    <w:rsid w:val="00764EF7"/>
    <w:rsid w:val="0076534D"/>
    <w:rsid w:val="00765D54"/>
    <w:rsid w:val="00765DBC"/>
    <w:rsid w:val="007666D2"/>
    <w:rsid w:val="007706F7"/>
    <w:rsid w:val="00770917"/>
    <w:rsid w:val="00771D39"/>
    <w:rsid w:val="00772693"/>
    <w:rsid w:val="007736BC"/>
    <w:rsid w:val="00775B58"/>
    <w:rsid w:val="00775BC7"/>
    <w:rsid w:val="00775CE6"/>
    <w:rsid w:val="0077689A"/>
    <w:rsid w:val="00777BD4"/>
    <w:rsid w:val="00777D5F"/>
    <w:rsid w:val="00780690"/>
    <w:rsid w:val="0078153B"/>
    <w:rsid w:val="00781A09"/>
    <w:rsid w:val="00782DA4"/>
    <w:rsid w:val="0078326F"/>
    <w:rsid w:val="00783278"/>
    <w:rsid w:val="00783B8F"/>
    <w:rsid w:val="007842C1"/>
    <w:rsid w:val="0078513B"/>
    <w:rsid w:val="00785EA1"/>
    <w:rsid w:val="00786842"/>
    <w:rsid w:val="00790C5A"/>
    <w:rsid w:val="00790CA1"/>
    <w:rsid w:val="00790FBC"/>
    <w:rsid w:val="0079195A"/>
    <w:rsid w:val="00791964"/>
    <w:rsid w:val="007929FF"/>
    <w:rsid w:val="00792ED6"/>
    <w:rsid w:val="0079324E"/>
    <w:rsid w:val="007932B3"/>
    <w:rsid w:val="007932FB"/>
    <w:rsid w:val="00794E07"/>
    <w:rsid w:val="00795828"/>
    <w:rsid w:val="00795F85"/>
    <w:rsid w:val="00796DE1"/>
    <w:rsid w:val="0079730D"/>
    <w:rsid w:val="007974F9"/>
    <w:rsid w:val="007977D4"/>
    <w:rsid w:val="00797B29"/>
    <w:rsid w:val="00797D1E"/>
    <w:rsid w:val="007A0158"/>
    <w:rsid w:val="007A064A"/>
    <w:rsid w:val="007A11B4"/>
    <w:rsid w:val="007A193F"/>
    <w:rsid w:val="007A1C61"/>
    <w:rsid w:val="007A1D04"/>
    <w:rsid w:val="007A2673"/>
    <w:rsid w:val="007A2881"/>
    <w:rsid w:val="007A2EE6"/>
    <w:rsid w:val="007A5DAF"/>
    <w:rsid w:val="007A6FC2"/>
    <w:rsid w:val="007A7422"/>
    <w:rsid w:val="007A7B95"/>
    <w:rsid w:val="007B0A1A"/>
    <w:rsid w:val="007B15A9"/>
    <w:rsid w:val="007B19AD"/>
    <w:rsid w:val="007B1B4A"/>
    <w:rsid w:val="007B21CA"/>
    <w:rsid w:val="007B2B06"/>
    <w:rsid w:val="007B2B5D"/>
    <w:rsid w:val="007B2D79"/>
    <w:rsid w:val="007B2FCE"/>
    <w:rsid w:val="007B4417"/>
    <w:rsid w:val="007B5C47"/>
    <w:rsid w:val="007B5E0B"/>
    <w:rsid w:val="007B6B1E"/>
    <w:rsid w:val="007B6D76"/>
    <w:rsid w:val="007C0997"/>
    <w:rsid w:val="007C14DA"/>
    <w:rsid w:val="007C15C9"/>
    <w:rsid w:val="007C16C9"/>
    <w:rsid w:val="007C2551"/>
    <w:rsid w:val="007C366B"/>
    <w:rsid w:val="007C4067"/>
    <w:rsid w:val="007C40EE"/>
    <w:rsid w:val="007C412B"/>
    <w:rsid w:val="007C4417"/>
    <w:rsid w:val="007C5458"/>
    <w:rsid w:val="007C61A8"/>
    <w:rsid w:val="007C70FE"/>
    <w:rsid w:val="007C7420"/>
    <w:rsid w:val="007C7594"/>
    <w:rsid w:val="007D04F4"/>
    <w:rsid w:val="007D09F4"/>
    <w:rsid w:val="007D0B29"/>
    <w:rsid w:val="007D0CAD"/>
    <w:rsid w:val="007D0E4D"/>
    <w:rsid w:val="007D2E77"/>
    <w:rsid w:val="007D3BFA"/>
    <w:rsid w:val="007D461A"/>
    <w:rsid w:val="007D5AC9"/>
    <w:rsid w:val="007D62DB"/>
    <w:rsid w:val="007D639D"/>
    <w:rsid w:val="007D729C"/>
    <w:rsid w:val="007D7ED5"/>
    <w:rsid w:val="007E0806"/>
    <w:rsid w:val="007E13DD"/>
    <w:rsid w:val="007E1491"/>
    <w:rsid w:val="007E2075"/>
    <w:rsid w:val="007E212D"/>
    <w:rsid w:val="007E28FF"/>
    <w:rsid w:val="007E299E"/>
    <w:rsid w:val="007E2C24"/>
    <w:rsid w:val="007E2EAB"/>
    <w:rsid w:val="007E3E90"/>
    <w:rsid w:val="007E3F8C"/>
    <w:rsid w:val="007E400E"/>
    <w:rsid w:val="007E40C8"/>
    <w:rsid w:val="007E4D35"/>
    <w:rsid w:val="007E5514"/>
    <w:rsid w:val="007E5866"/>
    <w:rsid w:val="007E5A31"/>
    <w:rsid w:val="007E7058"/>
    <w:rsid w:val="007E7C4A"/>
    <w:rsid w:val="007F0ADE"/>
    <w:rsid w:val="007F0E14"/>
    <w:rsid w:val="007F1F35"/>
    <w:rsid w:val="007F2864"/>
    <w:rsid w:val="007F2F48"/>
    <w:rsid w:val="007F3790"/>
    <w:rsid w:val="007F392B"/>
    <w:rsid w:val="007F3CF5"/>
    <w:rsid w:val="007F3FDB"/>
    <w:rsid w:val="007F42CB"/>
    <w:rsid w:val="007F45C9"/>
    <w:rsid w:val="007F58B1"/>
    <w:rsid w:val="007F6820"/>
    <w:rsid w:val="007F7890"/>
    <w:rsid w:val="00801D4F"/>
    <w:rsid w:val="00801F55"/>
    <w:rsid w:val="00802B87"/>
    <w:rsid w:val="00804314"/>
    <w:rsid w:val="00804BB5"/>
    <w:rsid w:val="00807BEF"/>
    <w:rsid w:val="00807EA0"/>
    <w:rsid w:val="0080F21B"/>
    <w:rsid w:val="00810720"/>
    <w:rsid w:val="00810D1A"/>
    <w:rsid w:val="008112E2"/>
    <w:rsid w:val="008118C4"/>
    <w:rsid w:val="00811F50"/>
    <w:rsid w:val="0081215B"/>
    <w:rsid w:val="00813224"/>
    <w:rsid w:val="00813C4E"/>
    <w:rsid w:val="00813E30"/>
    <w:rsid w:val="0081419A"/>
    <w:rsid w:val="008158E0"/>
    <w:rsid w:val="00815B09"/>
    <w:rsid w:val="00815CEA"/>
    <w:rsid w:val="00815FA0"/>
    <w:rsid w:val="00816B5B"/>
    <w:rsid w:val="00817BA3"/>
    <w:rsid w:val="00820E02"/>
    <w:rsid w:val="00821BAD"/>
    <w:rsid w:val="00822A4E"/>
    <w:rsid w:val="00822C12"/>
    <w:rsid w:val="00822E67"/>
    <w:rsid w:val="00822F80"/>
    <w:rsid w:val="00823393"/>
    <w:rsid w:val="00823534"/>
    <w:rsid w:val="008240B6"/>
    <w:rsid w:val="008245ED"/>
    <w:rsid w:val="00824989"/>
    <w:rsid w:val="0082672B"/>
    <w:rsid w:val="00826CC1"/>
    <w:rsid w:val="00827AF9"/>
    <w:rsid w:val="00830801"/>
    <w:rsid w:val="008309D2"/>
    <w:rsid w:val="00832050"/>
    <w:rsid w:val="0083215E"/>
    <w:rsid w:val="00832897"/>
    <w:rsid w:val="00832FED"/>
    <w:rsid w:val="00833228"/>
    <w:rsid w:val="00833D06"/>
    <w:rsid w:val="00833FEB"/>
    <w:rsid w:val="00834953"/>
    <w:rsid w:val="00834CC7"/>
    <w:rsid w:val="00834FF6"/>
    <w:rsid w:val="008359A4"/>
    <w:rsid w:val="00835CFA"/>
    <w:rsid w:val="00835F4C"/>
    <w:rsid w:val="008366B7"/>
    <w:rsid w:val="00836F6E"/>
    <w:rsid w:val="00837451"/>
    <w:rsid w:val="00840041"/>
    <w:rsid w:val="0084065F"/>
    <w:rsid w:val="008407DF"/>
    <w:rsid w:val="008410E9"/>
    <w:rsid w:val="00841A53"/>
    <w:rsid w:val="00843E51"/>
    <w:rsid w:val="00844B39"/>
    <w:rsid w:val="00844D32"/>
    <w:rsid w:val="00845291"/>
    <w:rsid w:val="008459B0"/>
    <w:rsid w:val="00847244"/>
    <w:rsid w:val="00847CCE"/>
    <w:rsid w:val="00847CD7"/>
    <w:rsid w:val="008524E1"/>
    <w:rsid w:val="0085364D"/>
    <w:rsid w:val="00854220"/>
    <w:rsid w:val="00854882"/>
    <w:rsid w:val="008550D6"/>
    <w:rsid w:val="008557A0"/>
    <w:rsid w:val="00855AC9"/>
    <w:rsid w:val="00855CDD"/>
    <w:rsid w:val="00855D2E"/>
    <w:rsid w:val="00855EA0"/>
    <w:rsid w:val="00855EA9"/>
    <w:rsid w:val="00855F3A"/>
    <w:rsid w:val="00856148"/>
    <w:rsid w:val="008562CA"/>
    <w:rsid w:val="00856CAA"/>
    <w:rsid w:val="00860F90"/>
    <w:rsid w:val="00861398"/>
    <w:rsid w:val="00861821"/>
    <w:rsid w:val="00861A2E"/>
    <w:rsid w:val="00861C32"/>
    <w:rsid w:val="008625A8"/>
    <w:rsid w:val="0086290D"/>
    <w:rsid w:val="008632D7"/>
    <w:rsid w:val="00863817"/>
    <w:rsid w:val="00865C70"/>
    <w:rsid w:val="0086609A"/>
    <w:rsid w:val="0086673E"/>
    <w:rsid w:val="00866D3E"/>
    <w:rsid w:val="008675FD"/>
    <w:rsid w:val="008678C1"/>
    <w:rsid w:val="0087057C"/>
    <w:rsid w:val="00870A4E"/>
    <w:rsid w:val="00870B44"/>
    <w:rsid w:val="00871072"/>
    <w:rsid w:val="00871660"/>
    <w:rsid w:val="00871860"/>
    <w:rsid w:val="008733DA"/>
    <w:rsid w:val="00873A05"/>
    <w:rsid w:val="00875280"/>
    <w:rsid w:val="00875395"/>
    <w:rsid w:val="008757D0"/>
    <w:rsid w:val="00875E3F"/>
    <w:rsid w:val="00875F83"/>
    <w:rsid w:val="008765A4"/>
    <w:rsid w:val="00876692"/>
    <w:rsid w:val="00876806"/>
    <w:rsid w:val="008805C9"/>
    <w:rsid w:val="0088119A"/>
    <w:rsid w:val="008812F9"/>
    <w:rsid w:val="008816EA"/>
    <w:rsid w:val="0088197E"/>
    <w:rsid w:val="00881A9C"/>
    <w:rsid w:val="0088210D"/>
    <w:rsid w:val="008821EF"/>
    <w:rsid w:val="0088360B"/>
    <w:rsid w:val="00883888"/>
    <w:rsid w:val="008840E3"/>
    <w:rsid w:val="00884351"/>
    <w:rsid w:val="00884C05"/>
    <w:rsid w:val="00886217"/>
    <w:rsid w:val="008866B2"/>
    <w:rsid w:val="0088681F"/>
    <w:rsid w:val="008868A2"/>
    <w:rsid w:val="00886936"/>
    <w:rsid w:val="00887102"/>
    <w:rsid w:val="0088790B"/>
    <w:rsid w:val="00891644"/>
    <w:rsid w:val="008919E1"/>
    <w:rsid w:val="00891BA7"/>
    <w:rsid w:val="00891E6B"/>
    <w:rsid w:val="0089229A"/>
    <w:rsid w:val="00893BFA"/>
    <w:rsid w:val="00893D32"/>
    <w:rsid w:val="00894330"/>
    <w:rsid w:val="008948E7"/>
    <w:rsid w:val="00896127"/>
    <w:rsid w:val="008974F5"/>
    <w:rsid w:val="008A0A11"/>
    <w:rsid w:val="008A0DC5"/>
    <w:rsid w:val="008A1476"/>
    <w:rsid w:val="008A1D76"/>
    <w:rsid w:val="008A2349"/>
    <w:rsid w:val="008A261E"/>
    <w:rsid w:val="008A29DB"/>
    <w:rsid w:val="008A33FF"/>
    <w:rsid w:val="008A44FE"/>
    <w:rsid w:val="008A55DD"/>
    <w:rsid w:val="008A62D9"/>
    <w:rsid w:val="008A68F5"/>
    <w:rsid w:val="008A6F83"/>
    <w:rsid w:val="008A70E6"/>
    <w:rsid w:val="008B04BD"/>
    <w:rsid w:val="008B0A9E"/>
    <w:rsid w:val="008B0E5A"/>
    <w:rsid w:val="008B115D"/>
    <w:rsid w:val="008B1339"/>
    <w:rsid w:val="008B1BAC"/>
    <w:rsid w:val="008B1F2F"/>
    <w:rsid w:val="008B23CA"/>
    <w:rsid w:val="008B2F93"/>
    <w:rsid w:val="008B3D51"/>
    <w:rsid w:val="008B3DF2"/>
    <w:rsid w:val="008B3F28"/>
    <w:rsid w:val="008B45FE"/>
    <w:rsid w:val="008B461C"/>
    <w:rsid w:val="008B4B8F"/>
    <w:rsid w:val="008B4BCE"/>
    <w:rsid w:val="008B4D4D"/>
    <w:rsid w:val="008B5034"/>
    <w:rsid w:val="008B563A"/>
    <w:rsid w:val="008B5CE8"/>
    <w:rsid w:val="008B5F39"/>
    <w:rsid w:val="008B618F"/>
    <w:rsid w:val="008B636C"/>
    <w:rsid w:val="008B70C1"/>
    <w:rsid w:val="008C234F"/>
    <w:rsid w:val="008C2814"/>
    <w:rsid w:val="008C3026"/>
    <w:rsid w:val="008C35D8"/>
    <w:rsid w:val="008C4A95"/>
    <w:rsid w:val="008C50EF"/>
    <w:rsid w:val="008C58F5"/>
    <w:rsid w:val="008C5A70"/>
    <w:rsid w:val="008C5FF5"/>
    <w:rsid w:val="008C6757"/>
    <w:rsid w:val="008C6BF0"/>
    <w:rsid w:val="008D09FB"/>
    <w:rsid w:val="008D0C50"/>
    <w:rsid w:val="008D0D7B"/>
    <w:rsid w:val="008D1A1A"/>
    <w:rsid w:val="008D1AEF"/>
    <w:rsid w:val="008D23C8"/>
    <w:rsid w:val="008D3880"/>
    <w:rsid w:val="008D4E57"/>
    <w:rsid w:val="008D5577"/>
    <w:rsid w:val="008D596A"/>
    <w:rsid w:val="008D5DB6"/>
    <w:rsid w:val="008D6DD9"/>
    <w:rsid w:val="008D714D"/>
    <w:rsid w:val="008D7D94"/>
    <w:rsid w:val="008D7F99"/>
    <w:rsid w:val="008E0DDA"/>
    <w:rsid w:val="008E10C3"/>
    <w:rsid w:val="008E2E73"/>
    <w:rsid w:val="008E34FB"/>
    <w:rsid w:val="008E43A6"/>
    <w:rsid w:val="008E4FD6"/>
    <w:rsid w:val="008E62F0"/>
    <w:rsid w:val="008E75DC"/>
    <w:rsid w:val="008F0921"/>
    <w:rsid w:val="008F3AAE"/>
    <w:rsid w:val="008F5069"/>
    <w:rsid w:val="008F5A8A"/>
    <w:rsid w:val="008F5B43"/>
    <w:rsid w:val="008F5F74"/>
    <w:rsid w:val="008F62B5"/>
    <w:rsid w:val="008F64C8"/>
    <w:rsid w:val="008F6CF6"/>
    <w:rsid w:val="009001EC"/>
    <w:rsid w:val="009005EA"/>
    <w:rsid w:val="00900F6A"/>
    <w:rsid w:val="00901188"/>
    <w:rsid w:val="009013CC"/>
    <w:rsid w:val="0090195A"/>
    <w:rsid w:val="009027DE"/>
    <w:rsid w:val="009028E1"/>
    <w:rsid w:val="009036C6"/>
    <w:rsid w:val="0090370E"/>
    <w:rsid w:val="00903A74"/>
    <w:rsid w:val="009042B7"/>
    <w:rsid w:val="009045F7"/>
    <w:rsid w:val="009048C1"/>
    <w:rsid w:val="00904938"/>
    <w:rsid w:val="00905361"/>
    <w:rsid w:val="00906AC2"/>
    <w:rsid w:val="00907251"/>
    <w:rsid w:val="00907A85"/>
    <w:rsid w:val="00911BE2"/>
    <w:rsid w:val="0091265F"/>
    <w:rsid w:val="00914CA6"/>
    <w:rsid w:val="00914F37"/>
    <w:rsid w:val="00914FAB"/>
    <w:rsid w:val="00915E49"/>
    <w:rsid w:val="0091645E"/>
    <w:rsid w:val="00916520"/>
    <w:rsid w:val="009165E1"/>
    <w:rsid w:val="009168F4"/>
    <w:rsid w:val="0091734A"/>
    <w:rsid w:val="009174A9"/>
    <w:rsid w:val="00920444"/>
    <w:rsid w:val="00920B1D"/>
    <w:rsid w:val="009210AF"/>
    <w:rsid w:val="0092159B"/>
    <w:rsid w:val="00922A7D"/>
    <w:rsid w:val="00922FDE"/>
    <w:rsid w:val="0092305B"/>
    <w:rsid w:val="009230C7"/>
    <w:rsid w:val="0092451C"/>
    <w:rsid w:val="00924842"/>
    <w:rsid w:val="00925820"/>
    <w:rsid w:val="00926094"/>
    <w:rsid w:val="0092624C"/>
    <w:rsid w:val="00926B42"/>
    <w:rsid w:val="00926B97"/>
    <w:rsid w:val="00926C8D"/>
    <w:rsid w:val="00926F40"/>
    <w:rsid w:val="00927488"/>
    <w:rsid w:val="009275AF"/>
    <w:rsid w:val="00930361"/>
    <w:rsid w:val="009304FD"/>
    <w:rsid w:val="009305F7"/>
    <w:rsid w:val="00930C2A"/>
    <w:rsid w:val="00932790"/>
    <w:rsid w:val="009330AD"/>
    <w:rsid w:val="00933B35"/>
    <w:rsid w:val="00933C0D"/>
    <w:rsid w:val="0093400C"/>
    <w:rsid w:val="00934197"/>
    <w:rsid w:val="00934285"/>
    <w:rsid w:val="00934B7B"/>
    <w:rsid w:val="00935B22"/>
    <w:rsid w:val="009368F5"/>
    <w:rsid w:val="00937D06"/>
    <w:rsid w:val="0094035E"/>
    <w:rsid w:val="009407A1"/>
    <w:rsid w:val="00940B5E"/>
    <w:rsid w:val="00941932"/>
    <w:rsid w:val="00941DB1"/>
    <w:rsid w:val="009424A5"/>
    <w:rsid w:val="00942BD9"/>
    <w:rsid w:val="009443D2"/>
    <w:rsid w:val="009452CD"/>
    <w:rsid w:val="009454CA"/>
    <w:rsid w:val="009455E4"/>
    <w:rsid w:val="009457B9"/>
    <w:rsid w:val="00945BD5"/>
    <w:rsid w:val="00945CFE"/>
    <w:rsid w:val="00945FC3"/>
    <w:rsid w:val="00946169"/>
    <w:rsid w:val="0094707D"/>
    <w:rsid w:val="00950188"/>
    <w:rsid w:val="00951090"/>
    <w:rsid w:val="00951178"/>
    <w:rsid w:val="009522D5"/>
    <w:rsid w:val="00952564"/>
    <w:rsid w:val="00953FF6"/>
    <w:rsid w:val="00954194"/>
    <w:rsid w:val="009548A1"/>
    <w:rsid w:val="009549E6"/>
    <w:rsid w:val="009558D2"/>
    <w:rsid w:val="00955CCE"/>
    <w:rsid w:val="0095665A"/>
    <w:rsid w:val="00956761"/>
    <w:rsid w:val="00956951"/>
    <w:rsid w:val="00956E44"/>
    <w:rsid w:val="00956FCD"/>
    <w:rsid w:val="00957DEC"/>
    <w:rsid w:val="00960C94"/>
    <w:rsid w:val="0096112C"/>
    <w:rsid w:val="00961E09"/>
    <w:rsid w:val="00962925"/>
    <w:rsid w:val="00963E4C"/>
    <w:rsid w:val="00963E5D"/>
    <w:rsid w:val="0096469A"/>
    <w:rsid w:val="00964975"/>
    <w:rsid w:val="00965746"/>
    <w:rsid w:val="00965E97"/>
    <w:rsid w:val="00966202"/>
    <w:rsid w:val="00966281"/>
    <w:rsid w:val="0096666F"/>
    <w:rsid w:val="00966894"/>
    <w:rsid w:val="0096747C"/>
    <w:rsid w:val="00967D62"/>
    <w:rsid w:val="00970344"/>
    <w:rsid w:val="0097069B"/>
    <w:rsid w:val="00970B2A"/>
    <w:rsid w:val="009713D8"/>
    <w:rsid w:val="00972991"/>
    <w:rsid w:val="00973248"/>
    <w:rsid w:val="00974209"/>
    <w:rsid w:val="00974425"/>
    <w:rsid w:val="009755B3"/>
    <w:rsid w:val="0097663D"/>
    <w:rsid w:val="0097688C"/>
    <w:rsid w:val="0097717A"/>
    <w:rsid w:val="009773AF"/>
    <w:rsid w:val="0097771D"/>
    <w:rsid w:val="00977F64"/>
    <w:rsid w:val="00980D69"/>
    <w:rsid w:val="00981044"/>
    <w:rsid w:val="00982B0D"/>
    <w:rsid w:val="00982F43"/>
    <w:rsid w:val="00983382"/>
    <w:rsid w:val="00983D49"/>
    <w:rsid w:val="00984466"/>
    <w:rsid w:val="00984BAE"/>
    <w:rsid w:val="00984E2F"/>
    <w:rsid w:val="00984E83"/>
    <w:rsid w:val="009851D8"/>
    <w:rsid w:val="00985F07"/>
    <w:rsid w:val="009870D0"/>
    <w:rsid w:val="00987A31"/>
    <w:rsid w:val="00987B64"/>
    <w:rsid w:val="00990625"/>
    <w:rsid w:val="0099118A"/>
    <w:rsid w:val="00991C99"/>
    <w:rsid w:val="009922E7"/>
    <w:rsid w:val="009935FA"/>
    <w:rsid w:val="00994951"/>
    <w:rsid w:val="00995932"/>
    <w:rsid w:val="00996BCD"/>
    <w:rsid w:val="00996CDC"/>
    <w:rsid w:val="009974AE"/>
    <w:rsid w:val="009977FA"/>
    <w:rsid w:val="00997954"/>
    <w:rsid w:val="00997A25"/>
    <w:rsid w:val="009A020A"/>
    <w:rsid w:val="009A12EC"/>
    <w:rsid w:val="009A1839"/>
    <w:rsid w:val="009A1EDB"/>
    <w:rsid w:val="009A1F5D"/>
    <w:rsid w:val="009A2096"/>
    <w:rsid w:val="009A3A24"/>
    <w:rsid w:val="009A3BE8"/>
    <w:rsid w:val="009A3C97"/>
    <w:rsid w:val="009A488A"/>
    <w:rsid w:val="009A49EE"/>
    <w:rsid w:val="009A526A"/>
    <w:rsid w:val="009A570B"/>
    <w:rsid w:val="009A667F"/>
    <w:rsid w:val="009B0834"/>
    <w:rsid w:val="009B0D42"/>
    <w:rsid w:val="009B0FC1"/>
    <w:rsid w:val="009B44D1"/>
    <w:rsid w:val="009B47F6"/>
    <w:rsid w:val="009B579A"/>
    <w:rsid w:val="009B7215"/>
    <w:rsid w:val="009B76D8"/>
    <w:rsid w:val="009B7ECE"/>
    <w:rsid w:val="009C01ED"/>
    <w:rsid w:val="009C0FF0"/>
    <w:rsid w:val="009C1FFF"/>
    <w:rsid w:val="009C2D79"/>
    <w:rsid w:val="009C3E9F"/>
    <w:rsid w:val="009C4090"/>
    <w:rsid w:val="009C4696"/>
    <w:rsid w:val="009C469D"/>
    <w:rsid w:val="009C4901"/>
    <w:rsid w:val="009C4E5B"/>
    <w:rsid w:val="009C4F8C"/>
    <w:rsid w:val="009C55F4"/>
    <w:rsid w:val="009C784E"/>
    <w:rsid w:val="009C78FF"/>
    <w:rsid w:val="009D1979"/>
    <w:rsid w:val="009D19E5"/>
    <w:rsid w:val="009D21B6"/>
    <w:rsid w:val="009D2224"/>
    <w:rsid w:val="009D36E1"/>
    <w:rsid w:val="009D40D8"/>
    <w:rsid w:val="009D428B"/>
    <w:rsid w:val="009D4475"/>
    <w:rsid w:val="009D5B05"/>
    <w:rsid w:val="009D5D5D"/>
    <w:rsid w:val="009D7563"/>
    <w:rsid w:val="009D786A"/>
    <w:rsid w:val="009E10D3"/>
    <w:rsid w:val="009E2595"/>
    <w:rsid w:val="009E3ADD"/>
    <w:rsid w:val="009E3D14"/>
    <w:rsid w:val="009E3F9D"/>
    <w:rsid w:val="009E5480"/>
    <w:rsid w:val="009E5524"/>
    <w:rsid w:val="009E64DC"/>
    <w:rsid w:val="009E6A89"/>
    <w:rsid w:val="009E6D90"/>
    <w:rsid w:val="009E6E3D"/>
    <w:rsid w:val="009E6EA5"/>
    <w:rsid w:val="009E725D"/>
    <w:rsid w:val="009E79EC"/>
    <w:rsid w:val="009E7BD3"/>
    <w:rsid w:val="009F01C5"/>
    <w:rsid w:val="009F0A3F"/>
    <w:rsid w:val="009F11CD"/>
    <w:rsid w:val="009F1951"/>
    <w:rsid w:val="009F1C01"/>
    <w:rsid w:val="009F1CA2"/>
    <w:rsid w:val="009F493B"/>
    <w:rsid w:val="009F51FD"/>
    <w:rsid w:val="009F54F4"/>
    <w:rsid w:val="009F5580"/>
    <w:rsid w:val="009F5776"/>
    <w:rsid w:val="009F59B6"/>
    <w:rsid w:val="009F6AC4"/>
    <w:rsid w:val="009F6D3C"/>
    <w:rsid w:val="009F7033"/>
    <w:rsid w:val="009F73CB"/>
    <w:rsid w:val="00A00820"/>
    <w:rsid w:val="00A00A44"/>
    <w:rsid w:val="00A02769"/>
    <w:rsid w:val="00A02A2F"/>
    <w:rsid w:val="00A02A59"/>
    <w:rsid w:val="00A02B08"/>
    <w:rsid w:val="00A02CD6"/>
    <w:rsid w:val="00A02FE1"/>
    <w:rsid w:val="00A03623"/>
    <w:rsid w:val="00A036E4"/>
    <w:rsid w:val="00A047C3"/>
    <w:rsid w:val="00A04FEE"/>
    <w:rsid w:val="00A0500E"/>
    <w:rsid w:val="00A055A4"/>
    <w:rsid w:val="00A06044"/>
    <w:rsid w:val="00A06491"/>
    <w:rsid w:val="00A100EA"/>
    <w:rsid w:val="00A10366"/>
    <w:rsid w:val="00A10931"/>
    <w:rsid w:val="00A117CB"/>
    <w:rsid w:val="00A11BC6"/>
    <w:rsid w:val="00A11F55"/>
    <w:rsid w:val="00A12D40"/>
    <w:rsid w:val="00A13219"/>
    <w:rsid w:val="00A13329"/>
    <w:rsid w:val="00A13339"/>
    <w:rsid w:val="00A1361A"/>
    <w:rsid w:val="00A1395B"/>
    <w:rsid w:val="00A13DF6"/>
    <w:rsid w:val="00A15B96"/>
    <w:rsid w:val="00A16C93"/>
    <w:rsid w:val="00A1747E"/>
    <w:rsid w:val="00A204B5"/>
    <w:rsid w:val="00A21585"/>
    <w:rsid w:val="00A218CC"/>
    <w:rsid w:val="00A218FC"/>
    <w:rsid w:val="00A220DB"/>
    <w:rsid w:val="00A22914"/>
    <w:rsid w:val="00A233B0"/>
    <w:rsid w:val="00A246E9"/>
    <w:rsid w:val="00A24897"/>
    <w:rsid w:val="00A24C61"/>
    <w:rsid w:val="00A251EE"/>
    <w:rsid w:val="00A25890"/>
    <w:rsid w:val="00A25D2C"/>
    <w:rsid w:val="00A26350"/>
    <w:rsid w:val="00A27497"/>
    <w:rsid w:val="00A276AB"/>
    <w:rsid w:val="00A27953"/>
    <w:rsid w:val="00A27A77"/>
    <w:rsid w:val="00A27C99"/>
    <w:rsid w:val="00A30186"/>
    <w:rsid w:val="00A305ED"/>
    <w:rsid w:val="00A311D4"/>
    <w:rsid w:val="00A315DA"/>
    <w:rsid w:val="00A31DB3"/>
    <w:rsid w:val="00A32689"/>
    <w:rsid w:val="00A33060"/>
    <w:rsid w:val="00A33A43"/>
    <w:rsid w:val="00A33C9B"/>
    <w:rsid w:val="00A34164"/>
    <w:rsid w:val="00A343EF"/>
    <w:rsid w:val="00A35803"/>
    <w:rsid w:val="00A35AD1"/>
    <w:rsid w:val="00A35CB2"/>
    <w:rsid w:val="00A35F5C"/>
    <w:rsid w:val="00A36074"/>
    <w:rsid w:val="00A36567"/>
    <w:rsid w:val="00A403A0"/>
    <w:rsid w:val="00A41318"/>
    <w:rsid w:val="00A41362"/>
    <w:rsid w:val="00A41BE7"/>
    <w:rsid w:val="00A4245D"/>
    <w:rsid w:val="00A4271C"/>
    <w:rsid w:val="00A429F1"/>
    <w:rsid w:val="00A42B04"/>
    <w:rsid w:val="00A42F61"/>
    <w:rsid w:val="00A43362"/>
    <w:rsid w:val="00A43CFB"/>
    <w:rsid w:val="00A45554"/>
    <w:rsid w:val="00A45573"/>
    <w:rsid w:val="00A45C66"/>
    <w:rsid w:val="00A45D35"/>
    <w:rsid w:val="00A45FF3"/>
    <w:rsid w:val="00A46E51"/>
    <w:rsid w:val="00A4749D"/>
    <w:rsid w:val="00A476B2"/>
    <w:rsid w:val="00A478B4"/>
    <w:rsid w:val="00A47C7F"/>
    <w:rsid w:val="00A47E31"/>
    <w:rsid w:val="00A52380"/>
    <w:rsid w:val="00A52804"/>
    <w:rsid w:val="00A5300D"/>
    <w:rsid w:val="00A53955"/>
    <w:rsid w:val="00A53BB4"/>
    <w:rsid w:val="00A542F6"/>
    <w:rsid w:val="00A546B8"/>
    <w:rsid w:val="00A549A9"/>
    <w:rsid w:val="00A54B09"/>
    <w:rsid w:val="00A54BD5"/>
    <w:rsid w:val="00A5589E"/>
    <w:rsid w:val="00A56131"/>
    <w:rsid w:val="00A60481"/>
    <w:rsid w:val="00A61BEB"/>
    <w:rsid w:val="00A623C2"/>
    <w:rsid w:val="00A62A82"/>
    <w:rsid w:val="00A63234"/>
    <w:rsid w:val="00A63BD5"/>
    <w:rsid w:val="00A64A36"/>
    <w:rsid w:val="00A64D41"/>
    <w:rsid w:val="00A654CE"/>
    <w:rsid w:val="00A70949"/>
    <w:rsid w:val="00A71044"/>
    <w:rsid w:val="00A71085"/>
    <w:rsid w:val="00A715E8"/>
    <w:rsid w:val="00A71A5C"/>
    <w:rsid w:val="00A7275B"/>
    <w:rsid w:val="00A72821"/>
    <w:rsid w:val="00A73EB6"/>
    <w:rsid w:val="00A73F0D"/>
    <w:rsid w:val="00A7401F"/>
    <w:rsid w:val="00A74C78"/>
    <w:rsid w:val="00A74E6A"/>
    <w:rsid w:val="00A75541"/>
    <w:rsid w:val="00A757BE"/>
    <w:rsid w:val="00A75C35"/>
    <w:rsid w:val="00A772F4"/>
    <w:rsid w:val="00A7733E"/>
    <w:rsid w:val="00A804B8"/>
    <w:rsid w:val="00A8070E"/>
    <w:rsid w:val="00A80A00"/>
    <w:rsid w:val="00A80ABE"/>
    <w:rsid w:val="00A81626"/>
    <w:rsid w:val="00A819AF"/>
    <w:rsid w:val="00A81F6B"/>
    <w:rsid w:val="00A8335C"/>
    <w:rsid w:val="00A838A2"/>
    <w:rsid w:val="00A8405D"/>
    <w:rsid w:val="00A84574"/>
    <w:rsid w:val="00A858E3"/>
    <w:rsid w:val="00A859B7"/>
    <w:rsid w:val="00A862D5"/>
    <w:rsid w:val="00A864D7"/>
    <w:rsid w:val="00A878D9"/>
    <w:rsid w:val="00A87D9C"/>
    <w:rsid w:val="00A90146"/>
    <w:rsid w:val="00A90B69"/>
    <w:rsid w:val="00A91005"/>
    <w:rsid w:val="00A919D9"/>
    <w:rsid w:val="00A91DCB"/>
    <w:rsid w:val="00A92D6B"/>
    <w:rsid w:val="00A935EE"/>
    <w:rsid w:val="00A943DF"/>
    <w:rsid w:val="00A9440E"/>
    <w:rsid w:val="00A94FEE"/>
    <w:rsid w:val="00A95032"/>
    <w:rsid w:val="00A95CE7"/>
    <w:rsid w:val="00A96044"/>
    <w:rsid w:val="00A96427"/>
    <w:rsid w:val="00A96517"/>
    <w:rsid w:val="00A96934"/>
    <w:rsid w:val="00A96B2E"/>
    <w:rsid w:val="00A96BD4"/>
    <w:rsid w:val="00A96E73"/>
    <w:rsid w:val="00A97F43"/>
    <w:rsid w:val="00AA0291"/>
    <w:rsid w:val="00AA02DD"/>
    <w:rsid w:val="00AA08E1"/>
    <w:rsid w:val="00AA096A"/>
    <w:rsid w:val="00AA0DA7"/>
    <w:rsid w:val="00AA0F33"/>
    <w:rsid w:val="00AA1718"/>
    <w:rsid w:val="00AA2AEA"/>
    <w:rsid w:val="00AA2D43"/>
    <w:rsid w:val="00AA2FD3"/>
    <w:rsid w:val="00AA3205"/>
    <w:rsid w:val="00AA3A96"/>
    <w:rsid w:val="00AA489E"/>
    <w:rsid w:val="00AA54B7"/>
    <w:rsid w:val="00AA6868"/>
    <w:rsid w:val="00AA6BC7"/>
    <w:rsid w:val="00AA6FA0"/>
    <w:rsid w:val="00AA7A66"/>
    <w:rsid w:val="00AA81FD"/>
    <w:rsid w:val="00AB12D6"/>
    <w:rsid w:val="00AB1C8C"/>
    <w:rsid w:val="00AB1D72"/>
    <w:rsid w:val="00AB2722"/>
    <w:rsid w:val="00AB32A7"/>
    <w:rsid w:val="00AB3428"/>
    <w:rsid w:val="00AB3DB5"/>
    <w:rsid w:val="00AB3F8A"/>
    <w:rsid w:val="00AB48B5"/>
    <w:rsid w:val="00AB4AB1"/>
    <w:rsid w:val="00AB4AD6"/>
    <w:rsid w:val="00AB4FBD"/>
    <w:rsid w:val="00AB5987"/>
    <w:rsid w:val="00AB5A7A"/>
    <w:rsid w:val="00AB7C11"/>
    <w:rsid w:val="00AC12C3"/>
    <w:rsid w:val="00AC155F"/>
    <w:rsid w:val="00AC1655"/>
    <w:rsid w:val="00AC1F41"/>
    <w:rsid w:val="00AC2211"/>
    <w:rsid w:val="00AC36DF"/>
    <w:rsid w:val="00AC3D02"/>
    <w:rsid w:val="00AC487F"/>
    <w:rsid w:val="00AC60E1"/>
    <w:rsid w:val="00AC6A98"/>
    <w:rsid w:val="00AC708C"/>
    <w:rsid w:val="00ACA435"/>
    <w:rsid w:val="00AD0302"/>
    <w:rsid w:val="00AD032D"/>
    <w:rsid w:val="00AD07D9"/>
    <w:rsid w:val="00AD12C9"/>
    <w:rsid w:val="00AD17A2"/>
    <w:rsid w:val="00AD38E3"/>
    <w:rsid w:val="00AD4735"/>
    <w:rsid w:val="00AD4ADE"/>
    <w:rsid w:val="00AD5053"/>
    <w:rsid w:val="00AD51A1"/>
    <w:rsid w:val="00AD68B5"/>
    <w:rsid w:val="00AD6EF3"/>
    <w:rsid w:val="00AD7C5B"/>
    <w:rsid w:val="00AE0D2D"/>
    <w:rsid w:val="00AE14FC"/>
    <w:rsid w:val="00AE19BC"/>
    <w:rsid w:val="00AE204C"/>
    <w:rsid w:val="00AE2159"/>
    <w:rsid w:val="00AE228E"/>
    <w:rsid w:val="00AE22E4"/>
    <w:rsid w:val="00AE4224"/>
    <w:rsid w:val="00AE4949"/>
    <w:rsid w:val="00AE4F09"/>
    <w:rsid w:val="00AE51FC"/>
    <w:rsid w:val="00AE54F1"/>
    <w:rsid w:val="00AE58C2"/>
    <w:rsid w:val="00AE650C"/>
    <w:rsid w:val="00AE65A6"/>
    <w:rsid w:val="00AE6C37"/>
    <w:rsid w:val="00AE6D2E"/>
    <w:rsid w:val="00AE77F4"/>
    <w:rsid w:val="00AE7868"/>
    <w:rsid w:val="00AE7ACC"/>
    <w:rsid w:val="00AE7B76"/>
    <w:rsid w:val="00AE7E4D"/>
    <w:rsid w:val="00AF05D6"/>
    <w:rsid w:val="00AF09E2"/>
    <w:rsid w:val="00AF1722"/>
    <w:rsid w:val="00AF30ED"/>
    <w:rsid w:val="00AF3773"/>
    <w:rsid w:val="00AF412A"/>
    <w:rsid w:val="00AF57ED"/>
    <w:rsid w:val="00AF669A"/>
    <w:rsid w:val="00AF66FB"/>
    <w:rsid w:val="00AF686A"/>
    <w:rsid w:val="00AF6FF7"/>
    <w:rsid w:val="00AF7088"/>
    <w:rsid w:val="00B003D8"/>
    <w:rsid w:val="00B0046B"/>
    <w:rsid w:val="00B00542"/>
    <w:rsid w:val="00B00B46"/>
    <w:rsid w:val="00B01355"/>
    <w:rsid w:val="00B02396"/>
    <w:rsid w:val="00B0376D"/>
    <w:rsid w:val="00B038E5"/>
    <w:rsid w:val="00B04534"/>
    <w:rsid w:val="00B04917"/>
    <w:rsid w:val="00B0512D"/>
    <w:rsid w:val="00B05410"/>
    <w:rsid w:val="00B05700"/>
    <w:rsid w:val="00B05E4A"/>
    <w:rsid w:val="00B061C7"/>
    <w:rsid w:val="00B0622B"/>
    <w:rsid w:val="00B07903"/>
    <w:rsid w:val="00B07CE2"/>
    <w:rsid w:val="00B1005D"/>
    <w:rsid w:val="00B1017A"/>
    <w:rsid w:val="00B11493"/>
    <w:rsid w:val="00B12499"/>
    <w:rsid w:val="00B12688"/>
    <w:rsid w:val="00B12F68"/>
    <w:rsid w:val="00B132DE"/>
    <w:rsid w:val="00B14928"/>
    <w:rsid w:val="00B153B1"/>
    <w:rsid w:val="00B154A6"/>
    <w:rsid w:val="00B167AB"/>
    <w:rsid w:val="00B16D26"/>
    <w:rsid w:val="00B17D7B"/>
    <w:rsid w:val="00B2207C"/>
    <w:rsid w:val="00B223AF"/>
    <w:rsid w:val="00B23928"/>
    <w:rsid w:val="00B23A34"/>
    <w:rsid w:val="00B24434"/>
    <w:rsid w:val="00B24651"/>
    <w:rsid w:val="00B25472"/>
    <w:rsid w:val="00B26C7F"/>
    <w:rsid w:val="00B27D8A"/>
    <w:rsid w:val="00B309AC"/>
    <w:rsid w:val="00B30AA6"/>
    <w:rsid w:val="00B30E37"/>
    <w:rsid w:val="00B311A2"/>
    <w:rsid w:val="00B32DBA"/>
    <w:rsid w:val="00B32DC8"/>
    <w:rsid w:val="00B33F87"/>
    <w:rsid w:val="00B3443A"/>
    <w:rsid w:val="00B35193"/>
    <w:rsid w:val="00B3584B"/>
    <w:rsid w:val="00B35A99"/>
    <w:rsid w:val="00B36907"/>
    <w:rsid w:val="00B36D18"/>
    <w:rsid w:val="00B40533"/>
    <w:rsid w:val="00B40C7E"/>
    <w:rsid w:val="00B41475"/>
    <w:rsid w:val="00B41F41"/>
    <w:rsid w:val="00B422DB"/>
    <w:rsid w:val="00B42D4A"/>
    <w:rsid w:val="00B4365D"/>
    <w:rsid w:val="00B44136"/>
    <w:rsid w:val="00B44F11"/>
    <w:rsid w:val="00B44F14"/>
    <w:rsid w:val="00B45207"/>
    <w:rsid w:val="00B4541F"/>
    <w:rsid w:val="00B4633E"/>
    <w:rsid w:val="00B46619"/>
    <w:rsid w:val="00B46792"/>
    <w:rsid w:val="00B46944"/>
    <w:rsid w:val="00B46A22"/>
    <w:rsid w:val="00B508C9"/>
    <w:rsid w:val="00B51116"/>
    <w:rsid w:val="00B5111A"/>
    <w:rsid w:val="00B5299E"/>
    <w:rsid w:val="00B5313B"/>
    <w:rsid w:val="00B53597"/>
    <w:rsid w:val="00B54A69"/>
    <w:rsid w:val="00B54B38"/>
    <w:rsid w:val="00B552AD"/>
    <w:rsid w:val="00B558AC"/>
    <w:rsid w:val="00B5620D"/>
    <w:rsid w:val="00B56C7F"/>
    <w:rsid w:val="00B570F9"/>
    <w:rsid w:val="00B57768"/>
    <w:rsid w:val="00B60468"/>
    <w:rsid w:val="00B61981"/>
    <w:rsid w:val="00B623B6"/>
    <w:rsid w:val="00B62456"/>
    <w:rsid w:val="00B6354A"/>
    <w:rsid w:val="00B63C7F"/>
    <w:rsid w:val="00B64132"/>
    <w:rsid w:val="00B64924"/>
    <w:rsid w:val="00B6517C"/>
    <w:rsid w:val="00B65341"/>
    <w:rsid w:val="00B65BA1"/>
    <w:rsid w:val="00B67BE7"/>
    <w:rsid w:val="00B70C18"/>
    <w:rsid w:val="00B710A8"/>
    <w:rsid w:val="00B7155D"/>
    <w:rsid w:val="00B72867"/>
    <w:rsid w:val="00B7375B"/>
    <w:rsid w:val="00B73DE7"/>
    <w:rsid w:val="00B745F2"/>
    <w:rsid w:val="00B746A6"/>
    <w:rsid w:val="00B74A21"/>
    <w:rsid w:val="00B75F00"/>
    <w:rsid w:val="00B761BA"/>
    <w:rsid w:val="00B762F2"/>
    <w:rsid w:val="00B76A40"/>
    <w:rsid w:val="00B76D78"/>
    <w:rsid w:val="00B7797A"/>
    <w:rsid w:val="00B77DDE"/>
    <w:rsid w:val="00B82B06"/>
    <w:rsid w:val="00B82E41"/>
    <w:rsid w:val="00B83452"/>
    <w:rsid w:val="00B8364B"/>
    <w:rsid w:val="00B83968"/>
    <w:rsid w:val="00B83FF1"/>
    <w:rsid w:val="00B8401F"/>
    <w:rsid w:val="00B8403E"/>
    <w:rsid w:val="00B84257"/>
    <w:rsid w:val="00B842A0"/>
    <w:rsid w:val="00B85667"/>
    <w:rsid w:val="00B85A2D"/>
    <w:rsid w:val="00B878F1"/>
    <w:rsid w:val="00B879D3"/>
    <w:rsid w:val="00B87FF6"/>
    <w:rsid w:val="00B9112B"/>
    <w:rsid w:val="00B911F9"/>
    <w:rsid w:val="00B91C5F"/>
    <w:rsid w:val="00B92620"/>
    <w:rsid w:val="00B92AA8"/>
    <w:rsid w:val="00B93468"/>
    <w:rsid w:val="00B94A97"/>
    <w:rsid w:val="00B95029"/>
    <w:rsid w:val="00B961EE"/>
    <w:rsid w:val="00B96E70"/>
    <w:rsid w:val="00BA001E"/>
    <w:rsid w:val="00BA02F4"/>
    <w:rsid w:val="00BA0506"/>
    <w:rsid w:val="00BA05C1"/>
    <w:rsid w:val="00BA06C4"/>
    <w:rsid w:val="00BA0A01"/>
    <w:rsid w:val="00BA2899"/>
    <w:rsid w:val="00BA3285"/>
    <w:rsid w:val="00BA38A6"/>
    <w:rsid w:val="00BA3CD8"/>
    <w:rsid w:val="00BA3E79"/>
    <w:rsid w:val="00BA4877"/>
    <w:rsid w:val="00BA4A4E"/>
    <w:rsid w:val="00BA4F55"/>
    <w:rsid w:val="00BA51A6"/>
    <w:rsid w:val="00BA540C"/>
    <w:rsid w:val="00BA5516"/>
    <w:rsid w:val="00BA5CF6"/>
    <w:rsid w:val="00BA6E46"/>
    <w:rsid w:val="00BA736C"/>
    <w:rsid w:val="00BA7666"/>
    <w:rsid w:val="00BA7C7C"/>
    <w:rsid w:val="00BB01D6"/>
    <w:rsid w:val="00BB117E"/>
    <w:rsid w:val="00BB12D2"/>
    <w:rsid w:val="00BB2009"/>
    <w:rsid w:val="00BB2E1A"/>
    <w:rsid w:val="00BB558F"/>
    <w:rsid w:val="00BB6111"/>
    <w:rsid w:val="00BB6ACD"/>
    <w:rsid w:val="00BB76C8"/>
    <w:rsid w:val="00BC003E"/>
    <w:rsid w:val="00BC0EF1"/>
    <w:rsid w:val="00BC1E00"/>
    <w:rsid w:val="00BC213B"/>
    <w:rsid w:val="00BC2286"/>
    <w:rsid w:val="00BC2A31"/>
    <w:rsid w:val="00BC3EC2"/>
    <w:rsid w:val="00BC4B6D"/>
    <w:rsid w:val="00BC4F87"/>
    <w:rsid w:val="00BC58E4"/>
    <w:rsid w:val="00BC6C4F"/>
    <w:rsid w:val="00BC72C1"/>
    <w:rsid w:val="00BC7682"/>
    <w:rsid w:val="00BC78C0"/>
    <w:rsid w:val="00BD095A"/>
    <w:rsid w:val="00BD2C7C"/>
    <w:rsid w:val="00BD36DF"/>
    <w:rsid w:val="00BD5590"/>
    <w:rsid w:val="00BD5D0C"/>
    <w:rsid w:val="00BD5D24"/>
    <w:rsid w:val="00BD5E11"/>
    <w:rsid w:val="00BD66CD"/>
    <w:rsid w:val="00BD683F"/>
    <w:rsid w:val="00BD79CE"/>
    <w:rsid w:val="00BD79CF"/>
    <w:rsid w:val="00BD7AF1"/>
    <w:rsid w:val="00BE1BDB"/>
    <w:rsid w:val="00BE28BC"/>
    <w:rsid w:val="00BE2A51"/>
    <w:rsid w:val="00BE2CB2"/>
    <w:rsid w:val="00BE36E4"/>
    <w:rsid w:val="00BE3852"/>
    <w:rsid w:val="00BE3B2C"/>
    <w:rsid w:val="00BE3C83"/>
    <w:rsid w:val="00BE3CCC"/>
    <w:rsid w:val="00BE4736"/>
    <w:rsid w:val="00BE5E8C"/>
    <w:rsid w:val="00BE61FC"/>
    <w:rsid w:val="00BE64F1"/>
    <w:rsid w:val="00BE770F"/>
    <w:rsid w:val="00BE79B2"/>
    <w:rsid w:val="00BF001C"/>
    <w:rsid w:val="00BF0BD7"/>
    <w:rsid w:val="00BF0C2A"/>
    <w:rsid w:val="00BF15DA"/>
    <w:rsid w:val="00BF2517"/>
    <w:rsid w:val="00BF33E6"/>
    <w:rsid w:val="00BF43DB"/>
    <w:rsid w:val="00BF4683"/>
    <w:rsid w:val="00BF6D10"/>
    <w:rsid w:val="00BF6E3F"/>
    <w:rsid w:val="00C002D1"/>
    <w:rsid w:val="00C004A1"/>
    <w:rsid w:val="00C0096B"/>
    <w:rsid w:val="00C011A7"/>
    <w:rsid w:val="00C012A0"/>
    <w:rsid w:val="00C014AF"/>
    <w:rsid w:val="00C0168C"/>
    <w:rsid w:val="00C01FC7"/>
    <w:rsid w:val="00C0230E"/>
    <w:rsid w:val="00C0446F"/>
    <w:rsid w:val="00C05C56"/>
    <w:rsid w:val="00C06281"/>
    <w:rsid w:val="00C072D7"/>
    <w:rsid w:val="00C076A4"/>
    <w:rsid w:val="00C07BB4"/>
    <w:rsid w:val="00C07C0D"/>
    <w:rsid w:val="00C07D86"/>
    <w:rsid w:val="00C07F9F"/>
    <w:rsid w:val="00C103C5"/>
    <w:rsid w:val="00C10934"/>
    <w:rsid w:val="00C11C50"/>
    <w:rsid w:val="00C11ED0"/>
    <w:rsid w:val="00C120DE"/>
    <w:rsid w:val="00C1298A"/>
    <w:rsid w:val="00C12BA6"/>
    <w:rsid w:val="00C12DAF"/>
    <w:rsid w:val="00C12E02"/>
    <w:rsid w:val="00C13FAE"/>
    <w:rsid w:val="00C154F4"/>
    <w:rsid w:val="00C15DD3"/>
    <w:rsid w:val="00C16045"/>
    <w:rsid w:val="00C1692A"/>
    <w:rsid w:val="00C17B3C"/>
    <w:rsid w:val="00C201EF"/>
    <w:rsid w:val="00C203F3"/>
    <w:rsid w:val="00C21482"/>
    <w:rsid w:val="00C218B0"/>
    <w:rsid w:val="00C2220C"/>
    <w:rsid w:val="00C224E8"/>
    <w:rsid w:val="00C23EB7"/>
    <w:rsid w:val="00C242C1"/>
    <w:rsid w:val="00C24BAA"/>
    <w:rsid w:val="00C25964"/>
    <w:rsid w:val="00C267F0"/>
    <w:rsid w:val="00C26AF6"/>
    <w:rsid w:val="00C27724"/>
    <w:rsid w:val="00C27875"/>
    <w:rsid w:val="00C27A11"/>
    <w:rsid w:val="00C300C0"/>
    <w:rsid w:val="00C30E45"/>
    <w:rsid w:val="00C3132F"/>
    <w:rsid w:val="00C31564"/>
    <w:rsid w:val="00C31DAA"/>
    <w:rsid w:val="00C31F30"/>
    <w:rsid w:val="00C323C8"/>
    <w:rsid w:val="00C323E2"/>
    <w:rsid w:val="00C326D6"/>
    <w:rsid w:val="00C32D7F"/>
    <w:rsid w:val="00C33119"/>
    <w:rsid w:val="00C337D0"/>
    <w:rsid w:val="00C338F9"/>
    <w:rsid w:val="00C3431F"/>
    <w:rsid w:val="00C34668"/>
    <w:rsid w:val="00C34745"/>
    <w:rsid w:val="00C357AE"/>
    <w:rsid w:val="00C36765"/>
    <w:rsid w:val="00C37A48"/>
    <w:rsid w:val="00C37CF6"/>
    <w:rsid w:val="00C37F68"/>
    <w:rsid w:val="00C40C63"/>
    <w:rsid w:val="00C40D6D"/>
    <w:rsid w:val="00C410E5"/>
    <w:rsid w:val="00C42292"/>
    <w:rsid w:val="00C425C3"/>
    <w:rsid w:val="00C42981"/>
    <w:rsid w:val="00C42C2A"/>
    <w:rsid w:val="00C42C5F"/>
    <w:rsid w:val="00C42D18"/>
    <w:rsid w:val="00C42E46"/>
    <w:rsid w:val="00C43385"/>
    <w:rsid w:val="00C43995"/>
    <w:rsid w:val="00C444F6"/>
    <w:rsid w:val="00C44777"/>
    <w:rsid w:val="00C4583F"/>
    <w:rsid w:val="00C45E4D"/>
    <w:rsid w:val="00C4698B"/>
    <w:rsid w:val="00C46B3A"/>
    <w:rsid w:val="00C46D26"/>
    <w:rsid w:val="00C50FD8"/>
    <w:rsid w:val="00C5174B"/>
    <w:rsid w:val="00C525BA"/>
    <w:rsid w:val="00C52DBF"/>
    <w:rsid w:val="00C531AA"/>
    <w:rsid w:val="00C54796"/>
    <w:rsid w:val="00C54B0A"/>
    <w:rsid w:val="00C555C2"/>
    <w:rsid w:val="00C5562B"/>
    <w:rsid w:val="00C56339"/>
    <w:rsid w:val="00C566F9"/>
    <w:rsid w:val="00C567DF"/>
    <w:rsid w:val="00C56A60"/>
    <w:rsid w:val="00C56E18"/>
    <w:rsid w:val="00C57B3F"/>
    <w:rsid w:val="00C57B48"/>
    <w:rsid w:val="00C57D9A"/>
    <w:rsid w:val="00C60F02"/>
    <w:rsid w:val="00C61F98"/>
    <w:rsid w:val="00C62DC4"/>
    <w:rsid w:val="00C644CC"/>
    <w:rsid w:val="00C64579"/>
    <w:rsid w:val="00C64A6A"/>
    <w:rsid w:val="00C67125"/>
    <w:rsid w:val="00C67E57"/>
    <w:rsid w:val="00C67ED9"/>
    <w:rsid w:val="00C703FC"/>
    <w:rsid w:val="00C704EB"/>
    <w:rsid w:val="00C70FFA"/>
    <w:rsid w:val="00C7188D"/>
    <w:rsid w:val="00C728D5"/>
    <w:rsid w:val="00C736EB"/>
    <w:rsid w:val="00C7490A"/>
    <w:rsid w:val="00C74987"/>
    <w:rsid w:val="00C752DA"/>
    <w:rsid w:val="00C753F6"/>
    <w:rsid w:val="00C7611D"/>
    <w:rsid w:val="00C76DF3"/>
    <w:rsid w:val="00C774F2"/>
    <w:rsid w:val="00C80102"/>
    <w:rsid w:val="00C801B3"/>
    <w:rsid w:val="00C81C89"/>
    <w:rsid w:val="00C81FC8"/>
    <w:rsid w:val="00C82B81"/>
    <w:rsid w:val="00C833BA"/>
    <w:rsid w:val="00C83437"/>
    <w:rsid w:val="00C836F3"/>
    <w:rsid w:val="00C8391F"/>
    <w:rsid w:val="00C8529D"/>
    <w:rsid w:val="00C86955"/>
    <w:rsid w:val="00C8711A"/>
    <w:rsid w:val="00C875E1"/>
    <w:rsid w:val="00C87AB9"/>
    <w:rsid w:val="00C8CC20"/>
    <w:rsid w:val="00C92562"/>
    <w:rsid w:val="00C929D8"/>
    <w:rsid w:val="00C929EC"/>
    <w:rsid w:val="00C92ACE"/>
    <w:rsid w:val="00C92B2B"/>
    <w:rsid w:val="00C92CD9"/>
    <w:rsid w:val="00C92CE3"/>
    <w:rsid w:val="00C9412B"/>
    <w:rsid w:val="00C9424F"/>
    <w:rsid w:val="00C9440A"/>
    <w:rsid w:val="00C95073"/>
    <w:rsid w:val="00C95857"/>
    <w:rsid w:val="00C9637A"/>
    <w:rsid w:val="00C96BFB"/>
    <w:rsid w:val="00C96C77"/>
    <w:rsid w:val="00C97AC3"/>
    <w:rsid w:val="00C97ACF"/>
    <w:rsid w:val="00CA03AB"/>
    <w:rsid w:val="00CA08EA"/>
    <w:rsid w:val="00CA1054"/>
    <w:rsid w:val="00CA12AF"/>
    <w:rsid w:val="00CA1BA0"/>
    <w:rsid w:val="00CA1E53"/>
    <w:rsid w:val="00CA3014"/>
    <w:rsid w:val="00CA3C5C"/>
    <w:rsid w:val="00CA4025"/>
    <w:rsid w:val="00CA4FCB"/>
    <w:rsid w:val="00CA51E8"/>
    <w:rsid w:val="00CA67E7"/>
    <w:rsid w:val="00CA7D5C"/>
    <w:rsid w:val="00CB2644"/>
    <w:rsid w:val="00CB2CF3"/>
    <w:rsid w:val="00CB2DCD"/>
    <w:rsid w:val="00CB35AD"/>
    <w:rsid w:val="00CB426C"/>
    <w:rsid w:val="00CB464B"/>
    <w:rsid w:val="00CB5151"/>
    <w:rsid w:val="00CC074B"/>
    <w:rsid w:val="00CC13FD"/>
    <w:rsid w:val="00CC14A6"/>
    <w:rsid w:val="00CC26D5"/>
    <w:rsid w:val="00CC31CA"/>
    <w:rsid w:val="00CC4E24"/>
    <w:rsid w:val="00CC4E2C"/>
    <w:rsid w:val="00CC524A"/>
    <w:rsid w:val="00CC544A"/>
    <w:rsid w:val="00CC556E"/>
    <w:rsid w:val="00CC58E0"/>
    <w:rsid w:val="00CC71E0"/>
    <w:rsid w:val="00CC75FF"/>
    <w:rsid w:val="00CD063B"/>
    <w:rsid w:val="00CD098C"/>
    <w:rsid w:val="00CD0F51"/>
    <w:rsid w:val="00CD15D6"/>
    <w:rsid w:val="00CD1771"/>
    <w:rsid w:val="00CD1EC3"/>
    <w:rsid w:val="00CD20E5"/>
    <w:rsid w:val="00CD23F7"/>
    <w:rsid w:val="00CD287C"/>
    <w:rsid w:val="00CD31C6"/>
    <w:rsid w:val="00CD31C8"/>
    <w:rsid w:val="00CD6D42"/>
    <w:rsid w:val="00CD7EAA"/>
    <w:rsid w:val="00CD7F6A"/>
    <w:rsid w:val="00CE211A"/>
    <w:rsid w:val="00CE28EF"/>
    <w:rsid w:val="00CE368D"/>
    <w:rsid w:val="00CE4176"/>
    <w:rsid w:val="00CE442E"/>
    <w:rsid w:val="00CE4600"/>
    <w:rsid w:val="00CE53E1"/>
    <w:rsid w:val="00CE68E0"/>
    <w:rsid w:val="00CE6B63"/>
    <w:rsid w:val="00CE6D4B"/>
    <w:rsid w:val="00CE75EB"/>
    <w:rsid w:val="00CE785D"/>
    <w:rsid w:val="00CF0943"/>
    <w:rsid w:val="00CF0A27"/>
    <w:rsid w:val="00CF1016"/>
    <w:rsid w:val="00CF10B8"/>
    <w:rsid w:val="00CF1BBF"/>
    <w:rsid w:val="00CF2D04"/>
    <w:rsid w:val="00CF3035"/>
    <w:rsid w:val="00CF31DA"/>
    <w:rsid w:val="00CF47E6"/>
    <w:rsid w:val="00CF5DA8"/>
    <w:rsid w:val="00CF5EE3"/>
    <w:rsid w:val="00CF6E06"/>
    <w:rsid w:val="00CF7272"/>
    <w:rsid w:val="00CF7378"/>
    <w:rsid w:val="00CF79BB"/>
    <w:rsid w:val="00D01292"/>
    <w:rsid w:val="00D01CEE"/>
    <w:rsid w:val="00D028A3"/>
    <w:rsid w:val="00D0430A"/>
    <w:rsid w:val="00D045E5"/>
    <w:rsid w:val="00D07CCD"/>
    <w:rsid w:val="00D108BA"/>
    <w:rsid w:val="00D11C4C"/>
    <w:rsid w:val="00D1208B"/>
    <w:rsid w:val="00D1214F"/>
    <w:rsid w:val="00D12291"/>
    <w:rsid w:val="00D13639"/>
    <w:rsid w:val="00D14583"/>
    <w:rsid w:val="00D14828"/>
    <w:rsid w:val="00D14865"/>
    <w:rsid w:val="00D14971"/>
    <w:rsid w:val="00D14AF0"/>
    <w:rsid w:val="00D14BFB"/>
    <w:rsid w:val="00D15D22"/>
    <w:rsid w:val="00D171BA"/>
    <w:rsid w:val="00D17518"/>
    <w:rsid w:val="00D20BEF"/>
    <w:rsid w:val="00D20D4A"/>
    <w:rsid w:val="00D21059"/>
    <w:rsid w:val="00D21286"/>
    <w:rsid w:val="00D21675"/>
    <w:rsid w:val="00D222F2"/>
    <w:rsid w:val="00D22C98"/>
    <w:rsid w:val="00D22CDC"/>
    <w:rsid w:val="00D235D8"/>
    <w:rsid w:val="00D23C0D"/>
    <w:rsid w:val="00D23E77"/>
    <w:rsid w:val="00D2442F"/>
    <w:rsid w:val="00D256BA"/>
    <w:rsid w:val="00D26246"/>
    <w:rsid w:val="00D26D34"/>
    <w:rsid w:val="00D30E57"/>
    <w:rsid w:val="00D3141F"/>
    <w:rsid w:val="00D31BC0"/>
    <w:rsid w:val="00D31DC3"/>
    <w:rsid w:val="00D33735"/>
    <w:rsid w:val="00D350F1"/>
    <w:rsid w:val="00D35173"/>
    <w:rsid w:val="00D36A91"/>
    <w:rsid w:val="00D36BDF"/>
    <w:rsid w:val="00D36D7B"/>
    <w:rsid w:val="00D400FB"/>
    <w:rsid w:val="00D40129"/>
    <w:rsid w:val="00D4128F"/>
    <w:rsid w:val="00D42D52"/>
    <w:rsid w:val="00D42D56"/>
    <w:rsid w:val="00D4462E"/>
    <w:rsid w:val="00D44E33"/>
    <w:rsid w:val="00D44E75"/>
    <w:rsid w:val="00D4520A"/>
    <w:rsid w:val="00D45826"/>
    <w:rsid w:val="00D46A45"/>
    <w:rsid w:val="00D4774F"/>
    <w:rsid w:val="00D479F5"/>
    <w:rsid w:val="00D47AB0"/>
    <w:rsid w:val="00D47BD5"/>
    <w:rsid w:val="00D52D86"/>
    <w:rsid w:val="00D53D24"/>
    <w:rsid w:val="00D54021"/>
    <w:rsid w:val="00D549DD"/>
    <w:rsid w:val="00D54C0E"/>
    <w:rsid w:val="00D550BE"/>
    <w:rsid w:val="00D55CD8"/>
    <w:rsid w:val="00D55F57"/>
    <w:rsid w:val="00D56795"/>
    <w:rsid w:val="00D56ABA"/>
    <w:rsid w:val="00D5705C"/>
    <w:rsid w:val="00D573A8"/>
    <w:rsid w:val="00D573F0"/>
    <w:rsid w:val="00D60C0F"/>
    <w:rsid w:val="00D60C98"/>
    <w:rsid w:val="00D612A4"/>
    <w:rsid w:val="00D6326A"/>
    <w:rsid w:val="00D64AAF"/>
    <w:rsid w:val="00D65EF3"/>
    <w:rsid w:val="00D65F77"/>
    <w:rsid w:val="00D6732F"/>
    <w:rsid w:val="00D6788F"/>
    <w:rsid w:val="00D6799A"/>
    <w:rsid w:val="00D67A88"/>
    <w:rsid w:val="00D67AF1"/>
    <w:rsid w:val="00D7029B"/>
    <w:rsid w:val="00D71252"/>
    <w:rsid w:val="00D7156F"/>
    <w:rsid w:val="00D71E26"/>
    <w:rsid w:val="00D72ECA"/>
    <w:rsid w:val="00D73405"/>
    <w:rsid w:val="00D73782"/>
    <w:rsid w:val="00D7398D"/>
    <w:rsid w:val="00D73B6A"/>
    <w:rsid w:val="00D7414D"/>
    <w:rsid w:val="00D74587"/>
    <w:rsid w:val="00D75E2F"/>
    <w:rsid w:val="00D76800"/>
    <w:rsid w:val="00D768CB"/>
    <w:rsid w:val="00D77464"/>
    <w:rsid w:val="00D77640"/>
    <w:rsid w:val="00D778A8"/>
    <w:rsid w:val="00D80117"/>
    <w:rsid w:val="00D8191F"/>
    <w:rsid w:val="00D81EBB"/>
    <w:rsid w:val="00D82BD0"/>
    <w:rsid w:val="00D84171"/>
    <w:rsid w:val="00D8447F"/>
    <w:rsid w:val="00D84D38"/>
    <w:rsid w:val="00D86922"/>
    <w:rsid w:val="00D87074"/>
    <w:rsid w:val="00D902D2"/>
    <w:rsid w:val="00D91500"/>
    <w:rsid w:val="00D91B67"/>
    <w:rsid w:val="00D9277D"/>
    <w:rsid w:val="00D93FA9"/>
    <w:rsid w:val="00D9494B"/>
    <w:rsid w:val="00D952EC"/>
    <w:rsid w:val="00D95919"/>
    <w:rsid w:val="00D95E35"/>
    <w:rsid w:val="00D97779"/>
    <w:rsid w:val="00D97EF5"/>
    <w:rsid w:val="00DA0996"/>
    <w:rsid w:val="00DA0C2F"/>
    <w:rsid w:val="00DA134C"/>
    <w:rsid w:val="00DA3063"/>
    <w:rsid w:val="00DA325B"/>
    <w:rsid w:val="00DA3402"/>
    <w:rsid w:val="00DA38D1"/>
    <w:rsid w:val="00DA42FF"/>
    <w:rsid w:val="00DA4684"/>
    <w:rsid w:val="00DA5586"/>
    <w:rsid w:val="00DA5974"/>
    <w:rsid w:val="00DA6245"/>
    <w:rsid w:val="00DA6D2F"/>
    <w:rsid w:val="00DA7A2A"/>
    <w:rsid w:val="00DB0426"/>
    <w:rsid w:val="00DB1323"/>
    <w:rsid w:val="00DB2019"/>
    <w:rsid w:val="00DB3056"/>
    <w:rsid w:val="00DB36EE"/>
    <w:rsid w:val="00DB40A0"/>
    <w:rsid w:val="00DB5312"/>
    <w:rsid w:val="00DB53FA"/>
    <w:rsid w:val="00DB5C42"/>
    <w:rsid w:val="00DB5C65"/>
    <w:rsid w:val="00DB668F"/>
    <w:rsid w:val="00DB6DF6"/>
    <w:rsid w:val="00DB71EE"/>
    <w:rsid w:val="00DB731F"/>
    <w:rsid w:val="00DC0880"/>
    <w:rsid w:val="00DC11CA"/>
    <w:rsid w:val="00DC1296"/>
    <w:rsid w:val="00DC23E7"/>
    <w:rsid w:val="00DC2E78"/>
    <w:rsid w:val="00DC33E8"/>
    <w:rsid w:val="00DC3E67"/>
    <w:rsid w:val="00DC4B45"/>
    <w:rsid w:val="00DC504C"/>
    <w:rsid w:val="00DC5602"/>
    <w:rsid w:val="00DC647D"/>
    <w:rsid w:val="00DC6CC9"/>
    <w:rsid w:val="00DC7065"/>
    <w:rsid w:val="00DC7BA6"/>
    <w:rsid w:val="00DC7FA4"/>
    <w:rsid w:val="00DD02AE"/>
    <w:rsid w:val="00DD1A30"/>
    <w:rsid w:val="00DD22E8"/>
    <w:rsid w:val="00DD2678"/>
    <w:rsid w:val="00DD2B48"/>
    <w:rsid w:val="00DD420A"/>
    <w:rsid w:val="00DD4448"/>
    <w:rsid w:val="00DD45C7"/>
    <w:rsid w:val="00DD4AA6"/>
    <w:rsid w:val="00DD53B1"/>
    <w:rsid w:val="00DD5546"/>
    <w:rsid w:val="00DD63FF"/>
    <w:rsid w:val="00DD68D3"/>
    <w:rsid w:val="00DD6B39"/>
    <w:rsid w:val="00DD6E2C"/>
    <w:rsid w:val="00DD771A"/>
    <w:rsid w:val="00DD78B6"/>
    <w:rsid w:val="00DE0D8B"/>
    <w:rsid w:val="00DE15CC"/>
    <w:rsid w:val="00DE2026"/>
    <w:rsid w:val="00DE21E1"/>
    <w:rsid w:val="00DE349D"/>
    <w:rsid w:val="00DE38E9"/>
    <w:rsid w:val="00DE3935"/>
    <w:rsid w:val="00DE3962"/>
    <w:rsid w:val="00DE400E"/>
    <w:rsid w:val="00DE42BE"/>
    <w:rsid w:val="00DE578C"/>
    <w:rsid w:val="00DE5FBA"/>
    <w:rsid w:val="00DE720F"/>
    <w:rsid w:val="00DE7561"/>
    <w:rsid w:val="00DE7A9F"/>
    <w:rsid w:val="00DE7BD9"/>
    <w:rsid w:val="00DF1E70"/>
    <w:rsid w:val="00DF2157"/>
    <w:rsid w:val="00DF2226"/>
    <w:rsid w:val="00DF2BAD"/>
    <w:rsid w:val="00DF3727"/>
    <w:rsid w:val="00DF4353"/>
    <w:rsid w:val="00DF4C08"/>
    <w:rsid w:val="00DF67AF"/>
    <w:rsid w:val="00DF68D4"/>
    <w:rsid w:val="00DF6CC6"/>
    <w:rsid w:val="00DF6F2B"/>
    <w:rsid w:val="00E00DE9"/>
    <w:rsid w:val="00E0107D"/>
    <w:rsid w:val="00E01F5A"/>
    <w:rsid w:val="00E02144"/>
    <w:rsid w:val="00E023CC"/>
    <w:rsid w:val="00E02425"/>
    <w:rsid w:val="00E024A5"/>
    <w:rsid w:val="00E028F0"/>
    <w:rsid w:val="00E02B05"/>
    <w:rsid w:val="00E03C04"/>
    <w:rsid w:val="00E04835"/>
    <w:rsid w:val="00E0508E"/>
    <w:rsid w:val="00E06198"/>
    <w:rsid w:val="00E06350"/>
    <w:rsid w:val="00E069E5"/>
    <w:rsid w:val="00E1115B"/>
    <w:rsid w:val="00E1119F"/>
    <w:rsid w:val="00E11720"/>
    <w:rsid w:val="00E11DF8"/>
    <w:rsid w:val="00E12AA0"/>
    <w:rsid w:val="00E13454"/>
    <w:rsid w:val="00E1466C"/>
    <w:rsid w:val="00E17E2F"/>
    <w:rsid w:val="00E22F7E"/>
    <w:rsid w:val="00E23045"/>
    <w:rsid w:val="00E23681"/>
    <w:rsid w:val="00E242EF"/>
    <w:rsid w:val="00E24587"/>
    <w:rsid w:val="00E24CFB"/>
    <w:rsid w:val="00E25548"/>
    <w:rsid w:val="00E265C6"/>
    <w:rsid w:val="00E30BC0"/>
    <w:rsid w:val="00E30E5E"/>
    <w:rsid w:val="00E310C7"/>
    <w:rsid w:val="00E310CB"/>
    <w:rsid w:val="00E315A4"/>
    <w:rsid w:val="00E31A6D"/>
    <w:rsid w:val="00E31D31"/>
    <w:rsid w:val="00E32C84"/>
    <w:rsid w:val="00E331BA"/>
    <w:rsid w:val="00E33CF6"/>
    <w:rsid w:val="00E33DD0"/>
    <w:rsid w:val="00E33ED1"/>
    <w:rsid w:val="00E3431C"/>
    <w:rsid w:val="00E345A8"/>
    <w:rsid w:val="00E34883"/>
    <w:rsid w:val="00E356A0"/>
    <w:rsid w:val="00E3585F"/>
    <w:rsid w:val="00E358D3"/>
    <w:rsid w:val="00E35B87"/>
    <w:rsid w:val="00E35DB9"/>
    <w:rsid w:val="00E35E62"/>
    <w:rsid w:val="00E36521"/>
    <w:rsid w:val="00E3760A"/>
    <w:rsid w:val="00E37971"/>
    <w:rsid w:val="00E37FD6"/>
    <w:rsid w:val="00E4045F"/>
    <w:rsid w:val="00E40A62"/>
    <w:rsid w:val="00E40C5C"/>
    <w:rsid w:val="00E40F96"/>
    <w:rsid w:val="00E425C0"/>
    <w:rsid w:val="00E42E97"/>
    <w:rsid w:val="00E43430"/>
    <w:rsid w:val="00E437AE"/>
    <w:rsid w:val="00E43B30"/>
    <w:rsid w:val="00E43B7E"/>
    <w:rsid w:val="00E43FCD"/>
    <w:rsid w:val="00E44721"/>
    <w:rsid w:val="00E45048"/>
    <w:rsid w:val="00E45856"/>
    <w:rsid w:val="00E467F5"/>
    <w:rsid w:val="00E51724"/>
    <w:rsid w:val="00E51D26"/>
    <w:rsid w:val="00E52609"/>
    <w:rsid w:val="00E54162"/>
    <w:rsid w:val="00E55482"/>
    <w:rsid w:val="00E556D9"/>
    <w:rsid w:val="00E55D9F"/>
    <w:rsid w:val="00E5710F"/>
    <w:rsid w:val="00E57990"/>
    <w:rsid w:val="00E604CB"/>
    <w:rsid w:val="00E61191"/>
    <w:rsid w:val="00E611D7"/>
    <w:rsid w:val="00E618B2"/>
    <w:rsid w:val="00E61A7A"/>
    <w:rsid w:val="00E61F0D"/>
    <w:rsid w:val="00E625B9"/>
    <w:rsid w:val="00E6275A"/>
    <w:rsid w:val="00E63547"/>
    <w:rsid w:val="00E63A84"/>
    <w:rsid w:val="00E63DF3"/>
    <w:rsid w:val="00E64102"/>
    <w:rsid w:val="00E64A36"/>
    <w:rsid w:val="00E650A6"/>
    <w:rsid w:val="00E66765"/>
    <w:rsid w:val="00E66864"/>
    <w:rsid w:val="00E6749F"/>
    <w:rsid w:val="00E70351"/>
    <w:rsid w:val="00E706F9"/>
    <w:rsid w:val="00E70BDA"/>
    <w:rsid w:val="00E71530"/>
    <w:rsid w:val="00E71C11"/>
    <w:rsid w:val="00E71CD2"/>
    <w:rsid w:val="00E73C07"/>
    <w:rsid w:val="00E73E9E"/>
    <w:rsid w:val="00E74029"/>
    <w:rsid w:val="00E7405F"/>
    <w:rsid w:val="00E75A28"/>
    <w:rsid w:val="00E76BA1"/>
    <w:rsid w:val="00E77706"/>
    <w:rsid w:val="00E800A7"/>
    <w:rsid w:val="00E800C6"/>
    <w:rsid w:val="00E800E5"/>
    <w:rsid w:val="00E81723"/>
    <w:rsid w:val="00E81E98"/>
    <w:rsid w:val="00E8244E"/>
    <w:rsid w:val="00E831B7"/>
    <w:rsid w:val="00E833D1"/>
    <w:rsid w:val="00E83825"/>
    <w:rsid w:val="00E83EA6"/>
    <w:rsid w:val="00E84E6E"/>
    <w:rsid w:val="00E84E82"/>
    <w:rsid w:val="00E852D8"/>
    <w:rsid w:val="00E85D51"/>
    <w:rsid w:val="00E8713C"/>
    <w:rsid w:val="00E8752F"/>
    <w:rsid w:val="00E91354"/>
    <w:rsid w:val="00E91680"/>
    <w:rsid w:val="00E91E50"/>
    <w:rsid w:val="00E923A2"/>
    <w:rsid w:val="00E92C30"/>
    <w:rsid w:val="00E9325A"/>
    <w:rsid w:val="00E93E56"/>
    <w:rsid w:val="00E94931"/>
    <w:rsid w:val="00E94A8A"/>
    <w:rsid w:val="00E95448"/>
    <w:rsid w:val="00E96B6D"/>
    <w:rsid w:val="00E96E2B"/>
    <w:rsid w:val="00E974FD"/>
    <w:rsid w:val="00E97816"/>
    <w:rsid w:val="00E97B4A"/>
    <w:rsid w:val="00EA03F0"/>
    <w:rsid w:val="00EA0496"/>
    <w:rsid w:val="00EA05D4"/>
    <w:rsid w:val="00EA0B2E"/>
    <w:rsid w:val="00EA234D"/>
    <w:rsid w:val="00EA264C"/>
    <w:rsid w:val="00EA3024"/>
    <w:rsid w:val="00EA3200"/>
    <w:rsid w:val="00EA3299"/>
    <w:rsid w:val="00EA33D2"/>
    <w:rsid w:val="00EA3424"/>
    <w:rsid w:val="00EA348E"/>
    <w:rsid w:val="00EA53E3"/>
    <w:rsid w:val="00EA5A5F"/>
    <w:rsid w:val="00EA5B33"/>
    <w:rsid w:val="00EA7205"/>
    <w:rsid w:val="00EB0927"/>
    <w:rsid w:val="00EB14B8"/>
    <w:rsid w:val="00EB1836"/>
    <w:rsid w:val="00EB26D9"/>
    <w:rsid w:val="00EB28BD"/>
    <w:rsid w:val="00EB2B04"/>
    <w:rsid w:val="00EB3649"/>
    <w:rsid w:val="00EB442A"/>
    <w:rsid w:val="00EB4AAD"/>
    <w:rsid w:val="00EB5BDC"/>
    <w:rsid w:val="00EB644C"/>
    <w:rsid w:val="00EB66FA"/>
    <w:rsid w:val="00EB7281"/>
    <w:rsid w:val="00EC05AA"/>
    <w:rsid w:val="00EC0AAE"/>
    <w:rsid w:val="00EC0D0D"/>
    <w:rsid w:val="00EC0E24"/>
    <w:rsid w:val="00EC0EEF"/>
    <w:rsid w:val="00EC1BE4"/>
    <w:rsid w:val="00EC1FF1"/>
    <w:rsid w:val="00EC21F1"/>
    <w:rsid w:val="00EC2291"/>
    <w:rsid w:val="00EC2FE0"/>
    <w:rsid w:val="00EC33E9"/>
    <w:rsid w:val="00EC38A7"/>
    <w:rsid w:val="00EC3B35"/>
    <w:rsid w:val="00EC3BEB"/>
    <w:rsid w:val="00EC4CFA"/>
    <w:rsid w:val="00EC50E0"/>
    <w:rsid w:val="00EC5788"/>
    <w:rsid w:val="00EC5BF9"/>
    <w:rsid w:val="00EC6054"/>
    <w:rsid w:val="00EC62D4"/>
    <w:rsid w:val="00EC7095"/>
    <w:rsid w:val="00EC785C"/>
    <w:rsid w:val="00EC7883"/>
    <w:rsid w:val="00EC7942"/>
    <w:rsid w:val="00ED08F2"/>
    <w:rsid w:val="00ED0A76"/>
    <w:rsid w:val="00ED0AB6"/>
    <w:rsid w:val="00ED24E7"/>
    <w:rsid w:val="00ED43AD"/>
    <w:rsid w:val="00ED5772"/>
    <w:rsid w:val="00ED5C67"/>
    <w:rsid w:val="00ED5E1C"/>
    <w:rsid w:val="00ED5ED3"/>
    <w:rsid w:val="00ED76AA"/>
    <w:rsid w:val="00ED7AA3"/>
    <w:rsid w:val="00ED7E5E"/>
    <w:rsid w:val="00EE064D"/>
    <w:rsid w:val="00EE1618"/>
    <w:rsid w:val="00EE1ADE"/>
    <w:rsid w:val="00EE2BD7"/>
    <w:rsid w:val="00EE2D7C"/>
    <w:rsid w:val="00EE347F"/>
    <w:rsid w:val="00EE3E93"/>
    <w:rsid w:val="00EE3EF9"/>
    <w:rsid w:val="00EE46E3"/>
    <w:rsid w:val="00EE49AC"/>
    <w:rsid w:val="00EE5E03"/>
    <w:rsid w:val="00EE7033"/>
    <w:rsid w:val="00EE724B"/>
    <w:rsid w:val="00EE7352"/>
    <w:rsid w:val="00EE740F"/>
    <w:rsid w:val="00EE77A4"/>
    <w:rsid w:val="00EE7FC6"/>
    <w:rsid w:val="00EF033F"/>
    <w:rsid w:val="00EF067E"/>
    <w:rsid w:val="00EF0869"/>
    <w:rsid w:val="00EF1222"/>
    <w:rsid w:val="00EF12DA"/>
    <w:rsid w:val="00EF1E8E"/>
    <w:rsid w:val="00EF28A3"/>
    <w:rsid w:val="00EF33C4"/>
    <w:rsid w:val="00EF381E"/>
    <w:rsid w:val="00EF3C5A"/>
    <w:rsid w:val="00EF3C70"/>
    <w:rsid w:val="00EF3F01"/>
    <w:rsid w:val="00EF4114"/>
    <w:rsid w:val="00EF4FFB"/>
    <w:rsid w:val="00EF550C"/>
    <w:rsid w:val="00EF597E"/>
    <w:rsid w:val="00EF5AD4"/>
    <w:rsid w:val="00EF760A"/>
    <w:rsid w:val="00F0077C"/>
    <w:rsid w:val="00F018D0"/>
    <w:rsid w:val="00F01BEA"/>
    <w:rsid w:val="00F021DB"/>
    <w:rsid w:val="00F02F51"/>
    <w:rsid w:val="00F02FC4"/>
    <w:rsid w:val="00F0443D"/>
    <w:rsid w:val="00F0565B"/>
    <w:rsid w:val="00F05BEC"/>
    <w:rsid w:val="00F05D26"/>
    <w:rsid w:val="00F065B8"/>
    <w:rsid w:val="00F06C26"/>
    <w:rsid w:val="00F06F3F"/>
    <w:rsid w:val="00F101EC"/>
    <w:rsid w:val="00F1134C"/>
    <w:rsid w:val="00F11779"/>
    <w:rsid w:val="00F124DD"/>
    <w:rsid w:val="00F1266C"/>
    <w:rsid w:val="00F13281"/>
    <w:rsid w:val="00F135BC"/>
    <w:rsid w:val="00F14F20"/>
    <w:rsid w:val="00F15598"/>
    <w:rsid w:val="00F15936"/>
    <w:rsid w:val="00F15D59"/>
    <w:rsid w:val="00F176DB"/>
    <w:rsid w:val="00F179F7"/>
    <w:rsid w:val="00F2060A"/>
    <w:rsid w:val="00F2123A"/>
    <w:rsid w:val="00F21EF0"/>
    <w:rsid w:val="00F22087"/>
    <w:rsid w:val="00F22177"/>
    <w:rsid w:val="00F235DC"/>
    <w:rsid w:val="00F2365B"/>
    <w:rsid w:val="00F240E8"/>
    <w:rsid w:val="00F24824"/>
    <w:rsid w:val="00F24D5F"/>
    <w:rsid w:val="00F24DD2"/>
    <w:rsid w:val="00F2553D"/>
    <w:rsid w:val="00F25C70"/>
    <w:rsid w:val="00F263E5"/>
    <w:rsid w:val="00F27660"/>
    <w:rsid w:val="00F27BF5"/>
    <w:rsid w:val="00F30413"/>
    <w:rsid w:val="00F305D0"/>
    <w:rsid w:val="00F30915"/>
    <w:rsid w:val="00F30C98"/>
    <w:rsid w:val="00F331A5"/>
    <w:rsid w:val="00F34426"/>
    <w:rsid w:val="00F3460A"/>
    <w:rsid w:val="00F34748"/>
    <w:rsid w:val="00F351EA"/>
    <w:rsid w:val="00F35500"/>
    <w:rsid w:val="00F35678"/>
    <w:rsid w:val="00F359F9"/>
    <w:rsid w:val="00F36049"/>
    <w:rsid w:val="00F37101"/>
    <w:rsid w:val="00F40785"/>
    <w:rsid w:val="00F407AF"/>
    <w:rsid w:val="00F411FD"/>
    <w:rsid w:val="00F41229"/>
    <w:rsid w:val="00F418BA"/>
    <w:rsid w:val="00F42096"/>
    <w:rsid w:val="00F42782"/>
    <w:rsid w:val="00F42AB9"/>
    <w:rsid w:val="00F42B3F"/>
    <w:rsid w:val="00F42B4E"/>
    <w:rsid w:val="00F42B6A"/>
    <w:rsid w:val="00F44794"/>
    <w:rsid w:val="00F44BF5"/>
    <w:rsid w:val="00F4576F"/>
    <w:rsid w:val="00F46250"/>
    <w:rsid w:val="00F46519"/>
    <w:rsid w:val="00F4798B"/>
    <w:rsid w:val="00F50439"/>
    <w:rsid w:val="00F50C72"/>
    <w:rsid w:val="00F51214"/>
    <w:rsid w:val="00F51638"/>
    <w:rsid w:val="00F51802"/>
    <w:rsid w:val="00F53499"/>
    <w:rsid w:val="00F53C26"/>
    <w:rsid w:val="00F543E5"/>
    <w:rsid w:val="00F54C7E"/>
    <w:rsid w:val="00F54CD2"/>
    <w:rsid w:val="00F5544D"/>
    <w:rsid w:val="00F5679B"/>
    <w:rsid w:val="00F56AA2"/>
    <w:rsid w:val="00F56C54"/>
    <w:rsid w:val="00F57351"/>
    <w:rsid w:val="00F57749"/>
    <w:rsid w:val="00F61294"/>
    <w:rsid w:val="00F6175E"/>
    <w:rsid w:val="00F61E5F"/>
    <w:rsid w:val="00F628EF"/>
    <w:rsid w:val="00F62EB9"/>
    <w:rsid w:val="00F632B3"/>
    <w:rsid w:val="00F655DE"/>
    <w:rsid w:val="00F65990"/>
    <w:rsid w:val="00F65CEA"/>
    <w:rsid w:val="00F65F65"/>
    <w:rsid w:val="00F661F2"/>
    <w:rsid w:val="00F67236"/>
    <w:rsid w:val="00F67743"/>
    <w:rsid w:val="00F678C4"/>
    <w:rsid w:val="00F679EB"/>
    <w:rsid w:val="00F67F13"/>
    <w:rsid w:val="00F70538"/>
    <w:rsid w:val="00F70740"/>
    <w:rsid w:val="00F7125F"/>
    <w:rsid w:val="00F71A1B"/>
    <w:rsid w:val="00F720BA"/>
    <w:rsid w:val="00F723A9"/>
    <w:rsid w:val="00F738F6"/>
    <w:rsid w:val="00F74716"/>
    <w:rsid w:val="00F75D57"/>
    <w:rsid w:val="00F76395"/>
    <w:rsid w:val="00F77EA8"/>
    <w:rsid w:val="00F8120F"/>
    <w:rsid w:val="00F81770"/>
    <w:rsid w:val="00F819A3"/>
    <w:rsid w:val="00F81C3D"/>
    <w:rsid w:val="00F82484"/>
    <w:rsid w:val="00F82918"/>
    <w:rsid w:val="00F82E30"/>
    <w:rsid w:val="00F82E4B"/>
    <w:rsid w:val="00F83145"/>
    <w:rsid w:val="00F8337F"/>
    <w:rsid w:val="00F84197"/>
    <w:rsid w:val="00F84359"/>
    <w:rsid w:val="00F84CF3"/>
    <w:rsid w:val="00F84D7B"/>
    <w:rsid w:val="00F855B3"/>
    <w:rsid w:val="00F85701"/>
    <w:rsid w:val="00F86126"/>
    <w:rsid w:val="00F87ABF"/>
    <w:rsid w:val="00F904F9"/>
    <w:rsid w:val="00F909A1"/>
    <w:rsid w:val="00F90F88"/>
    <w:rsid w:val="00F91FE6"/>
    <w:rsid w:val="00F9222B"/>
    <w:rsid w:val="00F925A5"/>
    <w:rsid w:val="00F925B7"/>
    <w:rsid w:val="00F9268F"/>
    <w:rsid w:val="00F927AC"/>
    <w:rsid w:val="00F93257"/>
    <w:rsid w:val="00F93739"/>
    <w:rsid w:val="00F938DB"/>
    <w:rsid w:val="00F943D1"/>
    <w:rsid w:val="00F95E21"/>
    <w:rsid w:val="00F966D4"/>
    <w:rsid w:val="00F9729F"/>
    <w:rsid w:val="00F978D6"/>
    <w:rsid w:val="00F97A43"/>
    <w:rsid w:val="00FA07C5"/>
    <w:rsid w:val="00FA09B3"/>
    <w:rsid w:val="00FA10FF"/>
    <w:rsid w:val="00FA3BF3"/>
    <w:rsid w:val="00FA4D0F"/>
    <w:rsid w:val="00FA688B"/>
    <w:rsid w:val="00FA6E3B"/>
    <w:rsid w:val="00FA6F8B"/>
    <w:rsid w:val="00FA71AB"/>
    <w:rsid w:val="00FB01B9"/>
    <w:rsid w:val="00FB052C"/>
    <w:rsid w:val="00FB184C"/>
    <w:rsid w:val="00FB1D3D"/>
    <w:rsid w:val="00FB3125"/>
    <w:rsid w:val="00FB3F5C"/>
    <w:rsid w:val="00FB3FA9"/>
    <w:rsid w:val="00FB4227"/>
    <w:rsid w:val="00FB4C01"/>
    <w:rsid w:val="00FB4D4F"/>
    <w:rsid w:val="00FB5CD7"/>
    <w:rsid w:val="00FB5D43"/>
    <w:rsid w:val="00FB61CA"/>
    <w:rsid w:val="00FB63B5"/>
    <w:rsid w:val="00FB6401"/>
    <w:rsid w:val="00FB689A"/>
    <w:rsid w:val="00FB6FBF"/>
    <w:rsid w:val="00FB6FE2"/>
    <w:rsid w:val="00FB7C6B"/>
    <w:rsid w:val="00FB7EFE"/>
    <w:rsid w:val="00FC158F"/>
    <w:rsid w:val="00FC15D8"/>
    <w:rsid w:val="00FC2490"/>
    <w:rsid w:val="00FC2D3E"/>
    <w:rsid w:val="00FC3DB1"/>
    <w:rsid w:val="00FC42C3"/>
    <w:rsid w:val="00FC62DD"/>
    <w:rsid w:val="00FC68A6"/>
    <w:rsid w:val="00FC701C"/>
    <w:rsid w:val="00FC7241"/>
    <w:rsid w:val="00FC7B9D"/>
    <w:rsid w:val="00FC7DF7"/>
    <w:rsid w:val="00FD03D5"/>
    <w:rsid w:val="00FD14CC"/>
    <w:rsid w:val="00FD16AD"/>
    <w:rsid w:val="00FD2F89"/>
    <w:rsid w:val="00FD3494"/>
    <w:rsid w:val="00FD3F03"/>
    <w:rsid w:val="00FD4428"/>
    <w:rsid w:val="00FD675F"/>
    <w:rsid w:val="00FD7887"/>
    <w:rsid w:val="00FE009F"/>
    <w:rsid w:val="00FE0437"/>
    <w:rsid w:val="00FE1226"/>
    <w:rsid w:val="00FE2514"/>
    <w:rsid w:val="00FE2534"/>
    <w:rsid w:val="00FE25FA"/>
    <w:rsid w:val="00FE2A0D"/>
    <w:rsid w:val="00FE2A0F"/>
    <w:rsid w:val="00FE375C"/>
    <w:rsid w:val="00FE4F0B"/>
    <w:rsid w:val="00FE4F9D"/>
    <w:rsid w:val="00FE567F"/>
    <w:rsid w:val="00FE5E9C"/>
    <w:rsid w:val="00FE6CE5"/>
    <w:rsid w:val="00FE70BD"/>
    <w:rsid w:val="00FE7B38"/>
    <w:rsid w:val="00FF033C"/>
    <w:rsid w:val="00FF1778"/>
    <w:rsid w:val="00FF1AD9"/>
    <w:rsid w:val="00FF1B90"/>
    <w:rsid w:val="00FF1BE2"/>
    <w:rsid w:val="00FF239D"/>
    <w:rsid w:val="00FF2407"/>
    <w:rsid w:val="00FF29DE"/>
    <w:rsid w:val="00FF2C3E"/>
    <w:rsid w:val="00FF384E"/>
    <w:rsid w:val="00FF3966"/>
    <w:rsid w:val="00FF3B81"/>
    <w:rsid w:val="00FF3B92"/>
    <w:rsid w:val="00FF622B"/>
    <w:rsid w:val="00FF6762"/>
    <w:rsid w:val="00FF6D54"/>
    <w:rsid w:val="00FF6D90"/>
    <w:rsid w:val="00FF726C"/>
    <w:rsid w:val="00FF7730"/>
    <w:rsid w:val="00FF7B31"/>
    <w:rsid w:val="011EBA28"/>
    <w:rsid w:val="01277163"/>
    <w:rsid w:val="01927392"/>
    <w:rsid w:val="0278C03A"/>
    <w:rsid w:val="02C71D92"/>
    <w:rsid w:val="0347ACD7"/>
    <w:rsid w:val="039AAAE1"/>
    <w:rsid w:val="041797E9"/>
    <w:rsid w:val="041C2591"/>
    <w:rsid w:val="041C816B"/>
    <w:rsid w:val="04752AD1"/>
    <w:rsid w:val="047C349B"/>
    <w:rsid w:val="04F62E05"/>
    <w:rsid w:val="0502120B"/>
    <w:rsid w:val="05288950"/>
    <w:rsid w:val="0566EAEB"/>
    <w:rsid w:val="05C71C29"/>
    <w:rsid w:val="06CBE41F"/>
    <w:rsid w:val="06D67509"/>
    <w:rsid w:val="06DA9E44"/>
    <w:rsid w:val="06FBED18"/>
    <w:rsid w:val="070ABFF3"/>
    <w:rsid w:val="07CF3CE8"/>
    <w:rsid w:val="07F10C8A"/>
    <w:rsid w:val="07FBFC14"/>
    <w:rsid w:val="082AB0A3"/>
    <w:rsid w:val="0869E4B1"/>
    <w:rsid w:val="08826192"/>
    <w:rsid w:val="08D728EC"/>
    <w:rsid w:val="097A0E71"/>
    <w:rsid w:val="099C0AAD"/>
    <w:rsid w:val="09AE692C"/>
    <w:rsid w:val="0A5554FD"/>
    <w:rsid w:val="0A8F9E9C"/>
    <w:rsid w:val="0AB2A144"/>
    <w:rsid w:val="0AEADEB4"/>
    <w:rsid w:val="0B2B025A"/>
    <w:rsid w:val="0B99ACB8"/>
    <w:rsid w:val="0BA61712"/>
    <w:rsid w:val="0BBECA35"/>
    <w:rsid w:val="0BBECD07"/>
    <w:rsid w:val="0BE9A204"/>
    <w:rsid w:val="0BFCE2EA"/>
    <w:rsid w:val="0CE9E1EA"/>
    <w:rsid w:val="0D26C534"/>
    <w:rsid w:val="0D28EE2F"/>
    <w:rsid w:val="0D4A3C14"/>
    <w:rsid w:val="0DBE7D9E"/>
    <w:rsid w:val="0E0717D5"/>
    <w:rsid w:val="0EC99CC3"/>
    <w:rsid w:val="0FED850A"/>
    <w:rsid w:val="104EA444"/>
    <w:rsid w:val="10717E0F"/>
    <w:rsid w:val="1138A650"/>
    <w:rsid w:val="11537F6A"/>
    <w:rsid w:val="11758126"/>
    <w:rsid w:val="1187C72E"/>
    <w:rsid w:val="11A2890A"/>
    <w:rsid w:val="11AAFB03"/>
    <w:rsid w:val="12C1233E"/>
    <w:rsid w:val="12ED1AB1"/>
    <w:rsid w:val="135470FB"/>
    <w:rsid w:val="135A386A"/>
    <w:rsid w:val="136EDF04"/>
    <w:rsid w:val="139A90D3"/>
    <w:rsid w:val="139DFA24"/>
    <w:rsid w:val="13CEB53C"/>
    <w:rsid w:val="1436FB6B"/>
    <w:rsid w:val="14B5B5D5"/>
    <w:rsid w:val="14E32763"/>
    <w:rsid w:val="155798ED"/>
    <w:rsid w:val="1582B337"/>
    <w:rsid w:val="16429075"/>
    <w:rsid w:val="1664E5A3"/>
    <w:rsid w:val="168941D7"/>
    <w:rsid w:val="16C12890"/>
    <w:rsid w:val="16C3DBAE"/>
    <w:rsid w:val="16CCB189"/>
    <w:rsid w:val="177E79EC"/>
    <w:rsid w:val="17B3FFFB"/>
    <w:rsid w:val="18065DFD"/>
    <w:rsid w:val="183950E1"/>
    <w:rsid w:val="183E2212"/>
    <w:rsid w:val="18D71BE8"/>
    <w:rsid w:val="190B92EC"/>
    <w:rsid w:val="19A4D90B"/>
    <w:rsid w:val="19EA656B"/>
    <w:rsid w:val="19FF3AFC"/>
    <w:rsid w:val="19FFA70C"/>
    <w:rsid w:val="1A2FC1B5"/>
    <w:rsid w:val="1A314C06"/>
    <w:rsid w:val="1ACEAF56"/>
    <w:rsid w:val="1AD7D1B5"/>
    <w:rsid w:val="1B1A6166"/>
    <w:rsid w:val="1B378B6B"/>
    <w:rsid w:val="1B4CAE12"/>
    <w:rsid w:val="1BAA019A"/>
    <w:rsid w:val="1D57542D"/>
    <w:rsid w:val="1D865B5B"/>
    <w:rsid w:val="1DD7CA1B"/>
    <w:rsid w:val="1DED5E44"/>
    <w:rsid w:val="1DF99588"/>
    <w:rsid w:val="1DF9D322"/>
    <w:rsid w:val="1DFECA02"/>
    <w:rsid w:val="1E5978E1"/>
    <w:rsid w:val="1E604C5C"/>
    <w:rsid w:val="1EB5252F"/>
    <w:rsid w:val="1EFEE34B"/>
    <w:rsid w:val="1F493240"/>
    <w:rsid w:val="1F563DF1"/>
    <w:rsid w:val="1FAD6816"/>
    <w:rsid w:val="1FB12CCD"/>
    <w:rsid w:val="1FB76644"/>
    <w:rsid w:val="20248174"/>
    <w:rsid w:val="20290734"/>
    <w:rsid w:val="206FB735"/>
    <w:rsid w:val="20866531"/>
    <w:rsid w:val="208D1584"/>
    <w:rsid w:val="20AE9D92"/>
    <w:rsid w:val="20CE6337"/>
    <w:rsid w:val="22166314"/>
    <w:rsid w:val="225A9D43"/>
    <w:rsid w:val="229BF43E"/>
    <w:rsid w:val="230260CE"/>
    <w:rsid w:val="2318D6C4"/>
    <w:rsid w:val="233A4B54"/>
    <w:rsid w:val="2342731C"/>
    <w:rsid w:val="239594D1"/>
    <w:rsid w:val="239C0A27"/>
    <w:rsid w:val="23A8A6E9"/>
    <w:rsid w:val="23B3E20E"/>
    <w:rsid w:val="2470B1CB"/>
    <w:rsid w:val="24828536"/>
    <w:rsid w:val="24AE94F8"/>
    <w:rsid w:val="25251A0D"/>
    <w:rsid w:val="252620F7"/>
    <w:rsid w:val="255218B3"/>
    <w:rsid w:val="25AAE9AF"/>
    <w:rsid w:val="25CC1F64"/>
    <w:rsid w:val="261EEA1B"/>
    <w:rsid w:val="2653CB35"/>
    <w:rsid w:val="269A5809"/>
    <w:rsid w:val="269E342A"/>
    <w:rsid w:val="26A517EE"/>
    <w:rsid w:val="271ADE88"/>
    <w:rsid w:val="272BAD8F"/>
    <w:rsid w:val="2770F9B7"/>
    <w:rsid w:val="277925C5"/>
    <w:rsid w:val="278FDFE3"/>
    <w:rsid w:val="27BC62EA"/>
    <w:rsid w:val="28053AD2"/>
    <w:rsid w:val="283C0FDB"/>
    <w:rsid w:val="285FCF29"/>
    <w:rsid w:val="287170A6"/>
    <w:rsid w:val="28957917"/>
    <w:rsid w:val="28AB40BD"/>
    <w:rsid w:val="28BB389B"/>
    <w:rsid w:val="28D10264"/>
    <w:rsid w:val="28DC2667"/>
    <w:rsid w:val="28E03B2C"/>
    <w:rsid w:val="28FE1A42"/>
    <w:rsid w:val="2937D870"/>
    <w:rsid w:val="297F111A"/>
    <w:rsid w:val="2A038AC1"/>
    <w:rsid w:val="2A97352D"/>
    <w:rsid w:val="2AA6D19B"/>
    <w:rsid w:val="2AAC1D13"/>
    <w:rsid w:val="2AC3D3E7"/>
    <w:rsid w:val="2AC3F351"/>
    <w:rsid w:val="2B64F3CD"/>
    <w:rsid w:val="2B6C1350"/>
    <w:rsid w:val="2B7B9A85"/>
    <w:rsid w:val="2B8FFB3A"/>
    <w:rsid w:val="2B987A3C"/>
    <w:rsid w:val="2C1CC3DB"/>
    <w:rsid w:val="2C50D121"/>
    <w:rsid w:val="2CC0F366"/>
    <w:rsid w:val="2D14D0C8"/>
    <w:rsid w:val="2D587F44"/>
    <w:rsid w:val="2D6763F0"/>
    <w:rsid w:val="2D72671D"/>
    <w:rsid w:val="2D7F0656"/>
    <w:rsid w:val="2E1A66E8"/>
    <w:rsid w:val="2E77061C"/>
    <w:rsid w:val="2E9C1494"/>
    <w:rsid w:val="2EE861E5"/>
    <w:rsid w:val="2F07873E"/>
    <w:rsid w:val="2F2E65B6"/>
    <w:rsid w:val="2F9FD3C5"/>
    <w:rsid w:val="3045E4AA"/>
    <w:rsid w:val="3063A04C"/>
    <w:rsid w:val="307E62C4"/>
    <w:rsid w:val="30845F7B"/>
    <w:rsid w:val="30A1FC64"/>
    <w:rsid w:val="30E44378"/>
    <w:rsid w:val="311BDB54"/>
    <w:rsid w:val="31337BA9"/>
    <w:rsid w:val="3136BAEC"/>
    <w:rsid w:val="31AFE464"/>
    <w:rsid w:val="32226ED1"/>
    <w:rsid w:val="3296F9E0"/>
    <w:rsid w:val="32A2CDED"/>
    <w:rsid w:val="32AC5D73"/>
    <w:rsid w:val="32ECFBE2"/>
    <w:rsid w:val="32EF40B2"/>
    <w:rsid w:val="33229C90"/>
    <w:rsid w:val="33852838"/>
    <w:rsid w:val="33FCD626"/>
    <w:rsid w:val="3406C32C"/>
    <w:rsid w:val="341210BB"/>
    <w:rsid w:val="341C90CC"/>
    <w:rsid w:val="343D8388"/>
    <w:rsid w:val="344970FB"/>
    <w:rsid w:val="345192EB"/>
    <w:rsid w:val="348306CB"/>
    <w:rsid w:val="359E944C"/>
    <w:rsid w:val="35F2E7B8"/>
    <w:rsid w:val="361E544F"/>
    <w:rsid w:val="3620E84C"/>
    <w:rsid w:val="363A339A"/>
    <w:rsid w:val="366DC1BC"/>
    <w:rsid w:val="3674C03D"/>
    <w:rsid w:val="368BF223"/>
    <w:rsid w:val="3696B4ED"/>
    <w:rsid w:val="36BBA596"/>
    <w:rsid w:val="378639B8"/>
    <w:rsid w:val="3787895E"/>
    <w:rsid w:val="37945133"/>
    <w:rsid w:val="379BC839"/>
    <w:rsid w:val="37C52BFB"/>
    <w:rsid w:val="37DB89B0"/>
    <w:rsid w:val="380661EA"/>
    <w:rsid w:val="380F0AC1"/>
    <w:rsid w:val="383549B2"/>
    <w:rsid w:val="38534431"/>
    <w:rsid w:val="385573B0"/>
    <w:rsid w:val="389C17B7"/>
    <w:rsid w:val="3917129E"/>
    <w:rsid w:val="395B2F11"/>
    <w:rsid w:val="39721096"/>
    <w:rsid w:val="39CE5610"/>
    <w:rsid w:val="3A80ECAF"/>
    <w:rsid w:val="3A8381CE"/>
    <w:rsid w:val="3ABFA9EE"/>
    <w:rsid w:val="3AF33BB9"/>
    <w:rsid w:val="3B66C3B3"/>
    <w:rsid w:val="3BB5F170"/>
    <w:rsid w:val="3BBF177C"/>
    <w:rsid w:val="3BD8ABC8"/>
    <w:rsid w:val="3BDF9F0F"/>
    <w:rsid w:val="3BE4243C"/>
    <w:rsid w:val="3C0BE6D4"/>
    <w:rsid w:val="3C1204AE"/>
    <w:rsid w:val="3CC69DC1"/>
    <w:rsid w:val="3CFBB913"/>
    <w:rsid w:val="3D265A97"/>
    <w:rsid w:val="3DCED1B6"/>
    <w:rsid w:val="3E06EBE4"/>
    <w:rsid w:val="3E22160A"/>
    <w:rsid w:val="3E238457"/>
    <w:rsid w:val="3E24CA11"/>
    <w:rsid w:val="3E2D7255"/>
    <w:rsid w:val="3E3191AD"/>
    <w:rsid w:val="3E728272"/>
    <w:rsid w:val="3F1EA7C8"/>
    <w:rsid w:val="3F37DB59"/>
    <w:rsid w:val="3F9F04AE"/>
    <w:rsid w:val="3FA61F0E"/>
    <w:rsid w:val="3FC6704B"/>
    <w:rsid w:val="3FE24539"/>
    <w:rsid w:val="3FF04084"/>
    <w:rsid w:val="3FFE63A4"/>
    <w:rsid w:val="40857EA4"/>
    <w:rsid w:val="411692DA"/>
    <w:rsid w:val="413EED85"/>
    <w:rsid w:val="41A9EEC4"/>
    <w:rsid w:val="42386FD2"/>
    <w:rsid w:val="435A7C9A"/>
    <w:rsid w:val="43733DBE"/>
    <w:rsid w:val="43C4DFEB"/>
    <w:rsid w:val="43DD9C37"/>
    <w:rsid w:val="43F306ED"/>
    <w:rsid w:val="4417DC56"/>
    <w:rsid w:val="442907B7"/>
    <w:rsid w:val="442CD07E"/>
    <w:rsid w:val="444CDDE2"/>
    <w:rsid w:val="4450E547"/>
    <w:rsid w:val="44692502"/>
    <w:rsid w:val="44F7917E"/>
    <w:rsid w:val="451F2E23"/>
    <w:rsid w:val="452C1C74"/>
    <w:rsid w:val="4598AA6C"/>
    <w:rsid w:val="45C3CA1F"/>
    <w:rsid w:val="462A7454"/>
    <w:rsid w:val="462DA818"/>
    <w:rsid w:val="4637CDD3"/>
    <w:rsid w:val="46642A81"/>
    <w:rsid w:val="4677E3BE"/>
    <w:rsid w:val="46C9169B"/>
    <w:rsid w:val="46C9EBDF"/>
    <w:rsid w:val="46DCAAA1"/>
    <w:rsid w:val="46F3F4F7"/>
    <w:rsid w:val="4722426A"/>
    <w:rsid w:val="474E141F"/>
    <w:rsid w:val="4754BFCA"/>
    <w:rsid w:val="4773BA10"/>
    <w:rsid w:val="478F4580"/>
    <w:rsid w:val="47A0F2D9"/>
    <w:rsid w:val="47A15B01"/>
    <w:rsid w:val="47C573B9"/>
    <w:rsid w:val="481F02F7"/>
    <w:rsid w:val="481F2EA3"/>
    <w:rsid w:val="484CA384"/>
    <w:rsid w:val="48967B4F"/>
    <w:rsid w:val="48C5B8DD"/>
    <w:rsid w:val="49313B10"/>
    <w:rsid w:val="49A1C67D"/>
    <w:rsid w:val="49AC9FDD"/>
    <w:rsid w:val="49C7537D"/>
    <w:rsid w:val="49CA9863"/>
    <w:rsid w:val="4A07A413"/>
    <w:rsid w:val="4A102D3F"/>
    <w:rsid w:val="4A73CE1A"/>
    <w:rsid w:val="4A77B8C8"/>
    <w:rsid w:val="4A950D06"/>
    <w:rsid w:val="4A9F7EA5"/>
    <w:rsid w:val="4AD97C07"/>
    <w:rsid w:val="4AF52815"/>
    <w:rsid w:val="4B0D7B1E"/>
    <w:rsid w:val="4B586762"/>
    <w:rsid w:val="4BA530D2"/>
    <w:rsid w:val="4BFE5A5A"/>
    <w:rsid w:val="4C2CC192"/>
    <w:rsid w:val="4C45F88C"/>
    <w:rsid w:val="4C8ABC31"/>
    <w:rsid w:val="4D02B07B"/>
    <w:rsid w:val="4D2498FE"/>
    <w:rsid w:val="4D2F5895"/>
    <w:rsid w:val="4D59CAC7"/>
    <w:rsid w:val="4DBCE888"/>
    <w:rsid w:val="4DC3385A"/>
    <w:rsid w:val="4DCE42C5"/>
    <w:rsid w:val="4DD53DE0"/>
    <w:rsid w:val="4DF03656"/>
    <w:rsid w:val="4E54E44D"/>
    <w:rsid w:val="4E7A2CCC"/>
    <w:rsid w:val="4E9A2B72"/>
    <w:rsid w:val="4F3B0B5D"/>
    <w:rsid w:val="4F7746DA"/>
    <w:rsid w:val="4FEB20E4"/>
    <w:rsid w:val="501DB95C"/>
    <w:rsid w:val="505D3873"/>
    <w:rsid w:val="50643FB3"/>
    <w:rsid w:val="506DA85A"/>
    <w:rsid w:val="5073DC52"/>
    <w:rsid w:val="5076C689"/>
    <w:rsid w:val="50B32A32"/>
    <w:rsid w:val="50C66D1F"/>
    <w:rsid w:val="50CE84D3"/>
    <w:rsid w:val="5105E120"/>
    <w:rsid w:val="513EBEAE"/>
    <w:rsid w:val="515BED9D"/>
    <w:rsid w:val="515D1F36"/>
    <w:rsid w:val="519E62BA"/>
    <w:rsid w:val="51A2C20B"/>
    <w:rsid w:val="51D76110"/>
    <w:rsid w:val="51E435A3"/>
    <w:rsid w:val="51EA2564"/>
    <w:rsid w:val="51EE947D"/>
    <w:rsid w:val="52298E92"/>
    <w:rsid w:val="524F6AC5"/>
    <w:rsid w:val="527F4EA7"/>
    <w:rsid w:val="5305345C"/>
    <w:rsid w:val="53385B74"/>
    <w:rsid w:val="538E0C23"/>
    <w:rsid w:val="53B8678E"/>
    <w:rsid w:val="53F67C92"/>
    <w:rsid w:val="5444B490"/>
    <w:rsid w:val="54703B2D"/>
    <w:rsid w:val="54826AC1"/>
    <w:rsid w:val="54939D4E"/>
    <w:rsid w:val="551912EA"/>
    <w:rsid w:val="554A1F3B"/>
    <w:rsid w:val="559BB821"/>
    <w:rsid w:val="55BC5903"/>
    <w:rsid w:val="55CBE9AD"/>
    <w:rsid w:val="55F5B063"/>
    <w:rsid w:val="56034678"/>
    <w:rsid w:val="561A0912"/>
    <w:rsid w:val="565A2906"/>
    <w:rsid w:val="56D265BE"/>
    <w:rsid w:val="56E9CCC4"/>
    <w:rsid w:val="56F2A10D"/>
    <w:rsid w:val="57053B92"/>
    <w:rsid w:val="573544DC"/>
    <w:rsid w:val="57ADE282"/>
    <w:rsid w:val="57E7E525"/>
    <w:rsid w:val="57EE3412"/>
    <w:rsid w:val="580332FC"/>
    <w:rsid w:val="5825D78F"/>
    <w:rsid w:val="5829D77E"/>
    <w:rsid w:val="582F5476"/>
    <w:rsid w:val="58C56D34"/>
    <w:rsid w:val="58D2722D"/>
    <w:rsid w:val="58D827C1"/>
    <w:rsid w:val="592582B4"/>
    <w:rsid w:val="5943DA6F"/>
    <w:rsid w:val="59589238"/>
    <w:rsid w:val="59A67686"/>
    <w:rsid w:val="59C91AAB"/>
    <w:rsid w:val="59CC8323"/>
    <w:rsid w:val="5AD978EB"/>
    <w:rsid w:val="5ADF381E"/>
    <w:rsid w:val="5C14B8D1"/>
    <w:rsid w:val="5C5FC2D7"/>
    <w:rsid w:val="5C88C391"/>
    <w:rsid w:val="5CC4EF08"/>
    <w:rsid w:val="5CF49486"/>
    <w:rsid w:val="5D09D84A"/>
    <w:rsid w:val="5D201FE8"/>
    <w:rsid w:val="5E1203D9"/>
    <w:rsid w:val="5E3F505D"/>
    <w:rsid w:val="5E5F6953"/>
    <w:rsid w:val="5E6B4E7E"/>
    <w:rsid w:val="5E6CF5B3"/>
    <w:rsid w:val="5ED0CC72"/>
    <w:rsid w:val="5EDC5833"/>
    <w:rsid w:val="5EFEDBB1"/>
    <w:rsid w:val="5F28B0A1"/>
    <w:rsid w:val="5F39F8C5"/>
    <w:rsid w:val="5F4E6538"/>
    <w:rsid w:val="5FA8F6A8"/>
    <w:rsid w:val="60111187"/>
    <w:rsid w:val="603FD52D"/>
    <w:rsid w:val="6070CF7D"/>
    <w:rsid w:val="60ED64BE"/>
    <w:rsid w:val="6161CAE8"/>
    <w:rsid w:val="61707296"/>
    <w:rsid w:val="618E827F"/>
    <w:rsid w:val="61B53CB9"/>
    <w:rsid w:val="61C17C06"/>
    <w:rsid w:val="626FFD53"/>
    <w:rsid w:val="62A48DDE"/>
    <w:rsid w:val="62CEAF8E"/>
    <w:rsid w:val="62FB28E4"/>
    <w:rsid w:val="632CEFCA"/>
    <w:rsid w:val="6361135F"/>
    <w:rsid w:val="63B14E29"/>
    <w:rsid w:val="63C13346"/>
    <w:rsid w:val="63D021DC"/>
    <w:rsid w:val="6424296C"/>
    <w:rsid w:val="6456FC00"/>
    <w:rsid w:val="64A3C953"/>
    <w:rsid w:val="64D8686E"/>
    <w:rsid w:val="65704A28"/>
    <w:rsid w:val="65A33B2B"/>
    <w:rsid w:val="65B75DBE"/>
    <w:rsid w:val="665CC7AC"/>
    <w:rsid w:val="668A2031"/>
    <w:rsid w:val="66A0F3E5"/>
    <w:rsid w:val="671A2ED2"/>
    <w:rsid w:val="67BAF68E"/>
    <w:rsid w:val="67C80A9F"/>
    <w:rsid w:val="68161D3B"/>
    <w:rsid w:val="68323E3C"/>
    <w:rsid w:val="683D1DD2"/>
    <w:rsid w:val="686538BA"/>
    <w:rsid w:val="688AE768"/>
    <w:rsid w:val="6891EBF7"/>
    <w:rsid w:val="689CD805"/>
    <w:rsid w:val="696753B0"/>
    <w:rsid w:val="6973C0C6"/>
    <w:rsid w:val="698BBCBA"/>
    <w:rsid w:val="69961D27"/>
    <w:rsid w:val="6A4923D3"/>
    <w:rsid w:val="6A5B93CD"/>
    <w:rsid w:val="6A705477"/>
    <w:rsid w:val="6A752C9A"/>
    <w:rsid w:val="6A817A16"/>
    <w:rsid w:val="6A83F6B4"/>
    <w:rsid w:val="6AE729E0"/>
    <w:rsid w:val="6AF559E0"/>
    <w:rsid w:val="6AFDF4A1"/>
    <w:rsid w:val="6B2B743A"/>
    <w:rsid w:val="6B6B9E99"/>
    <w:rsid w:val="6B7341F1"/>
    <w:rsid w:val="6B9801B3"/>
    <w:rsid w:val="6BF9B99C"/>
    <w:rsid w:val="6C355B6F"/>
    <w:rsid w:val="6C40068A"/>
    <w:rsid w:val="6CBB273D"/>
    <w:rsid w:val="6CCB1B8A"/>
    <w:rsid w:val="6CD017F2"/>
    <w:rsid w:val="6CF46D24"/>
    <w:rsid w:val="6CFA89A3"/>
    <w:rsid w:val="6D1DC800"/>
    <w:rsid w:val="6D3786CF"/>
    <w:rsid w:val="6DC6FC7C"/>
    <w:rsid w:val="6E206FB1"/>
    <w:rsid w:val="6E5B8FC7"/>
    <w:rsid w:val="6E9B6EF4"/>
    <w:rsid w:val="6EB8309D"/>
    <w:rsid w:val="6F3EA02A"/>
    <w:rsid w:val="6F7D7684"/>
    <w:rsid w:val="70054F01"/>
    <w:rsid w:val="7039F97B"/>
    <w:rsid w:val="7058F774"/>
    <w:rsid w:val="70763B34"/>
    <w:rsid w:val="70FD0851"/>
    <w:rsid w:val="718454A6"/>
    <w:rsid w:val="718B77E7"/>
    <w:rsid w:val="718D8053"/>
    <w:rsid w:val="71E51589"/>
    <w:rsid w:val="7210A7D3"/>
    <w:rsid w:val="72998AEE"/>
    <w:rsid w:val="729E5621"/>
    <w:rsid w:val="72BFA618"/>
    <w:rsid w:val="730D91CB"/>
    <w:rsid w:val="73103050"/>
    <w:rsid w:val="737683C5"/>
    <w:rsid w:val="739B7488"/>
    <w:rsid w:val="7436B8E2"/>
    <w:rsid w:val="74470C5D"/>
    <w:rsid w:val="748FE353"/>
    <w:rsid w:val="74C75946"/>
    <w:rsid w:val="74CBACA4"/>
    <w:rsid w:val="74CDF640"/>
    <w:rsid w:val="74E1DDFC"/>
    <w:rsid w:val="750D207C"/>
    <w:rsid w:val="751293A1"/>
    <w:rsid w:val="753CF7B5"/>
    <w:rsid w:val="755D1401"/>
    <w:rsid w:val="756DD3D3"/>
    <w:rsid w:val="7580CCB9"/>
    <w:rsid w:val="75A6C491"/>
    <w:rsid w:val="75E453F3"/>
    <w:rsid w:val="76352258"/>
    <w:rsid w:val="766CD61B"/>
    <w:rsid w:val="76857D10"/>
    <w:rsid w:val="7756CE0D"/>
    <w:rsid w:val="775913FE"/>
    <w:rsid w:val="778A27E6"/>
    <w:rsid w:val="778CA390"/>
    <w:rsid w:val="77E55C81"/>
    <w:rsid w:val="78119544"/>
    <w:rsid w:val="7871610D"/>
    <w:rsid w:val="787A8FE0"/>
    <w:rsid w:val="78807E13"/>
    <w:rsid w:val="78C613FE"/>
    <w:rsid w:val="78FCE17C"/>
    <w:rsid w:val="792A910A"/>
    <w:rsid w:val="793ED2F1"/>
    <w:rsid w:val="7956314C"/>
    <w:rsid w:val="7968C339"/>
    <w:rsid w:val="79C0F4F9"/>
    <w:rsid w:val="79D605A4"/>
    <w:rsid w:val="79E1C876"/>
    <w:rsid w:val="79EAD780"/>
    <w:rsid w:val="7A427DC8"/>
    <w:rsid w:val="7A64451F"/>
    <w:rsid w:val="7AC72341"/>
    <w:rsid w:val="7AD815C7"/>
    <w:rsid w:val="7AE1C5D7"/>
    <w:rsid w:val="7B4075E2"/>
    <w:rsid w:val="7B6C92EF"/>
    <w:rsid w:val="7B8CDC1C"/>
    <w:rsid w:val="7BAF6B24"/>
    <w:rsid w:val="7BBAE46F"/>
    <w:rsid w:val="7BC05EE6"/>
    <w:rsid w:val="7C1863A3"/>
    <w:rsid w:val="7CDE623F"/>
    <w:rsid w:val="7CE975E1"/>
    <w:rsid w:val="7CF2770F"/>
    <w:rsid w:val="7D239D94"/>
    <w:rsid w:val="7D68DC2E"/>
    <w:rsid w:val="7D986432"/>
    <w:rsid w:val="7DEA7405"/>
    <w:rsid w:val="7E114A53"/>
    <w:rsid w:val="7EC8ACDD"/>
    <w:rsid w:val="7F188181"/>
    <w:rsid w:val="7F4B2F49"/>
    <w:rsid w:val="7F68172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B38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GB" w:eastAsia="en-US" w:bidi="ar-SA"/>
      </w:rPr>
    </w:rPrDefault>
    <w:pPrDefault/>
  </w:docDefaults>
  <w:latentStyles w:defLockedState="1"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lsdException w:name="toc 4" w:semiHidden="1"/>
    <w:lsdException w:name="toc 5" w:semiHidden="1" w:uiPriority="39"/>
    <w:lsdException w:name="toc 6" w:semiHidden="1"/>
    <w:lsdException w:name="toc 7" w:semiHidden="1"/>
    <w:lsdException w:name="toc 8" w:semiHidden="1"/>
    <w:lsdException w:name="toc 9" w:semiHidden="1"/>
    <w:lsdException w:name="Normal Indent" w:semiHidden="1"/>
    <w:lsdException w:name="footnote text" w:unhideWhenUsed="1"/>
    <w:lsdException w:name="annotation text" w:semiHidden="1"/>
    <w:lsdException w:name="header" w:uiPriority="2"/>
    <w:lsdException w:name="footer" w:uiPriority="99"/>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Bullet" w:uiPriority="1"/>
    <w:lsdException w:name="List Number" w:uiPriority="1"/>
    <w:lsdException w:name="List 2" w:semiHidden="1"/>
    <w:lsdException w:name="List 3" w:semiHidden="1"/>
    <w:lsdException w:name="List 4" w:semiHidden="1"/>
    <w:lsdException w:name="List 5" w:semiHidden="1"/>
    <w:lsdException w:name="List Bullet 2" w:uiPriority="1"/>
    <w:lsdException w:name="List Bullet 3" w:uiPriority="1"/>
    <w:lsdException w:name="List Bullet 4" w:uiPriority="1"/>
    <w:lsdException w:name="List Bullet 5" w:semiHidden="1"/>
    <w:lsdException w:name="List Number 2" w:uiPriority="1"/>
    <w:lsdException w:name="List Number 3" w:uiPriority="1"/>
    <w:lsdException w:name="List Number 4" w:uiPriority="1"/>
    <w:lsdException w:name="List Number 5" w:semiHidden="1"/>
    <w:lsdException w:name="Title" w:uiPriority="1" w:qFormat="1"/>
    <w:lsdException w:name="Closing" w:semiHidden="1"/>
    <w:lsdException w:name="Signature" w:uiPriority="2"/>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uiPriority="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atentStyles>
  <w:style w:type="paragraph" w:default="1" w:styleId="Normal">
    <w:name w:val="Normal"/>
    <w:uiPriority w:val="1"/>
    <w:qFormat/>
    <w:rsid w:val="00A34164"/>
    <w:pPr>
      <w:spacing w:after="240"/>
      <w:jc w:val="both"/>
    </w:pPr>
    <w:rPr>
      <w:rFonts w:ascii="EC Square Sans Pro" w:hAnsi="EC Square Sans Pro"/>
    </w:rPr>
  </w:style>
  <w:style w:type="paragraph" w:styleId="Heading1">
    <w:name w:val="heading 1"/>
    <w:basedOn w:val="Normal"/>
    <w:next w:val="Text1"/>
    <w:uiPriority w:val="1"/>
    <w:qFormat/>
    <w:rsid w:val="00A63234"/>
    <w:pPr>
      <w:keepNext/>
      <w:spacing w:before="240"/>
      <w:outlineLvl w:val="0"/>
    </w:pPr>
    <w:rPr>
      <w:b/>
      <w:caps/>
      <w:color w:val="004494"/>
      <w:sz w:val="32"/>
      <w:szCs w:val="24"/>
    </w:rPr>
  </w:style>
  <w:style w:type="paragraph" w:styleId="Heading2">
    <w:name w:val="heading 2"/>
    <w:basedOn w:val="Normal"/>
    <w:next w:val="Text2"/>
    <w:uiPriority w:val="1"/>
    <w:qFormat/>
    <w:rsid w:val="00A34164"/>
    <w:pPr>
      <w:keepNext/>
      <w:ind w:left="227"/>
      <w:outlineLvl w:val="1"/>
    </w:pPr>
    <w:rPr>
      <w:b/>
      <w:noProof/>
      <w:color w:val="0070C0"/>
      <w:sz w:val="28"/>
      <w:szCs w:val="22"/>
    </w:rPr>
  </w:style>
  <w:style w:type="paragraph" w:styleId="Heading3">
    <w:name w:val="heading 3"/>
    <w:basedOn w:val="Normal"/>
    <w:next w:val="Text3"/>
    <w:uiPriority w:val="1"/>
    <w:qFormat/>
    <w:pPr>
      <w:keepNext/>
      <w:outlineLvl w:val="2"/>
    </w:pPr>
    <w:rPr>
      <w:i/>
    </w:rPr>
  </w:style>
  <w:style w:type="paragraph" w:styleId="Heading4">
    <w:name w:val="heading 4"/>
    <w:basedOn w:val="Normal"/>
    <w:next w:val="Text4"/>
    <w:uiPriority w:val="1"/>
    <w:qFormat/>
    <w:pPr>
      <w:keepNext/>
      <w:outlineLvl w:val="3"/>
    </w:pPr>
  </w:style>
  <w:style w:type="paragraph" w:styleId="Heading5">
    <w:name w:val="heading 5"/>
    <w:basedOn w:val="Normal"/>
    <w:next w:val="Normal"/>
    <w:semiHidden/>
    <w:pPr>
      <w:keepNext/>
      <w:outlineLvl w:val="4"/>
    </w:pPr>
  </w:style>
  <w:style w:type="paragraph" w:styleId="Heading6">
    <w:name w:val="heading 6"/>
    <w:basedOn w:val="Normal"/>
    <w:next w:val="Normal"/>
    <w:semiHidden/>
    <w:pPr>
      <w:keepNext/>
      <w:outlineLvl w:val="5"/>
    </w:pPr>
  </w:style>
  <w:style w:type="paragraph" w:styleId="Heading7">
    <w:name w:val="heading 7"/>
    <w:basedOn w:val="Normal"/>
    <w:next w:val="Normal"/>
    <w:semiHidden/>
    <w:pPr>
      <w:keepNext/>
      <w:outlineLvl w:val="6"/>
    </w:pPr>
  </w:style>
  <w:style w:type="paragraph" w:styleId="Heading8">
    <w:name w:val="heading 8"/>
    <w:basedOn w:val="Normal"/>
    <w:next w:val="Normal"/>
    <w:semiHidden/>
    <w:pPr>
      <w:keepNext/>
      <w:outlineLvl w:val="7"/>
    </w:pPr>
  </w:style>
  <w:style w:type="paragraph" w:styleId="Heading9">
    <w:name w:val="heading 9"/>
    <w:basedOn w:val="Normal"/>
    <w:next w:val="Normal"/>
    <w:semiHidden/>
    <w:pPr>
      <w:keepNext/>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PlaceholderText">
    <w:name w:val="BodyPlaceholderText"/>
    <w:basedOn w:val="PlaceholderText"/>
    <w:semiHidden/>
    <w:rPr>
      <w:color w:val="3366CC"/>
    </w:rPr>
  </w:style>
  <w:style w:type="character" w:customStyle="1" w:styleId="CrossReference">
    <w:name w:val="Cross Reference"/>
    <w:basedOn w:val="DefaultParagraphFont"/>
    <w:uiPriority w:val="2"/>
    <w:rPr>
      <w:i/>
    </w:rPr>
  </w:style>
  <w:style w:type="character" w:customStyle="1" w:styleId="InstructionBlue">
    <w:name w:val="InstructionBlue"/>
    <w:uiPriority w:val="1"/>
    <w:rPr>
      <w:i/>
      <w:color w:val="3366CC"/>
    </w:rPr>
  </w:style>
  <w:style w:type="character" w:customStyle="1" w:styleId="InstructionPlaceholder">
    <w:name w:val="InstructionPlaceholder"/>
    <w:uiPriority w:val="1"/>
    <w:rPr>
      <w:color w:val="CB3535"/>
    </w:rPr>
  </w:style>
  <w:style w:type="character" w:customStyle="1" w:styleId="InstructionRed">
    <w:name w:val="InstructionRed"/>
    <w:uiPriority w:val="1"/>
    <w:rPr>
      <w:i/>
      <w:color w:val="CB3535"/>
    </w:rPr>
  </w:style>
  <w:style w:type="character" w:customStyle="1" w:styleId="MarkingLabel">
    <w:name w:val="MarkingLabel"/>
    <w:semiHidden/>
    <w:rPr>
      <w:b/>
      <w:caps/>
      <w:sz w:val="28"/>
    </w:rPr>
  </w:style>
  <w:style w:type="character" w:customStyle="1" w:styleId="MarkingText">
    <w:name w:val="MarkingText"/>
    <w:semiHidden/>
    <w:rPr>
      <w:i/>
      <w:sz w:val="28"/>
    </w:rPr>
  </w:style>
  <w:style w:type="character" w:styleId="PlaceholderText">
    <w:name w:val="Placeholder Text"/>
    <w:basedOn w:val="DefaultParagraphFont"/>
    <w:semiHidden/>
    <w:rPr>
      <w:color w:val="288061"/>
    </w:rPr>
  </w:style>
  <w:style w:type="paragraph" w:customStyle="1" w:styleId="AfterTable">
    <w:name w:val="After Table"/>
    <w:semiHidden/>
    <w:rPr>
      <w:sz w:val="4"/>
    </w:rPr>
  </w:style>
  <w:style w:type="paragraph" w:customStyle="1" w:styleId="AnnexTitle">
    <w:name w:val="AnnexTitle"/>
    <w:basedOn w:val="Normal"/>
    <w:next w:val="Normal"/>
    <w:uiPriority w:val="1"/>
    <w:qFormat/>
    <w:pPr>
      <w:pageBreakBefore/>
      <w:numPr>
        <w:numId w:val="19"/>
      </w:numPr>
      <w:spacing w:after="480"/>
      <w:outlineLvl w:val="0"/>
    </w:pPr>
    <w:rPr>
      <w:b/>
      <w:sz w:val="32"/>
    </w:rPr>
  </w:style>
  <w:style w:type="paragraph" w:styleId="Caption">
    <w:name w:val="caption"/>
    <w:basedOn w:val="Normal"/>
    <w:next w:val="Normal"/>
    <w:semiHidden/>
    <w:pPr>
      <w:spacing w:before="160"/>
    </w:pPr>
    <w:rPr>
      <w:i/>
      <w:sz w:val="22"/>
    </w:rPr>
  </w:style>
  <w:style w:type="paragraph" w:customStyle="1" w:styleId="ChapterTitle">
    <w:name w:val="ChapterTitle"/>
    <w:basedOn w:val="Normal"/>
    <w:next w:val="SectionTitle"/>
    <w:uiPriority w:val="1"/>
    <w:qFormat/>
    <w:pPr>
      <w:keepNext/>
      <w:spacing w:after="480"/>
      <w:jc w:val="center"/>
      <w:outlineLvl w:val="0"/>
    </w:pPr>
    <w:rPr>
      <w:b/>
      <w:sz w:val="32"/>
    </w:rPr>
  </w:style>
  <w:style w:type="paragraph" w:customStyle="1" w:styleId="ConfidentialUE">
    <w:name w:val="Confidential UE"/>
    <w:basedOn w:val="Normal"/>
    <w:semiHidden/>
    <w:pPr>
      <w:spacing w:after="0"/>
      <w:jc w:val="center"/>
    </w:pPr>
    <w:rPr>
      <w:b/>
      <w:caps/>
      <w:sz w:val="32"/>
      <w:bdr w:val="single" w:sz="18" w:space="0" w:color="auto"/>
    </w:rPr>
  </w:style>
  <w:style w:type="paragraph" w:customStyle="1" w:styleId="Contact">
    <w:name w:val="Contact"/>
    <w:basedOn w:val="Normal"/>
    <w:uiPriority w:val="1"/>
    <w:pPr>
      <w:spacing w:before="480" w:after="0"/>
      <w:ind w:left="567" w:hanging="567"/>
      <w:contextualSpacing/>
      <w:jc w:val="left"/>
    </w:pPr>
  </w:style>
  <w:style w:type="paragraph" w:customStyle="1" w:styleId="ContNum">
    <w:name w:val="ContNum"/>
    <w:basedOn w:val="Normal"/>
    <w:uiPriority w:val="1"/>
    <w:qFormat/>
    <w:pPr>
      <w:numPr>
        <w:numId w:val="18"/>
      </w:numPr>
    </w:pPr>
  </w:style>
  <w:style w:type="paragraph" w:customStyle="1" w:styleId="ContNumLevel2">
    <w:name w:val="ContNum (Level 2)"/>
    <w:basedOn w:val="Normal"/>
    <w:uiPriority w:val="1"/>
    <w:pPr>
      <w:numPr>
        <w:ilvl w:val="1"/>
        <w:numId w:val="18"/>
      </w:numPr>
    </w:pPr>
  </w:style>
  <w:style w:type="paragraph" w:customStyle="1" w:styleId="ContNumLevel3">
    <w:name w:val="ContNum (Level 3)"/>
    <w:basedOn w:val="Normal"/>
    <w:uiPriority w:val="1"/>
    <w:pPr>
      <w:numPr>
        <w:ilvl w:val="2"/>
        <w:numId w:val="18"/>
      </w:numPr>
    </w:pPr>
  </w:style>
  <w:style w:type="paragraph" w:styleId="Date">
    <w:name w:val="Date"/>
    <w:basedOn w:val="Normal"/>
    <w:next w:val="References"/>
    <w:uiPriority w:val="1"/>
    <w:pPr>
      <w:spacing w:after="0"/>
      <w:ind w:left="5102" w:right="-567"/>
      <w:jc w:val="left"/>
    </w:pPr>
  </w:style>
  <w:style w:type="paragraph" w:customStyle="1" w:styleId="Designator">
    <w:name w:val="Designator"/>
    <w:basedOn w:val="Normal"/>
    <w:semiHidden/>
    <w:pPr>
      <w:spacing w:after="0"/>
      <w:jc w:val="center"/>
    </w:pPr>
    <w:rPr>
      <w:b/>
      <w:caps/>
      <w:sz w:val="32"/>
    </w:rPr>
  </w:style>
  <w:style w:type="paragraph" w:customStyle="1" w:styleId="DoubSign">
    <w:name w:val="DoubSign"/>
    <w:basedOn w:val="Normal"/>
    <w:uiPriority w:val="2"/>
    <w:pPr>
      <w:spacing w:before="1200" w:after="0"/>
      <w:jc w:val="left"/>
    </w:pPr>
  </w:style>
  <w:style w:type="paragraph" w:customStyle="1" w:styleId="EmptyParagraph">
    <w:name w:val="Empty Paragraph"/>
    <w:basedOn w:val="Normal"/>
    <w:next w:val="Normal"/>
    <w:semiHidden/>
    <w:pPr>
      <w:spacing w:before="240"/>
    </w:pPr>
  </w:style>
  <w:style w:type="paragraph" w:styleId="EndnoteText">
    <w:name w:val="endnote text"/>
    <w:basedOn w:val="Normal"/>
    <w:semiHidden/>
    <w:unhideWhenUsed/>
    <w:pPr>
      <w:spacing w:after="120"/>
      <w:ind w:left="357" w:hanging="357"/>
    </w:pPr>
    <w:rPr>
      <w:sz w:val="20"/>
    </w:rPr>
  </w:style>
  <w:style w:type="paragraph" w:customStyle="1" w:styleId="FigureBody">
    <w:name w:val="Figure Body"/>
    <w:basedOn w:val="Normal"/>
    <w:next w:val="FigureSource"/>
    <w:uiPriority w:val="2"/>
    <w:pPr>
      <w:keepNext/>
      <w:spacing w:after="40"/>
    </w:pPr>
  </w:style>
  <w:style w:type="paragraph" w:customStyle="1" w:styleId="FigureBody1">
    <w:name w:val="Figure Body 1"/>
    <w:basedOn w:val="Text1"/>
    <w:next w:val="FigureSource1"/>
    <w:uiPriority w:val="2"/>
    <w:pPr>
      <w:keepNext/>
      <w:spacing w:after="40"/>
    </w:pPr>
  </w:style>
  <w:style w:type="paragraph" w:customStyle="1" w:styleId="FigureBody2">
    <w:name w:val="Figure Body 2"/>
    <w:basedOn w:val="Text2"/>
    <w:next w:val="FigureSource2"/>
    <w:uiPriority w:val="2"/>
    <w:pPr>
      <w:keepNext/>
      <w:spacing w:after="40"/>
    </w:pPr>
  </w:style>
  <w:style w:type="paragraph" w:customStyle="1" w:styleId="FigureBody3">
    <w:name w:val="Figure Body 3"/>
    <w:basedOn w:val="Text3"/>
    <w:next w:val="FigureSource3"/>
    <w:uiPriority w:val="2"/>
    <w:pPr>
      <w:keepNext/>
      <w:spacing w:after="40"/>
    </w:pPr>
  </w:style>
  <w:style w:type="paragraph" w:customStyle="1" w:styleId="FigureBody4">
    <w:name w:val="Figure Body 4"/>
    <w:basedOn w:val="Text4"/>
    <w:next w:val="FigureSource4"/>
    <w:uiPriority w:val="2"/>
    <w:pPr>
      <w:keepNext/>
      <w:spacing w:after="40"/>
    </w:pPr>
  </w:style>
  <w:style w:type="paragraph" w:customStyle="1" w:styleId="FigureSource">
    <w:name w:val="Figure Source"/>
    <w:basedOn w:val="Normal"/>
    <w:next w:val="Normal"/>
    <w:uiPriority w:val="2"/>
    <w:rPr>
      <w:sz w:val="20"/>
    </w:rPr>
  </w:style>
  <w:style w:type="paragraph" w:customStyle="1" w:styleId="FigureSource1">
    <w:name w:val="Figure Source 1"/>
    <w:basedOn w:val="Text1"/>
    <w:next w:val="Text1"/>
    <w:uiPriority w:val="2"/>
    <w:rPr>
      <w:sz w:val="20"/>
    </w:rPr>
  </w:style>
  <w:style w:type="paragraph" w:customStyle="1" w:styleId="FigureSource2">
    <w:name w:val="Figure Source 2"/>
    <w:basedOn w:val="Text2"/>
    <w:next w:val="Text2"/>
    <w:uiPriority w:val="2"/>
    <w:rPr>
      <w:sz w:val="20"/>
    </w:rPr>
  </w:style>
  <w:style w:type="paragraph" w:customStyle="1" w:styleId="FigureSource3">
    <w:name w:val="Figure Source 3"/>
    <w:basedOn w:val="Text3"/>
    <w:next w:val="Text3"/>
    <w:uiPriority w:val="2"/>
    <w:rPr>
      <w:sz w:val="20"/>
    </w:rPr>
  </w:style>
  <w:style w:type="paragraph" w:customStyle="1" w:styleId="FigureSource4">
    <w:name w:val="Figure Source 4"/>
    <w:basedOn w:val="Text4"/>
    <w:next w:val="Text4"/>
    <w:uiPriority w:val="2"/>
    <w:rPr>
      <w:sz w:val="20"/>
    </w:rPr>
  </w:style>
  <w:style w:type="paragraph" w:customStyle="1" w:styleId="FigureTitle">
    <w:name w:val="Figure Title"/>
    <w:basedOn w:val="Normal"/>
    <w:next w:val="FigureBody"/>
    <w:uiPriority w:val="2"/>
    <w:pPr>
      <w:keepNext/>
      <w:spacing w:after="120"/>
    </w:pPr>
    <w:rPr>
      <w:b/>
      <w:i/>
    </w:rPr>
  </w:style>
  <w:style w:type="paragraph" w:customStyle="1" w:styleId="FigureTitle1">
    <w:name w:val="Figure Title 1"/>
    <w:basedOn w:val="Text1"/>
    <w:next w:val="FigureBody1"/>
    <w:uiPriority w:val="2"/>
    <w:rsid w:val="00A63234"/>
    <w:pPr>
      <w:keepNext/>
      <w:spacing w:after="120"/>
      <w:ind w:left="0"/>
    </w:pPr>
    <w:rPr>
      <w:b/>
      <w:iCs/>
      <w:color w:val="004494"/>
      <w:szCs w:val="24"/>
    </w:rPr>
  </w:style>
  <w:style w:type="paragraph" w:customStyle="1" w:styleId="FigureTitle2">
    <w:name w:val="Figure Title 2"/>
    <w:basedOn w:val="Text2"/>
    <w:next w:val="FigureBody2"/>
    <w:uiPriority w:val="2"/>
    <w:pPr>
      <w:keepNext/>
      <w:spacing w:after="120"/>
    </w:pPr>
    <w:rPr>
      <w:b/>
      <w:i/>
    </w:rPr>
  </w:style>
  <w:style w:type="paragraph" w:customStyle="1" w:styleId="FigureTitle3">
    <w:name w:val="Figure Title 3"/>
    <w:basedOn w:val="Text3"/>
    <w:next w:val="FigureBody3"/>
    <w:uiPriority w:val="2"/>
    <w:pPr>
      <w:keepNext/>
      <w:spacing w:after="120"/>
    </w:pPr>
    <w:rPr>
      <w:b/>
      <w:i/>
    </w:rPr>
  </w:style>
  <w:style w:type="paragraph" w:customStyle="1" w:styleId="FigureTitle4">
    <w:name w:val="Figure Title 4"/>
    <w:basedOn w:val="Text4"/>
    <w:next w:val="FigureBody4"/>
    <w:uiPriority w:val="2"/>
    <w:pPr>
      <w:keepNext/>
      <w:spacing w:after="120"/>
    </w:pPr>
    <w:rPr>
      <w:b/>
      <w:i/>
    </w:rPr>
  </w:style>
  <w:style w:type="paragraph" w:styleId="Footer">
    <w:name w:val="footer"/>
    <w:basedOn w:val="Normal"/>
    <w:link w:val="FooterChar"/>
    <w:uiPriority w:val="99"/>
    <w:pPr>
      <w:spacing w:after="0"/>
      <w:ind w:right="-567"/>
      <w:jc w:val="left"/>
    </w:pPr>
    <w:rPr>
      <w:sz w:val="16"/>
    </w:rPr>
  </w:style>
  <w:style w:type="paragraph" w:customStyle="1" w:styleId="FooterLine">
    <w:name w:val="Footer Line"/>
    <w:basedOn w:val="Footer"/>
    <w:next w:val="Footer"/>
    <w:uiPriority w:val="2"/>
    <w:pPr>
      <w:tabs>
        <w:tab w:val="right" w:pos="8646"/>
      </w:tabs>
      <w:spacing w:before="120" w:line="264" w:lineRule="auto"/>
      <w:ind w:right="0"/>
      <w:jc w:val="both"/>
    </w:pPr>
  </w:style>
  <w:style w:type="paragraph" w:styleId="FootnoteText">
    <w:name w:val="footnote text"/>
    <w:basedOn w:val="Normal"/>
    <w:link w:val="FootnoteTextChar"/>
    <w:semiHidden/>
    <w:unhideWhenUsed/>
    <w:pPr>
      <w:spacing w:after="120"/>
      <w:ind w:left="357" w:hanging="357"/>
    </w:pPr>
    <w:rPr>
      <w:sz w:val="20"/>
    </w:rPr>
  </w:style>
  <w:style w:type="paragraph" w:customStyle="1" w:styleId="HistoryTable">
    <w:name w:val="HistoryTable"/>
    <w:basedOn w:val="Normal"/>
    <w:uiPriority w:val="2"/>
    <w:pPr>
      <w:spacing w:before="60" w:after="60"/>
      <w:jc w:val="left"/>
    </w:pPr>
    <w:rPr>
      <w:sz w:val="20"/>
    </w:rPr>
  </w:style>
  <w:style w:type="paragraph" w:customStyle="1" w:styleId="HistTableHeading">
    <w:name w:val="HistTableHeading"/>
    <w:basedOn w:val="Normal"/>
    <w:next w:val="HistoryTable"/>
    <w:uiPriority w:val="2"/>
    <w:pPr>
      <w:spacing w:before="240"/>
      <w:jc w:val="center"/>
    </w:pPr>
    <w:rPr>
      <w:rFonts w:ascii="Times New Roman Bold" w:hAnsi="Times New Roman Bold"/>
      <w:b/>
      <w:caps/>
    </w:rPr>
  </w:style>
  <w:style w:type="paragraph" w:customStyle="1" w:styleId="LegalNumPar">
    <w:name w:val="LegalNumPar"/>
    <w:basedOn w:val="Normal"/>
    <w:uiPriority w:val="1"/>
    <w:qFormat/>
    <w:pPr>
      <w:numPr>
        <w:numId w:val="17"/>
      </w:numPr>
      <w:spacing w:line="360" w:lineRule="auto"/>
    </w:pPr>
  </w:style>
  <w:style w:type="paragraph" w:customStyle="1" w:styleId="LegalNumPar2">
    <w:name w:val="LegalNumPar2"/>
    <w:basedOn w:val="Normal"/>
    <w:uiPriority w:val="1"/>
    <w:pPr>
      <w:numPr>
        <w:ilvl w:val="1"/>
        <w:numId w:val="17"/>
      </w:numPr>
      <w:spacing w:line="360" w:lineRule="auto"/>
    </w:pPr>
  </w:style>
  <w:style w:type="paragraph" w:customStyle="1" w:styleId="LegalNumPar3">
    <w:name w:val="LegalNumPar3"/>
    <w:basedOn w:val="Normal"/>
    <w:uiPriority w:val="1"/>
    <w:pPr>
      <w:numPr>
        <w:ilvl w:val="2"/>
        <w:numId w:val="17"/>
      </w:numPr>
      <w:spacing w:line="360" w:lineRule="auto"/>
    </w:pPr>
  </w:style>
  <w:style w:type="paragraph" w:styleId="ListBullet">
    <w:name w:val="List Bullet"/>
    <w:basedOn w:val="Normal"/>
    <w:uiPriority w:val="1"/>
    <w:pPr>
      <w:numPr>
        <w:numId w:val="15"/>
      </w:numPr>
    </w:pPr>
  </w:style>
  <w:style w:type="paragraph" w:customStyle="1" w:styleId="ListBulletLevel2">
    <w:name w:val="List Bullet (Level 2)"/>
    <w:basedOn w:val="Normal"/>
    <w:uiPriority w:val="1"/>
    <w:pPr>
      <w:numPr>
        <w:ilvl w:val="1"/>
        <w:numId w:val="15"/>
      </w:numPr>
    </w:pPr>
  </w:style>
  <w:style w:type="paragraph" w:customStyle="1" w:styleId="ListBulletLevel3">
    <w:name w:val="List Bullet (Level 3)"/>
    <w:basedOn w:val="Normal"/>
    <w:uiPriority w:val="1"/>
    <w:semiHidden/>
    <w:unhideWhenUsed/>
    <w:pPr>
      <w:numPr>
        <w:ilvl w:val="2"/>
        <w:numId w:val="15"/>
      </w:numPr>
    </w:pPr>
  </w:style>
  <w:style w:type="paragraph" w:customStyle="1" w:styleId="ListBulletLevel4">
    <w:name w:val="List Bullet (Level 4)"/>
    <w:basedOn w:val="Normal"/>
    <w:uiPriority w:val="1"/>
    <w:semiHidden/>
    <w:unhideWhenUsed/>
    <w:pPr>
      <w:numPr>
        <w:ilvl w:val="3"/>
        <w:numId w:val="15"/>
      </w:numPr>
    </w:pPr>
  </w:style>
  <w:style w:type="paragraph" w:customStyle="1" w:styleId="ListBullet1">
    <w:name w:val="List Bullet 1"/>
    <w:basedOn w:val="Text1"/>
    <w:uiPriority w:val="1"/>
    <w:pPr>
      <w:numPr>
        <w:numId w:val="14"/>
      </w:numPr>
    </w:pPr>
  </w:style>
  <w:style w:type="paragraph" w:customStyle="1" w:styleId="ListBullet1Level2">
    <w:name w:val="List Bullet 1 (Level 2)"/>
    <w:basedOn w:val="Text1"/>
    <w:uiPriority w:val="1"/>
    <w:pPr>
      <w:numPr>
        <w:ilvl w:val="1"/>
        <w:numId w:val="14"/>
      </w:numPr>
    </w:pPr>
  </w:style>
  <w:style w:type="paragraph" w:customStyle="1" w:styleId="ListBullet1Level3">
    <w:name w:val="List Bullet 1 (Level 3)"/>
    <w:basedOn w:val="Text1"/>
    <w:uiPriority w:val="1"/>
    <w:semiHidden/>
    <w:unhideWhenUsed/>
    <w:pPr>
      <w:numPr>
        <w:ilvl w:val="2"/>
        <w:numId w:val="14"/>
      </w:numPr>
    </w:pPr>
  </w:style>
  <w:style w:type="paragraph" w:customStyle="1" w:styleId="ListBullet1Level4">
    <w:name w:val="List Bullet 1 (Level 4)"/>
    <w:basedOn w:val="Text1"/>
    <w:uiPriority w:val="1"/>
    <w:semiHidden/>
    <w:unhideWhenUsed/>
    <w:pPr>
      <w:numPr>
        <w:ilvl w:val="3"/>
        <w:numId w:val="14"/>
      </w:numPr>
    </w:pPr>
  </w:style>
  <w:style w:type="paragraph" w:styleId="ListBullet2">
    <w:name w:val="List Bullet 2"/>
    <w:basedOn w:val="Text2"/>
    <w:uiPriority w:val="1"/>
    <w:pPr>
      <w:numPr>
        <w:numId w:val="13"/>
      </w:numPr>
    </w:pPr>
  </w:style>
  <w:style w:type="paragraph" w:customStyle="1" w:styleId="ListBullet2Level2">
    <w:name w:val="List Bullet 2 (Level 2)"/>
    <w:basedOn w:val="Text2"/>
    <w:uiPriority w:val="1"/>
    <w:pPr>
      <w:numPr>
        <w:ilvl w:val="1"/>
        <w:numId w:val="13"/>
      </w:numPr>
    </w:pPr>
  </w:style>
  <w:style w:type="paragraph" w:customStyle="1" w:styleId="ListBullet2Level3">
    <w:name w:val="List Bullet 2 (Level 3)"/>
    <w:basedOn w:val="Text2"/>
    <w:uiPriority w:val="1"/>
    <w:semiHidden/>
    <w:unhideWhenUsed/>
    <w:pPr>
      <w:numPr>
        <w:ilvl w:val="2"/>
        <w:numId w:val="13"/>
      </w:numPr>
    </w:pPr>
  </w:style>
  <w:style w:type="paragraph" w:customStyle="1" w:styleId="ListBullet2Level4">
    <w:name w:val="List Bullet 2 (Level 4)"/>
    <w:basedOn w:val="Text2"/>
    <w:uiPriority w:val="1"/>
    <w:semiHidden/>
    <w:unhideWhenUsed/>
    <w:pPr>
      <w:numPr>
        <w:ilvl w:val="3"/>
        <w:numId w:val="13"/>
      </w:numPr>
    </w:pPr>
  </w:style>
  <w:style w:type="paragraph" w:styleId="ListBullet3">
    <w:name w:val="List Bullet 3"/>
    <w:basedOn w:val="Text3"/>
    <w:uiPriority w:val="1"/>
    <w:pPr>
      <w:numPr>
        <w:numId w:val="12"/>
      </w:numPr>
    </w:pPr>
  </w:style>
  <w:style w:type="paragraph" w:customStyle="1" w:styleId="ListBullet3Level2">
    <w:name w:val="List Bullet 3 (Level 2)"/>
    <w:basedOn w:val="Text3"/>
    <w:uiPriority w:val="1"/>
    <w:pPr>
      <w:numPr>
        <w:ilvl w:val="1"/>
        <w:numId w:val="12"/>
      </w:numPr>
    </w:pPr>
  </w:style>
  <w:style w:type="paragraph" w:customStyle="1" w:styleId="ListBullet3Level3">
    <w:name w:val="List Bullet 3 (Level 3)"/>
    <w:basedOn w:val="Text3"/>
    <w:uiPriority w:val="1"/>
    <w:semiHidden/>
    <w:unhideWhenUsed/>
    <w:pPr>
      <w:numPr>
        <w:ilvl w:val="2"/>
        <w:numId w:val="12"/>
      </w:numPr>
    </w:pPr>
  </w:style>
  <w:style w:type="paragraph" w:customStyle="1" w:styleId="ListBullet3Level4">
    <w:name w:val="List Bullet 3 (Level 4)"/>
    <w:basedOn w:val="Text3"/>
    <w:uiPriority w:val="1"/>
    <w:semiHidden/>
    <w:unhideWhenUsed/>
    <w:pPr>
      <w:numPr>
        <w:ilvl w:val="3"/>
        <w:numId w:val="12"/>
      </w:numPr>
    </w:pPr>
  </w:style>
  <w:style w:type="paragraph" w:styleId="ListBullet4">
    <w:name w:val="List Bullet 4"/>
    <w:basedOn w:val="Text4"/>
    <w:uiPriority w:val="1"/>
    <w:pPr>
      <w:numPr>
        <w:numId w:val="11"/>
      </w:numPr>
    </w:pPr>
  </w:style>
  <w:style w:type="paragraph" w:customStyle="1" w:styleId="ListBullet4Level2">
    <w:name w:val="List Bullet 4 (Level 2)"/>
    <w:basedOn w:val="Text4"/>
    <w:uiPriority w:val="1"/>
    <w:pPr>
      <w:numPr>
        <w:ilvl w:val="1"/>
        <w:numId w:val="11"/>
      </w:numPr>
    </w:pPr>
  </w:style>
  <w:style w:type="paragraph" w:customStyle="1" w:styleId="ListBullet4Level3">
    <w:name w:val="List Bullet 4 (Level 3)"/>
    <w:basedOn w:val="Text4"/>
    <w:uiPriority w:val="1"/>
    <w:semiHidden/>
    <w:unhideWhenUsed/>
    <w:pPr>
      <w:numPr>
        <w:ilvl w:val="2"/>
        <w:numId w:val="11"/>
      </w:numPr>
    </w:pPr>
  </w:style>
  <w:style w:type="paragraph" w:customStyle="1" w:styleId="ListBullet4Level4">
    <w:name w:val="List Bullet 4 (Level 4)"/>
    <w:basedOn w:val="Text4"/>
    <w:uiPriority w:val="1"/>
    <w:semiHidden/>
    <w:unhideWhenUsed/>
    <w:pPr>
      <w:numPr>
        <w:ilvl w:val="3"/>
        <w:numId w:val="11"/>
      </w:numPr>
    </w:pPr>
  </w:style>
  <w:style w:type="paragraph" w:customStyle="1" w:styleId="ListDash">
    <w:name w:val="List Dash"/>
    <w:basedOn w:val="Normal"/>
    <w:uiPriority w:val="1"/>
    <w:pPr>
      <w:numPr>
        <w:numId w:val="5"/>
      </w:numPr>
    </w:pPr>
  </w:style>
  <w:style w:type="paragraph" w:customStyle="1" w:styleId="ListDashLevel2">
    <w:name w:val="List Dash (Level 2)"/>
    <w:basedOn w:val="Normal"/>
    <w:uiPriority w:val="1"/>
    <w:pPr>
      <w:numPr>
        <w:ilvl w:val="1"/>
        <w:numId w:val="5"/>
      </w:numPr>
    </w:pPr>
  </w:style>
  <w:style w:type="paragraph" w:customStyle="1" w:styleId="ListDashLevel3">
    <w:name w:val="List Dash (Level 3)"/>
    <w:basedOn w:val="Normal"/>
    <w:uiPriority w:val="1"/>
    <w:semiHidden/>
    <w:unhideWhenUsed/>
    <w:pPr>
      <w:numPr>
        <w:ilvl w:val="2"/>
        <w:numId w:val="5"/>
      </w:numPr>
    </w:pPr>
  </w:style>
  <w:style w:type="paragraph" w:customStyle="1" w:styleId="ListDashLevel4">
    <w:name w:val="List Dash (Level 4)"/>
    <w:basedOn w:val="Normal"/>
    <w:uiPriority w:val="1"/>
    <w:semiHidden/>
    <w:unhideWhenUsed/>
    <w:pPr>
      <w:numPr>
        <w:ilvl w:val="3"/>
        <w:numId w:val="5"/>
      </w:numPr>
    </w:pPr>
  </w:style>
  <w:style w:type="paragraph" w:customStyle="1" w:styleId="ListDash1">
    <w:name w:val="List Dash 1"/>
    <w:basedOn w:val="Text1"/>
    <w:uiPriority w:val="1"/>
    <w:pPr>
      <w:numPr>
        <w:numId w:val="4"/>
      </w:numPr>
    </w:pPr>
  </w:style>
  <w:style w:type="paragraph" w:customStyle="1" w:styleId="ListDash1Level2">
    <w:name w:val="List Dash 1 (Level 2)"/>
    <w:basedOn w:val="Text1"/>
    <w:uiPriority w:val="1"/>
    <w:pPr>
      <w:numPr>
        <w:ilvl w:val="1"/>
        <w:numId w:val="4"/>
      </w:numPr>
    </w:pPr>
  </w:style>
  <w:style w:type="paragraph" w:customStyle="1" w:styleId="ListDash1Level3">
    <w:name w:val="List Dash 1 (Level 3)"/>
    <w:basedOn w:val="Text1"/>
    <w:uiPriority w:val="1"/>
    <w:semiHidden/>
    <w:unhideWhenUsed/>
    <w:pPr>
      <w:numPr>
        <w:ilvl w:val="2"/>
        <w:numId w:val="4"/>
      </w:numPr>
    </w:pPr>
  </w:style>
  <w:style w:type="paragraph" w:customStyle="1" w:styleId="ListDash1Level4">
    <w:name w:val="List Dash 1 (Level 4)"/>
    <w:basedOn w:val="Text1"/>
    <w:uiPriority w:val="1"/>
    <w:semiHidden/>
    <w:unhideWhenUsed/>
    <w:pPr>
      <w:numPr>
        <w:ilvl w:val="3"/>
        <w:numId w:val="4"/>
      </w:numPr>
    </w:pPr>
  </w:style>
  <w:style w:type="paragraph" w:customStyle="1" w:styleId="ListDash2">
    <w:name w:val="List Dash 2"/>
    <w:basedOn w:val="Text2"/>
    <w:uiPriority w:val="1"/>
    <w:pPr>
      <w:numPr>
        <w:numId w:val="3"/>
      </w:numPr>
    </w:pPr>
  </w:style>
  <w:style w:type="paragraph" w:customStyle="1" w:styleId="ListDash2Level2">
    <w:name w:val="List Dash 2 (Level 2)"/>
    <w:basedOn w:val="Text2"/>
    <w:uiPriority w:val="1"/>
    <w:pPr>
      <w:numPr>
        <w:ilvl w:val="1"/>
        <w:numId w:val="3"/>
      </w:numPr>
    </w:pPr>
  </w:style>
  <w:style w:type="paragraph" w:customStyle="1" w:styleId="ListDash2Level3">
    <w:name w:val="List Dash 2 (Level 3)"/>
    <w:basedOn w:val="Text2"/>
    <w:uiPriority w:val="1"/>
    <w:semiHidden/>
    <w:unhideWhenUsed/>
    <w:pPr>
      <w:numPr>
        <w:ilvl w:val="2"/>
        <w:numId w:val="3"/>
      </w:numPr>
    </w:pPr>
  </w:style>
  <w:style w:type="paragraph" w:customStyle="1" w:styleId="ListDash2Level4">
    <w:name w:val="List Dash 2 (Level 4)"/>
    <w:basedOn w:val="Text2"/>
    <w:uiPriority w:val="1"/>
    <w:semiHidden/>
    <w:unhideWhenUsed/>
    <w:pPr>
      <w:numPr>
        <w:ilvl w:val="3"/>
        <w:numId w:val="3"/>
      </w:numPr>
    </w:pPr>
  </w:style>
  <w:style w:type="paragraph" w:customStyle="1" w:styleId="ListDash3">
    <w:name w:val="List Dash 3"/>
    <w:basedOn w:val="Text3"/>
    <w:uiPriority w:val="1"/>
    <w:pPr>
      <w:numPr>
        <w:numId w:val="2"/>
      </w:numPr>
    </w:pPr>
  </w:style>
  <w:style w:type="paragraph" w:customStyle="1" w:styleId="ListDash3Level2">
    <w:name w:val="List Dash 3 (Level 2)"/>
    <w:basedOn w:val="Text3"/>
    <w:uiPriority w:val="1"/>
    <w:pPr>
      <w:numPr>
        <w:ilvl w:val="1"/>
        <w:numId w:val="2"/>
      </w:numPr>
    </w:pPr>
  </w:style>
  <w:style w:type="paragraph" w:customStyle="1" w:styleId="ListDash3Level3">
    <w:name w:val="List Dash 3 (Level 3)"/>
    <w:basedOn w:val="Text3"/>
    <w:uiPriority w:val="1"/>
    <w:semiHidden/>
    <w:unhideWhenUsed/>
    <w:pPr>
      <w:numPr>
        <w:ilvl w:val="2"/>
        <w:numId w:val="2"/>
      </w:numPr>
    </w:pPr>
  </w:style>
  <w:style w:type="paragraph" w:customStyle="1" w:styleId="ListDash3Level4">
    <w:name w:val="List Dash 3 (Level 4)"/>
    <w:basedOn w:val="Text3"/>
    <w:uiPriority w:val="1"/>
    <w:semiHidden/>
    <w:unhideWhenUsed/>
    <w:pPr>
      <w:numPr>
        <w:ilvl w:val="3"/>
        <w:numId w:val="2"/>
      </w:numPr>
    </w:pPr>
  </w:style>
  <w:style w:type="paragraph" w:customStyle="1" w:styleId="ListDash4">
    <w:name w:val="List Dash 4"/>
    <w:basedOn w:val="Text4"/>
    <w:uiPriority w:val="1"/>
    <w:pPr>
      <w:numPr>
        <w:numId w:val="1"/>
      </w:numPr>
    </w:pPr>
  </w:style>
  <w:style w:type="paragraph" w:customStyle="1" w:styleId="ListDash4Level2">
    <w:name w:val="List Dash 4 (Level 2)"/>
    <w:basedOn w:val="Text4"/>
    <w:uiPriority w:val="1"/>
    <w:pPr>
      <w:numPr>
        <w:ilvl w:val="1"/>
        <w:numId w:val="1"/>
      </w:numPr>
    </w:pPr>
  </w:style>
  <w:style w:type="paragraph" w:customStyle="1" w:styleId="ListDash4Level3">
    <w:name w:val="List Dash 4 (Level 3)"/>
    <w:basedOn w:val="Text4"/>
    <w:uiPriority w:val="1"/>
    <w:semiHidden/>
    <w:unhideWhenUsed/>
    <w:pPr>
      <w:numPr>
        <w:ilvl w:val="2"/>
        <w:numId w:val="1"/>
      </w:numPr>
    </w:pPr>
  </w:style>
  <w:style w:type="paragraph" w:customStyle="1" w:styleId="ListDash4Level4">
    <w:name w:val="List Dash 4 (Level 4)"/>
    <w:basedOn w:val="Text4"/>
    <w:uiPriority w:val="1"/>
    <w:semiHidden/>
    <w:unhideWhenUsed/>
    <w:pPr>
      <w:numPr>
        <w:ilvl w:val="3"/>
        <w:numId w:val="1"/>
      </w:numPr>
    </w:pPr>
  </w:style>
  <w:style w:type="paragraph" w:styleId="ListNumber">
    <w:name w:val="List Number"/>
    <w:basedOn w:val="Normal"/>
    <w:uiPriority w:val="1"/>
    <w:pPr>
      <w:numPr>
        <w:numId w:val="10"/>
      </w:numPr>
    </w:pPr>
  </w:style>
  <w:style w:type="paragraph" w:customStyle="1" w:styleId="ListNumberLevel2">
    <w:name w:val="List Number (Level 2)"/>
    <w:basedOn w:val="Normal"/>
    <w:uiPriority w:val="1"/>
    <w:pPr>
      <w:numPr>
        <w:ilvl w:val="1"/>
        <w:numId w:val="10"/>
      </w:numPr>
    </w:pPr>
  </w:style>
  <w:style w:type="paragraph" w:customStyle="1" w:styleId="ListNumberLevel3">
    <w:name w:val="List Number (Level 3)"/>
    <w:basedOn w:val="Normal"/>
    <w:uiPriority w:val="1"/>
    <w:semiHidden/>
    <w:unhideWhenUsed/>
    <w:pPr>
      <w:numPr>
        <w:ilvl w:val="2"/>
        <w:numId w:val="10"/>
      </w:numPr>
    </w:pPr>
  </w:style>
  <w:style w:type="paragraph" w:customStyle="1" w:styleId="ListNumberLevel4">
    <w:name w:val="List Number (Level 4)"/>
    <w:basedOn w:val="Normal"/>
    <w:uiPriority w:val="1"/>
    <w:semiHidden/>
    <w:unhideWhenUsed/>
    <w:pPr>
      <w:numPr>
        <w:ilvl w:val="3"/>
        <w:numId w:val="10"/>
      </w:numPr>
    </w:pPr>
  </w:style>
  <w:style w:type="paragraph" w:customStyle="1" w:styleId="ListNumber1">
    <w:name w:val="List Number 1"/>
    <w:basedOn w:val="Text1"/>
    <w:uiPriority w:val="1"/>
    <w:pPr>
      <w:numPr>
        <w:numId w:val="9"/>
      </w:numPr>
    </w:pPr>
  </w:style>
  <w:style w:type="paragraph" w:customStyle="1" w:styleId="ListNumber1Level2">
    <w:name w:val="List Number 1 (Level 2)"/>
    <w:basedOn w:val="Text1"/>
    <w:uiPriority w:val="1"/>
    <w:pPr>
      <w:numPr>
        <w:ilvl w:val="1"/>
        <w:numId w:val="9"/>
      </w:numPr>
    </w:pPr>
  </w:style>
  <w:style w:type="paragraph" w:customStyle="1" w:styleId="ListNumber1Level3">
    <w:name w:val="List Number 1 (Level 3)"/>
    <w:basedOn w:val="Text1"/>
    <w:uiPriority w:val="1"/>
    <w:semiHidden/>
    <w:unhideWhenUsed/>
    <w:pPr>
      <w:numPr>
        <w:ilvl w:val="2"/>
        <w:numId w:val="9"/>
      </w:numPr>
    </w:pPr>
  </w:style>
  <w:style w:type="paragraph" w:customStyle="1" w:styleId="ListNumber1Level4">
    <w:name w:val="List Number 1 (Level 4)"/>
    <w:basedOn w:val="Text1"/>
    <w:uiPriority w:val="1"/>
    <w:semiHidden/>
    <w:unhideWhenUsed/>
    <w:pPr>
      <w:numPr>
        <w:ilvl w:val="3"/>
        <w:numId w:val="9"/>
      </w:numPr>
    </w:pPr>
  </w:style>
  <w:style w:type="paragraph" w:styleId="ListNumber2">
    <w:name w:val="List Number 2"/>
    <w:basedOn w:val="Text2"/>
    <w:uiPriority w:val="1"/>
    <w:pPr>
      <w:numPr>
        <w:numId w:val="8"/>
      </w:numPr>
    </w:pPr>
  </w:style>
  <w:style w:type="paragraph" w:customStyle="1" w:styleId="ListNumber2Level2">
    <w:name w:val="List Number 2 (Level 2)"/>
    <w:basedOn w:val="Text2"/>
    <w:uiPriority w:val="1"/>
    <w:pPr>
      <w:numPr>
        <w:ilvl w:val="1"/>
        <w:numId w:val="8"/>
      </w:numPr>
    </w:pPr>
  </w:style>
  <w:style w:type="paragraph" w:customStyle="1" w:styleId="ListNumber2Level3">
    <w:name w:val="List Number 2 (Level 3)"/>
    <w:basedOn w:val="Text2"/>
    <w:uiPriority w:val="1"/>
    <w:semiHidden/>
    <w:unhideWhenUsed/>
    <w:pPr>
      <w:numPr>
        <w:ilvl w:val="2"/>
        <w:numId w:val="8"/>
      </w:numPr>
    </w:pPr>
  </w:style>
  <w:style w:type="paragraph" w:customStyle="1" w:styleId="ListNumber2Level4">
    <w:name w:val="List Number 2 (Level 4)"/>
    <w:basedOn w:val="Text2"/>
    <w:uiPriority w:val="1"/>
    <w:semiHidden/>
    <w:unhideWhenUsed/>
    <w:pPr>
      <w:numPr>
        <w:ilvl w:val="3"/>
        <w:numId w:val="8"/>
      </w:numPr>
    </w:pPr>
  </w:style>
  <w:style w:type="paragraph" w:styleId="ListNumber3">
    <w:name w:val="List Number 3"/>
    <w:basedOn w:val="Text3"/>
    <w:uiPriority w:val="1"/>
    <w:pPr>
      <w:numPr>
        <w:numId w:val="7"/>
      </w:numPr>
    </w:pPr>
  </w:style>
  <w:style w:type="paragraph" w:customStyle="1" w:styleId="ListNumber3Level2">
    <w:name w:val="List Number 3 (Level 2)"/>
    <w:basedOn w:val="Text3"/>
    <w:uiPriority w:val="1"/>
    <w:pPr>
      <w:numPr>
        <w:ilvl w:val="1"/>
        <w:numId w:val="7"/>
      </w:numPr>
    </w:pPr>
  </w:style>
  <w:style w:type="paragraph" w:customStyle="1" w:styleId="ListNumber3Level3">
    <w:name w:val="List Number 3 (Level 3)"/>
    <w:basedOn w:val="Text3"/>
    <w:uiPriority w:val="1"/>
    <w:semiHidden/>
    <w:unhideWhenUsed/>
    <w:pPr>
      <w:numPr>
        <w:ilvl w:val="2"/>
        <w:numId w:val="7"/>
      </w:numPr>
    </w:pPr>
  </w:style>
  <w:style w:type="paragraph" w:customStyle="1" w:styleId="ListNumber3Level4">
    <w:name w:val="List Number 3 (Level 4)"/>
    <w:basedOn w:val="Text3"/>
    <w:uiPriority w:val="1"/>
    <w:semiHidden/>
    <w:unhideWhenUsed/>
    <w:pPr>
      <w:numPr>
        <w:ilvl w:val="3"/>
        <w:numId w:val="7"/>
      </w:numPr>
    </w:pPr>
  </w:style>
  <w:style w:type="paragraph" w:styleId="ListNumber4">
    <w:name w:val="List Number 4"/>
    <w:basedOn w:val="Text4"/>
    <w:uiPriority w:val="1"/>
    <w:pPr>
      <w:numPr>
        <w:numId w:val="6"/>
      </w:numPr>
    </w:pPr>
  </w:style>
  <w:style w:type="paragraph" w:customStyle="1" w:styleId="ListNumber4Level2">
    <w:name w:val="List Number 4 (Level 2)"/>
    <w:basedOn w:val="Text4"/>
    <w:uiPriority w:val="1"/>
    <w:pPr>
      <w:numPr>
        <w:ilvl w:val="1"/>
        <w:numId w:val="6"/>
      </w:numPr>
    </w:pPr>
  </w:style>
  <w:style w:type="paragraph" w:customStyle="1" w:styleId="ListNumber4Level3">
    <w:name w:val="List Number 4 (Level 3)"/>
    <w:basedOn w:val="Text4"/>
    <w:uiPriority w:val="1"/>
    <w:semiHidden/>
    <w:unhideWhenUsed/>
    <w:pPr>
      <w:numPr>
        <w:ilvl w:val="2"/>
        <w:numId w:val="6"/>
      </w:numPr>
    </w:pPr>
  </w:style>
  <w:style w:type="paragraph" w:customStyle="1" w:styleId="ListNumber4Level4">
    <w:name w:val="List Number 4 (Level 4)"/>
    <w:basedOn w:val="Text4"/>
    <w:uiPriority w:val="1"/>
    <w:semiHidden/>
    <w:unhideWhenUsed/>
    <w:pPr>
      <w:numPr>
        <w:ilvl w:val="3"/>
        <w:numId w:val="6"/>
      </w:numPr>
    </w:pPr>
  </w:style>
  <w:style w:type="paragraph" w:styleId="MacroText">
    <w:name w:val="macro"/>
    <w:basedOn w:val="Normal"/>
    <w:uiPriority w:val="1"/>
    <w:qFormat/>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2"/>
    </w:rPr>
  </w:style>
  <w:style w:type="paragraph" w:customStyle="1" w:styleId="Marking">
    <w:name w:val="Marking"/>
    <w:basedOn w:val="Normal"/>
    <w:semiHidden/>
    <w:rsid w:val="00584AD0"/>
    <w:pPr>
      <w:ind w:left="5102" w:right="-680"/>
      <w:contextualSpacing/>
      <w:jc w:val="left"/>
    </w:pPr>
    <w:rPr>
      <w:sz w:val="28"/>
      <w:lang w:val="en-US"/>
    </w:rPr>
  </w:style>
  <w:style w:type="paragraph" w:customStyle="1" w:styleId="NumPar1">
    <w:name w:val="NumPar 1"/>
    <w:basedOn w:val="Heading1"/>
    <w:uiPriority w:val="1"/>
    <w:qFormat/>
    <w:pPr>
      <w:keepNext w:val="0"/>
      <w:spacing w:before="0"/>
      <w:outlineLvl w:val="9"/>
    </w:pPr>
    <w:rPr>
      <w:b w:val="0"/>
      <w:smallCaps/>
    </w:rPr>
  </w:style>
  <w:style w:type="paragraph" w:customStyle="1" w:styleId="NumPar2">
    <w:name w:val="NumPar 2"/>
    <w:basedOn w:val="Heading2"/>
    <w:uiPriority w:val="1"/>
    <w:qFormat/>
    <w:pPr>
      <w:keepNext w:val="0"/>
      <w:outlineLvl w:val="9"/>
    </w:pPr>
    <w:rPr>
      <w:b w:val="0"/>
    </w:rPr>
  </w:style>
  <w:style w:type="paragraph" w:customStyle="1" w:styleId="NumPar3">
    <w:name w:val="NumPar 3"/>
    <w:basedOn w:val="Heading3"/>
    <w:uiPriority w:val="1"/>
    <w:qFormat/>
    <w:pPr>
      <w:keepNext w:val="0"/>
      <w:outlineLvl w:val="9"/>
    </w:pPr>
    <w:rPr>
      <w:i w:val="0"/>
    </w:rPr>
  </w:style>
  <w:style w:type="paragraph" w:customStyle="1" w:styleId="NumPar4">
    <w:name w:val="NumPar 4"/>
    <w:basedOn w:val="Heading4"/>
    <w:uiPriority w:val="1"/>
    <w:qFormat/>
    <w:pPr>
      <w:keepNext w:val="0"/>
      <w:outlineLvl w:val="9"/>
    </w:pPr>
  </w:style>
  <w:style w:type="paragraph" w:customStyle="1" w:styleId="PartTitle">
    <w:name w:val="PartTitle"/>
    <w:basedOn w:val="Normal"/>
    <w:next w:val="ChapterTitle"/>
    <w:uiPriority w:val="1"/>
    <w:qFormat/>
    <w:pPr>
      <w:keepNext/>
      <w:pageBreakBefore/>
      <w:spacing w:after="480"/>
      <w:jc w:val="center"/>
      <w:outlineLvl w:val="0"/>
    </w:pPr>
    <w:rPr>
      <w:b/>
      <w:sz w:val="36"/>
    </w:rPr>
  </w:style>
  <w:style w:type="paragraph" w:customStyle="1" w:styleId="References">
    <w:name w:val="References"/>
    <w:basedOn w:val="Normal"/>
    <w:uiPriority w:val="1"/>
    <w:pPr>
      <w:ind w:left="5102" w:right="-567"/>
      <w:contextualSpacing/>
      <w:jc w:val="left"/>
    </w:pPr>
    <w:rPr>
      <w:sz w:val="20"/>
    </w:rPr>
  </w:style>
  <w:style w:type="paragraph" w:customStyle="1" w:styleId="Releasable">
    <w:name w:val="Releasable"/>
    <w:basedOn w:val="Normal"/>
    <w:semiHidden/>
    <w:pPr>
      <w:spacing w:after="0"/>
      <w:jc w:val="center"/>
    </w:pPr>
    <w:rPr>
      <w:b/>
      <w:caps/>
      <w:sz w:val="32"/>
    </w:rPr>
  </w:style>
  <w:style w:type="paragraph" w:customStyle="1" w:styleId="RUE">
    <w:name w:val="RUE"/>
    <w:basedOn w:val="Normal"/>
    <w:semiHidden/>
    <w:pPr>
      <w:spacing w:after="0"/>
      <w:jc w:val="center"/>
    </w:pPr>
    <w:rPr>
      <w:b/>
      <w:caps/>
      <w:sz w:val="32"/>
      <w:bdr w:val="single" w:sz="18" w:space="0" w:color="auto"/>
    </w:rPr>
  </w:style>
  <w:style w:type="paragraph" w:customStyle="1" w:styleId="SecretUE">
    <w:name w:val="Secret UE"/>
    <w:basedOn w:val="Normal"/>
    <w:semiHidden/>
    <w:pPr>
      <w:spacing w:after="0"/>
      <w:jc w:val="center"/>
    </w:pPr>
    <w:rPr>
      <w:b/>
      <w:caps/>
      <w:color w:val="FF0000"/>
      <w:sz w:val="32"/>
      <w:bdr w:val="single" w:sz="18" w:space="0" w:color="FF0000"/>
    </w:rPr>
  </w:style>
  <w:style w:type="paragraph" w:customStyle="1" w:styleId="SectionTitle">
    <w:name w:val="SectionTitle"/>
    <w:basedOn w:val="Normal"/>
    <w:next w:val="Heading1"/>
    <w:uiPriority w:val="1"/>
    <w:qFormat/>
    <w:pPr>
      <w:keepNext/>
      <w:spacing w:after="480"/>
      <w:jc w:val="center"/>
      <w:outlineLvl w:val="0"/>
    </w:pPr>
    <w:rPr>
      <w:b/>
      <w:smallCaps/>
      <w:sz w:val="28"/>
    </w:rPr>
  </w:style>
  <w:style w:type="paragraph" w:styleId="Signature">
    <w:name w:val="Signature"/>
    <w:basedOn w:val="Normal"/>
    <w:uiPriority w:val="2"/>
    <w:pPr>
      <w:spacing w:before="1200" w:after="0"/>
      <w:ind w:left="5102"/>
      <w:jc w:val="center"/>
    </w:pPr>
  </w:style>
  <w:style w:type="paragraph" w:customStyle="1" w:styleId="SignatureL">
    <w:name w:val="SignatureL"/>
    <w:basedOn w:val="Normal"/>
    <w:uiPriority w:val="2"/>
    <w:pPr>
      <w:spacing w:before="1200" w:after="0"/>
      <w:jc w:val="left"/>
    </w:pPr>
  </w:style>
  <w:style w:type="paragraph" w:customStyle="1" w:styleId="SubTitle1">
    <w:name w:val="SubTitle 1"/>
    <w:basedOn w:val="Normal"/>
    <w:next w:val="SubTitle2"/>
    <w:uiPriority w:val="1"/>
    <w:qFormat/>
    <w:pPr>
      <w:jc w:val="center"/>
    </w:pPr>
    <w:rPr>
      <w:b/>
      <w:sz w:val="40"/>
    </w:rPr>
  </w:style>
  <w:style w:type="paragraph" w:customStyle="1" w:styleId="SubTitle2">
    <w:name w:val="SubTitle 2"/>
    <w:basedOn w:val="Normal"/>
    <w:uiPriority w:val="1"/>
    <w:qFormat/>
    <w:pPr>
      <w:jc w:val="center"/>
    </w:pPr>
    <w:rPr>
      <w:b/>
      <w:sz w:val="32"/>
    </w:rPr>
  </w:style>
  <w:style w:type="paragraph" w:customStyle="1" w:styleId="TableListBullet">
    <w:name w:val="Table List Bullet"/>
    <w:basedOn w:val="TableText"/>
    <w:uiPriority w:val="1"/>
    <w:pPr>
      <w:numPr>
        <w:numId w:val="20"/>
      </w:numPr>
    </w:pPr>
  </w:style>
  <w:style w:type="paragraph" w:customStyle="1" w:styleId="TableListBulletLevel2">
    <w:name w:val="Table List Bullet (Level 2)"/>
    <w:basedOn w:val="TableText"/>
    <w:uiPriority w:val="1"/>
    <w:pPr>
      <w:numPr>
        <w:ilvl w:val="1"/>
        <w:numId w:val="20"/>
      </w:numPr>
    </w:pPr>
  </w:style>
  <w:style w:type="paragraph" w:customStyle="1" w:styleId="TableListBulletLevel3">
    <w:name w:val="Table List Bullet (Level 3)"/>
    <w:basedOn w:val="TableText"/>
    <w:uiPriority w:val="1"/>
    <w:semiHidden/>
    <w:unhideWhenUsed/>
    <w:pPr>
      <w:numPr>
        <w:ilvl w:val="2"/>
        <w:numId w:val="20"/>
      </w:numPr>
    </w:pPr>
  </w:style>
  <w:style w:type="paragraph" w:customStyle="1" w:styleId="TableListBulletLevel4">
    <w:name w:val="Table List Bullet (Level 4)"/>
    <w:basedOn w:val="TableText"/>
    <w:uiPriority w:val="1"/>
    <w:semiHidden/>
    <w:unhideWhenUsed/>
    <w:pPr>
      <w:numPr>
        <w:ilvl w:val="3"/>
        <w:numId w:val="20"/>
      </w:numPr>
    </w:pPr>
  </w:style>
  <w:style w:type="paragraph" w:customStyle="1" w:styleId="TableListDash">
    <w:name w:val="Table List Dash"/>
    <w:basedOn w:val="TableText"/>
    <w:uiPriority w:val="1"/>
    <w:pPr>
      <w:numPr>
        <w:numId w:val="21"/>
      </w:numPr>
    </w:pPr>
  </w:style>
  <w:style w:type="paragraph" w:customStyle="1" w:styleId="TableListDashLevel2">
    <w:name w:val="Table List Dash (Level 2)"/>
    <w:basedOn w:val="TableText"/>
    <w:uiPriority w:val="1"/>
    <w:pPr>
      <w:numPr>
        <w:ilvl w:val="1"/>
        <w:numId w:val="21"/>
      </w:numPr>
    </w:pPr>
  </w:style>
  <w:style w:type="paragraph" w:customStyle="1" w:styleId="TableListDashLevel3">
    <w:name w:val="Table List Dash (Level 3)"/>
    <w:basedOn w:val="TableText"/>
    <w:uiPriority w:val="1"/>
    <w:semiHidden/>
    <w:unhideWhenUsed/>
    <w:pPr>
      <w:numPr>
        <w:ilvl w:val="2"/>
        <w:numId w:val="21"/>
      </w:numPr>
    </w:pPr>
  </w:style>
  <w:style w:type="paragraph" w:customStyle="1" w:styleId="TableListDashLevel4">
    <w:name w:val="Table List Dash (Level 4)"/>
    <w:basedOn w:val="TableText"/>
    <w:uiPriority w:val="1"/>
    <w:semiHidden/>
    <w:unhideWhenUsed/>
    <w:pPr>
      <w:numPr>
        <w:ilvl w:val="3"/>
        <w:numId w:val="21"/>
      </w:numPr>
    </w:pPr>
  </w:style>
  <w:style w:type="paragraph" w:customStyle="1" w:styleId="TableListNumber">
    <w:name w:val="Table List Number"/>
    <w:basedOn w:val="TableText"/>
    <w:uiPriority w:val="1"/>
    <w:pPr>
      <w:numPr>
        <w:numId w:val="22"/>
      </w:numPr>
    </w:pPr>
  </w:style>
  <w:style w:type="paragraph" w:customStyle="1" w:styleId="TableListNumberLevel2">
    <w:name w:val="Table List Number (Level 2)"/>
    <w:basedOn w:val="TableText"/>
    <w:uiPriority w:val="1"/>
    <w:pPr>
      <w:numPr>
        <w:ilvl w:val="1"/>
        <w:numId w:val="22"/>
      </w:numPr>
    </w:pPr>
  </w:style>
  <w:style w:type="paragraph" w:customStyle="1" w:styleId="TableListNumberLevel3">
    <w:name w:val="Table List Number (Level 3)"/>
    <w:basedOn w:val="TableText"/>
    <w:uiPriority w:val="1"/>
    <w:semiHidden/>
    <w:unhideWhenUsed/>
    <w:pPr>
      <w:numPr>
        <w:ilvl w:val="2"/>
        <w:numId w:val="22"/>
      </w:numPr>
    </w:pPr>
  </w:style>
  <w:style w:type="paragraph" w:customStyle="1" w:styleId="TableListNumberLevel4">
    <w:name w:val="Table List Number (Level 4)"/>
    <w:basedOn w:val="TableText"/>
    <w:uiPriority w:val="1"/>
    <w:semiHidden/>
    <w:unhideWhenUsed/>
    <w:pPr>
      <w:numPr>
        <w:ilvl w:val="3"/>
        <w:numId w:val="22"/>
      </w:numPr>
    </w:pPr>
  </w:style>
  <w:style w:type="paragraph" w:customStyle="1" w:styleId="TableSource">
    <w:name w:val="Table Source"/>
    <w:basedOn w:val="Normal"/>
    <w:next w:val="Normal"/>
    <w:semiHidden/>
    <w:unhideWhenUsed/>
    <w:rPr>
      <w:sz w:val="20"/>
    </w:rPr>
  </w:style>
  <w:style w:type="paragraph" w:customStyle="1" w:styleId="TableSource1">
    <w:name w:val="Table Source 1"/>
    <w:basedOn w:val="Text1"/>
    <w:next w:val="Text1"/>
    <w:semiHidden/>
    <w:unhideWhenUsed/>
    <w:rPr>
      <w:sz w:val="20"/>
    </w:rPr>
  </w:style>
  <w:style w:type="paragraph" w:customStyle="1" w:styleId="TableSource2">
    <w:name w:val="Table Source 2"/>
    <w:basedOn w:val="Text2"/>
    <w:next w:val="Text2"/>
    <w:semiHidden/>
    <w:unhideWhenUsed/>
    <w:rPr>
      <w:sz w:val="20"/>
    </w:rPr>
  </w:style>
  <w:style w:type="paragraph" w:customStyle="1" w:styleId="TableSource3">
    <w:name w:val="Table Source 3"/>
    <w:basedOn w:val="Text3"/>
    <w:next w:val="Text3"/>
    <w:semiHidden/>
    <w:unhideWhenUsed/>
    <w:rPr>
      <w:sz w:val="20"/>
    </w:rPr>
  </w:style>
  <w:style w:type="paragraph" w:customStyle="1" w:styleId="TableSource4">
    <w:name w:val="Table Source 4"/>
    <w:basedOn w:val="Text4"/>
    <w:next w:val="Text4"/>
    <w:semiHidden/>
    <w:unhideWhenUsed/>
    <w:rPr>
      <w:sz w:val="20"/>
    </w:rPr>
  </w:style>
  <w:style w:type="paragraph" w:customStyle="1" w:styleId="TableText">
    <w:name w:val="Table Text"/>
    <w:basedOn w:val="Normal"/>
    <w:link w:val="TableTextChar"/>
    <w:uiPriority w:val="1"/>
    <w:qFormat/>
    <w:pPr>
      <w:spacing w:before="60" w:after="60"/>
      <w:jc w:val="left"/>
    </w:pPr>
  </w:style>
  <w:style w:type="paragraph" w:customStyle="1" w:styleId="TableTitle">
    <w:name w:val="Table Title"/>
    <w:basedOn w:val="Normal"/>
    <w:uiPriority w:val="1"/>
    <w:semiHidden/>
    <w:unhideWhenUsed/>
    <w:pPr>
      <w:keepNext/>
      <w:spacing w:after="120"/>
    </w:pPr>
    <w:rPr>
      <w:b/>
      <w:i/>
    </w:rPr>
  </w:style>
  <w:style w:type="paragraph" w:customStyle="1" w:styleId="TableTitle1">
    <w:name w:val="Table Title 1"/>
    <w:basedOn w:val="Text1"/>
    <w:uiPriority w:val="1"/>
    <w:unhideWhenUsed/>
    <w:rsid w:val="00A45554"/>
    <w:pPr>
      <w:keepNext/>
      <w:spacing w:after="120"/>
      <w:ind w:left="0"/>
    </w:pPr>
    <w:rPr>
      <w:b/>
      <w:iCs/>
      <w:color w:val="004494"/>
      <w:szCs w:val="24"/>
    </w:rPr>
  </w:style>
  <w:style w:type="paragraph" w:customStyle="1" w:styleId="TableTitle2">
    <w:name w:val="Table Title 2"/>
    <w:basedOn w:val="Text2"/>
    <w:uiPriority w:val="1"/>
    <w:semiHidden/>
    <w:unhideWhenUsed/>
    <w:pPr>
      <w:keepNext/>
      <w:spacing w:after="120"/>
    </w:pPr>
    <w:rPr>
      <w:b/>
      <w:i/>
    </w:rPr>
  </w:style>
  <w:style w:type="paragraph" w:customStyle="1" w:styleId="TableTitle3">
    <w:name w:val="Table Title 3"/>
    <w:basedOn w:val="Text3"/>
    <w:uiPriority w:val="1"/>
    <w:semiHidden/>
    <w:unhideWhenUsed/>
    <w:pPr>
      <w:keepNext/>
      <w:spacing w:after="120"/>
    </w:pPr>
    <w:rPr>
      <w:b/>
      <w:i/>
    </w:rPr>
  </w:style>
  <w:style w:type="paragraph" w:customStyle="1" w:styleId="TableTitle4">
    <w:name w:val="Table Title 4"/>
    <w:basedOn w:val="Text4"/>
    <w:uiPriority w:val="1"/>
    <w:semiHidden/>
    <w:unhideWhenUsed/>
    <w:pPr>
      <w:keepNext/>
      <w:spacing w:after="120"/>
    </w:pPr>
    <w:rPr>
      <w:b/>
      <w:i/>
    </w:rPr>
  </w:style>
  <w:style w:type="paragraph" w:customStyle="1" w:styleId="Text1">
    <w:name w:val="Text 1"/>
    <w:basedOn w:val="Normal"/>
    <w:uiPriority w:val="1"/>
    <w:qFormat/>
    <w:pPr>
      <w:ind w:left="482"/>
    </w:pPr>
  </w:style>
  <w:style w:type="paragraph" w:customStyle="1" w:styleId="Text2">
    <w:name w:val="Text 2"/>
    <w:basedOn w:val="Normal"/>
    <w:uiPriority w:val="1"/>
    <w:qFormat/>
    <w:pPr>
      <w:ind w:left="1202"/>
    </w:pPr>
  </w:style>
  <w:style w:type="paragraph" w:customStyle="1" w:styleId="Text3">
    <w:name w:val="Text 3"/>
    <w:basedOn w:val="Normal"/>
    <w:uiPriority w:val="1"/>
    <w:qFormat/>
    <w:pPr>
      <w:ind w:left="1202"/>
    </w:pPr>
  </w:style>
  <w:style w:type="paragraph" w:customStyle="1" w:styleId="Text4">
    <w:name w:val="Text 4"/>
    <w:basedOn w:val="Normal"/>
    <w:uiPriority w:val="1"/>
    <w:qFormat/>
    <w:pPr>
      <w:ind w:left="1202"/>
    </w:pPr>
  </w:style>
  <w:style w:type="paragraph" w:styleId="Title">
    <w:name w:val="Title"/>
    <w:basedOn w:val="Normal"/>
    <w:next w:val="SubTitle1"/>
    <w:uiPriority w:val="1"/>
    <w:qFormat/>
    <w:pPr>
      <w:spacing w:after="480"/>
      <w:jc w:val="center"/>
    </w:pPr>
    <w:rPr>
      <w:b/>
      <w:kern w:val="28"/>
      <w:sz w:val="48"/>
    </w:rPr>
  </w:style>
  <w:style w:type="paragraph" w:styleId="TOC1">
    <w:name w:val="toc 1"/>
    <w:basedOn w:val="Normal"/>
    <w:next w:val="Normal"/>
    <w:uiPriority w:val="39"/>
    <w:pPr>
      <w:tabs>
        <w:tab w:val="right" w:leader="dot" w:pos="8640"/>
      </w:tabs>
      <w:spacing w:before="120" w:after="120"/>
      <w:ind w:left="482" w:right="720" w:hanging="482"/>
    </w:pPr>
  </w:style>
  <w:style w:type="paragraph" w:styleId="TOC2">
    <w:name w:val="toc 2"/>
    <w:basedOn w:val="Normal"/>
    <w:next w:val="Normal"/>
    <w:uiPriority w:val="39"/>
    <w:pPr>
      <w:tabs>
        <w:tab w:val="right" w:leader="dot" w:pos="8640"/>
      </w:tabs>
      <w:spacing w:before="60" w:after="60"/>
      <w:ind w:left="1077" w:right="720" w:hanging="595"/>
    </w:pPr>
    <w:rPr>
      <w:noProof/>
    </w:r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0"/>
      </w:tabs>
      <w:spacing w:before="60" w:after="60"/>
      <w:ind w:left="2880" w:right="720" w:hanging="964"/>
    </w:pPr>
    <w:rPr>
      <w:noProof/>
    </w:rPr>
  </w:style>
  <w:style w:type="paragraph" w:styleId="TOC5">
    <w:name w:val="toc 5"/>
    <w:basedOn w:val="Normal"/>
    <w:next w:val="Normal"/>
    <w:uiPriority w:val="39"/>
    <w:pPr>
      <w:tabs>
        <w:tab w:val="right" w:leader="dot" w:pos="8640"/>
      </w:tabs>
      <w:spacing w:before="240" w:after="120"/>
      <w:ind w:right="720"/>
    </w:pPr>
    <w:rPr>
      <w:caps/>
    </w:rPr>
  </w:style>
  <w:style w:type="paragraph" w:styleId="TOC6">
    <w:name w:val="toc 6"/>
    <w:basedOn w:val="Normal"/>
    <w:next w:val="Normal"/>
    <w:semiHidden/>
    <w:pPr>
      <w:tabs>
        <w:tab w:val="right" w:leader="dot" w:pos="8640"/>
        <w:tab w:val="left" w:pos="2880"/>
      </w:tabs>
      <w:spacing w:before="120" w:after="120"/>
      <w:ind w:left="1916" w:right="720" w:hanging="1916"/>
    </w:pPr>
    <w:rPr>
      <w:caps/>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spacing w:before="240"/>
      <w:jc w:val="center"/>
    </w:pPr>
    <w:rPr>
      <w:rFonts w:ascii="Times New Roman Bold" w:hAnsi="Times New Roman Bold"/>
      <w:b/>
      <w:caps/>
    </w:rPr>
  </w:style>
  <w:style w:type="paragraph" w:customStyle="1" w:styleId="TrsSecretUE">
    <w:name w:val="Très Secret UE"/>
    <w:basedOn w:val="Normal"/>
    <w:semiHidden/>
    <w:pPr>
      <w:spacing w:after="0"/>
      <w:jc w:val="center"/>
    </w:pPr>
    <w:rPr>
      <w:b/>
      <w:caps/>
      <w:color w:val="FF0000"/>
      <w:sz w:val="32"/>
      <w:bdr w:val="single" w:sz="18" w:space="0" w:color="FF0000"/>
    </w:rPr>
  </w:style>
  <w:style w:type="paragraph" w:customStyle="1" w:styleId="ZCom">
    <w:name w:val="Z_Com"/>
    <w:basedOn w:val="Normal"/>
    <w:next w:val="Normal"/>
    <w:uiPriority w:val="2"/>
    <w:pPr>
      <w:widowControl w:val="0"/>
      <w:spacing w:before="90" w:after="0"/>
      <w:ind w:right="85"/>
      <w:jc w:val="left"/>
    </w:pPr>
  </w:style>
  <w:style w:type="paragraph" w:customStyle="1" w:styleId="ZDGName">
    <w:name w:val="Z_DGName"/>
    <w:basedOn w:val="Normal"/>
    <w:uiPriority w:val="2"/>
    <w:pPr>
      <w:widowControl w:val="0"/>
      <w:spacing w:after="0"/>
      <w:ind w:right="85"/>
      <w:jc w:val="left"/>
    </w:pPr>
    <w:rPr>
      <w:sz w:val="16"/>
    </w:rPr>
  </w:style>
  <w:style w:type="paragraph" w:customStyle="1" w:styleId="ZFlag">
    <w:name w:val="Z_Flag"/>
    <w:basedOn w:val="Normal"/>
    <w:next w:val="Normal"/>
    <w:uiPriority w:val="2"/>
    <w:pPr>
      <w:widowControl w:val="0"/>
      <w:spacing w:after="0"/>
      <w:ind w:right="85"/>
    </w:pPr>
  </w:style>
  <w:style w:type="paragraph" w:styleId="Header">
    <w:name w:val="header"/>
    <w:basedOn w:val="Normal"/>
    <w:link w:val="HeaderChar"/>
    <w:uiPriority w:val="2"/>
    <w:pPr>
      <w:tabs>
        <w:tab w:val="center" w:pos="4150"/>
        <w:tab w:val="right" w:pos="8306"/>
      </w:tabs>
      <w:spacing w:after="0"/>
    </w:pPr>
  </w:style>
  <w:style w:type="character" w:customStyle="1" w:styleId="HeaderChar">
    <w:name w:val="Header Char"/>
    <w:basedOn w:val="DefaultParagraphFont"/>
    <w:link w:val="Header"/>
    <w:uiPriority w:val="2"/>
    <w:rPr>
      <w:sz w:val="24"/>
    </w:rPr>
  </w:style>
  <w:style w:type="table" w:customStyle="1" w:styleId="EurolookClassicBlue">
    <w:name w:val="Eurolook Classic Blu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Blue1">
    <w:name w:val="Eurolook Classic Blue 1"/>
    <w:basedOn w:val="TableNormal"/>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Blue2">
    <w:name w:val="Eurolook Classic Blue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Blue3">
    <w:name w:val="Eurolook Classic Blue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Blue4">
    <w:name w:val="Eurolook Classic Blue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Grey">
    <w:name w:val="Eurolook Classic Grey"/>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Grey1">
    <w:name w:val="Eurolook Classic Grey 1"/>
    <w:basedOn w:val="TableNormal"/>
    <w:semiHidden/>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Grey2">
    <w:name w:val="Eurolook Classic Grey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Grey3">
    <w:name w:val="Eurolook Classic Grey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Grey4">
    <w:name w:val="Eurolook Classic Grey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Olive">
    <w:name w:val="Eurolook Classic Oliv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Olive1">
    <w:name w:val="Eurolook Classic Olive 1"/>
    <w:basedOn w:val="TableNormal"/>
    <w:semiHidden/>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Olive2">
    <w:name w:val="Eurolook Classic Olive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Olive3">
    <w:name w:val="Eurolook Classic Olive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Olive4">
    <w:name w:val="Eurolook Classic Olive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Petrol">
    <w:name w:val="Eurolook Classic Petrol"/>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etrol1">
    <w:name w:val="Eurolook Classic Petrol 1"/>
    <w:basedOn w:val="TableNormal"/>
    <w:semiHidden/>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etrol2">
    <w:name w:val="Eurolook Classic Petrol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etrol3">
    <w:name w:val="Eurolook Classic Petrol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etrol4">
    <w:name w:val="Eurolook Classic Petrol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urple">
    <w:name w:val="Eurolook Classic Purpl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Purple1">
    <w:name w:val="Eurolook Classic Purple 1"/>
    <w:basedOn w:val="TableNormal"/>
    <w:semiHidden/>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Purple2">
    <w:name w:val="Eurolook Classic Purple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Purple3">
    <w:name w:val="Eurolook Classic Purple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Purple4">
    <w:name w:val="Eurolook Classic Purple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Rust">
    <w:name w:val="Eurolook Classic Rust"/>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ClassicRust1">
    <w:name w:val="Eurolook Classic Rust 1"/>
    <w:basedOn w:val="TableNormal"/>
    <w:semiHidden/>
    <w:unhideWhenUsed/>
    <w:pPr>
      <w:spacing w:after="240"/>
    </w:pPr>
    <w:tblPr>
      <w:tblStyleRowBandSize w:val="1"/>
      <w:tblStyleColBandSize w:val="1"/>
      <w:tblInd w:w="48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ClassicRust2">
    <w:name w:val="Eurolook Classic Rust 2"/>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ClassicRust3">
    <w:name w:val="Eurolook Classic Rust 3"/>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ClassicRust4">
    <w:name w:val="Eurolook Classic Rust 4"/>
    <w:basedOn w:val="TableNormal"/>
    <w:semiHidden/>
    <w:unhideWhenUsed/>
    <w:pPr>
      <w:spacing w:after="240"/>
    </w:pPr>
    <w:tblPr>
      <w:tblStyleRowBandSize w:val="1"/>
      <w:tblStyleColBandSize w:val="1"/>
      <w:tblInd w:w="1202" w:type="dxa"/>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LightBlue">
    <w:name w:val="Eurolook Light Blu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Blue1">
    <w:name w:val="Eurolook Light Blue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Blue2">
    <w:name w:val="Eurolook Light Blue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Blue3">
    <w:name w:val="Eurolook Light Blue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Blue4">
    <w:name w:val="Eurolook Light Blue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
    <w:name w:val="Eurolook Light Grey"/>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1">
    <w:name w:val="Eurolook Light Grey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2">
    <w:name w:val="Eurolook Light Grey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3">
    <w:name w:val="Eurolook Light Grey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4">
    <w:name w:val="Eurolook Light Grey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
    <w:name w:val="Eurolook Light Oliv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1">
    <w:name w:val="Eurolook Light Olive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2">
    <w:name w:val="Eurolook Light Olive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3">
    <w:name w:val="Eurolook Light Olive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4">
    <w:name w:val="Eurolook Light Olive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
    <w:name w:val="Eurolook Light Petrol"/>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1">
    <w:name w:val="Eurolook Light Petrol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2">
    <w:name w:val="Eurolook Light Petrol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3">
    <w:name w:val="Eurolook Light Petrol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4">
    <w:name w:val="Eurolook Light Petrol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
    <w:name w:val="Eurolook Light Purpl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1">
    <w:name w:val="Eurolook Light Purple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2">
    <w:name w:val="Eurolook Light Purple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3">
    <w:name w:val="Eurolook Light Purple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4">
    <w:name w:val="Eurolook Light Purple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
    <w:name w:val="Eurolook Light Rust"/>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1">
    <w:name w:val="Eurolook Light Rust 1"/>
    <w:basedOn w:val="TableNormal"/>
    <w:semiHidden/>
    <w:unhideWhenUsed/>
    <w:pPr>
      <w:spacing w:after="240"/>
    </w:pPr>
    <w:tblPr>
      <w:tblStyleRowBandSize w:val="1"/>
      <w:tblStyleColBandSize w:val="1"/>
      <w:tblInd w:w="48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2">
    <w:name w:val="Eurolook Light Rust 2"/>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3">
    <w:name w:val="Eurolook Light Rust 3"/>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4">
    <w:name w:val="Eurolook Light Rust 4"/>
    <w:basedOn w:val="TableNormal"/>
    <w:semiHidden/>
    <w:unhideWhenUsed/>
    <w:pPr>
      <w:spacing w:after="240"/>
    </w:pPr>
    <w:tblPr>
      <w:tblStyleRowBandSize w:val="1"/>
      <w:tblStyleColBandSize w:val="1"/>
      <w:tblInd w:w="1202" w:type="dxa"/>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Table">
    <w:name w:val="Eurolook Table"/>
    <w:semiHidden/>
    <w:unhideWhenUs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Pr/>
      <w:trPr>
        <w:cantSplit/>
        <w:tblHeader/>
      </w:trPr>
    </w:tblStylePr>
  </w:style>
  <w:style w:type="table" w:customStyle="1" w:styleId="EurolookTable1">
    <w:name w:val="Eurolook Table 1"/>
    <w:basedOn w:val="EurolookTable"/>
    <w:semiHidden/>
    <w:unhideWhenUsed/>
    <w:tblPr>
      <w:tblInd w:w="482" w:type="dxa"/>
    </w:tblPr>
    <w:tblStylePr w:type="firstRow">
      <w:rPr>
        <w:b/>
      </w:rPr>
      <w:tblPr/>
      <w:trPr>
        <w:cantSplit/>
        <w:tblHeader/>
      </w:trPr>
    </w:tblStylePr>
  </w:style>
  <w:style w:type="table" w:customStyle="1" w:styleId="EurolookTable2">
    <w:name w:val="Eurolook Table 2"/>
    <w:basedOn w:val="EurolookTable"/>
    <w:semiHidden/>
    <w:unhideWhenUsed/>
    <w:tblPr>
      <w:tblInd w:w="1202" w:type="dxa"/>
    </w:tblPr>
    <w:tblStylePr w:type="firstRow">
      <w:rPr>
        <w:b/>
      </w:rPr>
      <w:tblPr/>
      <w:trPr>
        <w:cantSplit/>
        <w:tblHeader/>
      </w:trPr>
    </w:tblStylePr>
  </w:style>
  <w:style w:type="table" w:customStyle="1" w:styleId="EurolookTable3">
    <w:name w:val="Eurolook Table 3"/>
    <w:basedOn w:val="EurolookTable"/>
    <w:semiHidden/>
    <w:unhideWhenUsed/>
    <w:tblPr>
      <w:tblInd w:w="1202" w:type="dxa"/>
    </w:tblPr>
    <w:tblStylePr w:type="firstRow">
      <w:rPr>
        <w:b/>
      </w:rPr>
      <w:tblPr/>
      <w:trPr>
        <w:cantSplit/>
        <w:tblHeader/>
      </w:trPr>
    </w:tblStylePr>
  </w:style>
  <w:style w:type="table" w:customStyle="1" w:styleId="EurolookTable4">
    <w:name w:val="Eurolook Table 4"/>
    <w:basedOn w:val="EurolookTable"/>
    <w:semiHidden/>
    <w:unhideWhenUsed/>
    <w:tblPr>
      <w:tblInd w:w="1202" w:type="dxa"/>
    </w:tblPr>
    <w:tblStylePr w:type="firstRow">
      <w:rPr>
        <w:b/>
      </w:rPr>
      <w:tblPr/>
      <w:trPr>
        <w:cantSplit/>
        <w:tblHeader/>
      </w:trPr>
    </w:tblStylePr>
  </w:style>
  <w:style w:type="table" w:customStyle="1" w:styleId="HelperTableBase">
    <w:name w:val="Helper Table Base"/>
    <w:semiHidden/>
    <w:tblPr>
      <w:tblInd w:w="0" w:type="dxa"/>
      <w:tblCellMar>
        <w:top w:w="0" w:type="dxa"/>
        <w:left w:w="0" w:type="dxa"/>
        <w:bottom w:w="0" w:type="dxa"/>
        <w:right w:w="0" w:type="dxa"/>
      </w:tblCellMar>
    </w:tblPr>
  </w:style>
  <w:style w:type="table" w:customStyle="1" w:styleId="SignatureTable">
    <w:name w:val="Signature Table"/>
    <w:basedOn w:val="HelperTableBase"/>
    <w:semiHidden/>
    <w:tblPr/>
  </w:style>
  <w:style w:type="table" w:styleId="TableGrid">
    <w:name w:val="Table Grid"/>
    <w:semiHidden/>
    <w:tblPr>
      <w:tblStyleRowBandSize w:val="1"/>
      <w:tblStyleCol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History">
    <w:name w:val="Table History"/>
    <w:basedOn w:val="TableNormal"/>
    <w:semiHidden/>
    <w:pPr>
      <w:spacing w:before="60" w:after="60" w:line="264"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etterhead">
    <w:name w:val="Table Letterhead"/>
    <w:basedOn w:val="TableNormal"/>
    <w:semiHidden/>
    <w:tblPr>
      <w:tblCellMar>
        <w:left w:w="0" w:type="dxa"/>
        <w:bottom w:w="340" w:type="dxa"/>
        <w:right w:w="0" w:type="dxa"/>
      </w:tblCellMar>
    </w:tblPr>
  </w:style>
  <w:style w:type="character" w:customStyle="1" w:styleId="FootnoteTextChar">
    <w:name w:val="Footnote Text Char"/>
    <w:basedOn w:val="DefaultParagraphFont"/>
    <w:link w:val="FootnoteText"/>
    <w:uiPriority w:val="99"/>
    <w:semiHidden/>
    <w:rsid w:val="00584AD0"/>
    <w:rPr>
      <w:sz w:val="20"/>
    </w:rPr>
  </w:style>
  <w:style w:type="character" w:styleId="FootnoteReference">
    <w:name w:val="footnote reference"/>
    <w:basedOn w:val="DefaultParagraphFont"/>
    <w:semiHidden/>
    <w:locked/>
    <w:rsid w:val="00584AD0"/>
    <w:rPr>
      <w:vertAlign w:val="superscript"/>
    </w:rPr>
  </w:style>
  <w:style w:type="paragraph" w:styleId="CommentText">
    <w:name w:val="annotation text"/>
    <w:basedOn w:val="Normal"/>
    <w:link w:val="CommentTextChar"/>
    <w:unhideWhenUsed/>
    <w:locked/>
    <w:rsid w:val="00584AD0"/>
    <w:pPr>
      <w:spacing w:after="120"/>
    </w:pPr>
    <w:rPr>
      <w:sz w:val="20"/>
      <w:lang w:eastAsia="en-GB"/>
      <w14:ligatures w14:val="standardContextual"/>
    </w:rPr>
  </w:style>
  <w:style w:type="character" w:customStyle="1" w:styleId="CommentTextChar">
    <w:name w:val="Comment Text Char"/>
    <w:basedOn w:val="DefaultParagraphFont"/>
    <w:link w:val="CommentText"/>
    <w:rsid w:val="00584AD0"/>
    <w:rPr>
      <w:sz w:val="20"/>
      <w:lang w:eastAsia="en-GB"/>
      <w14:ligatures w14:val="standardContextual"/>
    </w:rPr>
  </w:style>
  <w:style w:type="character" w:styleId="CommentReference">
    <w:name w:val="annotation reference"/>
    <w:basedOn w:val="DefaultParagraphFont"/>
    <w:semiHidden/>
    <w:unhideWhenUsed/>
    <w:locked/>
    <w:rsid w:val="00584AD0"/>
    <w:rPr>
      <w:sz w:val="16"/>
      <w:szCs w:val="16"/>
    </w:rPr>
  </w:style>
  <w:style w:type="character" w:customStyle="1" w:styleId="Mention1">
    <w:name w:val="Mention1"/>
    <w:basedOn w:val="DefaultParagraphFont"/>
    <w:uiPriority w:val="99"/>
    <w:unhideWhenUsed/>
    <w:locked/>
    <w:rsid w:val="00584AD0"/>
    <w:rPr>
      <w:color w:val="2B579A"/>
      <w:shd w:val="clear" w:color="auto" w:fill="E6E6E6"/>
    </w:rPr>
  </w:style>
  <w:style w:type="character" w:styleId="Hyperlink">
    <w:name w:val="Hyperlink"/>
    <w:basedOn w:val="DefaultParagraphFont"/>
    <w:uiPriority w:val="99"/>
    <w:unhideWhenUsed/>
    <w:locked/>
    <w:rsid w:val="00584AD0"/>
    <w:rPr>
      <w:color w:val="0563C1" w:themeColor="hyperlink"/>
      <w:u w:val="single"/>
    </w:rPr>
  </w:style>
  <w:style w:type="paragraph" w:styleId="ListParagraph">
    <w:name w:val="List Paragraph"/>
    <w:basedOn w:val="Normal"/>
    <w:uiPriority w:val="34"/>
    <w:qFormat/>
    <w:locked/>
    <w:rsid w:val="00A7275B"/>
    <w:pPr>
      <w:spacing w:after="120" w:line="264" w:lineRule="auto"/>
      <w:ind w:left="720"/>
      <w:contextualSpacing/>
    </w:pPr>
    <w:rPr>
      <w:spacing w:val="-6"/>
      <w:sz w:val="22"/>
      <w:lang w:eastAsia="en-GB"/>
      <w14:ligatures w14:val="standardContextual"/>
    </w:rPr>
  </w:style>
  <w:style w:type="character" w:customStyle="1" w:styleId="normaltextrun">
    <w:name w:val="normaltextrun"/>
    <w:basedOn w:val="DefaultParagraphFont"/>
    <w:rsid w:val="000B0D9D"/>
  </w:style>
  <w:style w:type="paragraph" w:customStyle="1" w:styleId="paragraph">
    <w:name w:val="paragraph"/>
    <w:basedOn w:val="Normal"/>
    <w:rsid w:val="000B0D9D"/>
    <w:pPr>
      <w:spacing w:before="100" w:beforeAutospacing="1" w:after="100" w:afterAutospacing="1"/>
      <w:jc w:val="left"/>
    </w:pPr>
    <w:rPr>
      <w:rFonts w:ascii="Calibri" w:eastAsiaTheme="minorHAnsi" w:hAnsi="Calibri" w:cs="Calibri"/>
      <w:sz w:val="22"/>
      <w:szCs w:val="22"/>
      <w:lang w:val="en-US"/>
      <w14:ligatures w14:val="standardContextual"/>
    </w:rPr>
  </w:style>
  <w:style w:type="character" w:customStyle="1" w:styleId="superscript">
    <w:name w:val="superscript"/>
    <w:basedOn w:val="DefaultParagraphFont"/>
    <w:rsid w:val="000B0D9D"/>
  </w:style>
  <w:style w:type="character" w:customStyle="1" w:styleId="eop">
    <w:name w:val="eop"/>
    <w:basedOn w:val="DefaultParagraphFont"/>
    <w:rsid w:val="000B0D9D"/>
  </w:style>
  <w:style w:type="numbering" w:customStyle="1" w:styleId="Style1">
    <w:name w:val="Style1"/>
    <w:uiPriority w:val="99"/>
    <w:rsid w:val="00713837"/>
    <w:pPr>
      <w:numPr>
        <w:numId w:val="28"/>
      </w:numPr>
    </w:pPr>
  </w:style>
  <w:style w:type="character" w:customStyle="1" w:styleId="Marker">
    <w:name w:val="Marker"/>
    <w:basedOn w:val="DefaultParagraphFont"/>
    <w:rsid w:val="00655A36"/>
    <w:rPr>
      <w:color w:val="0000FF"/>
      <w:shd w:val="clear" w:color="auto" w:fill="auto"/>
    </w:rPr>
  </w:style>
  <w:style w:type="paragraph" w:customStyle="1" w:styleId="Pagedecouverture">
    <w:name w:val="Page de couverture"/>
    <w:basedOn w:val="Normal"/>
    <w:next w:val="Normal"/>
    <w:link w:val="PagedecouvertureChar"/>
    <w:rsid w:val="00655A36"/>
    <w:pPr>
      <w:spacing w:after="0"/>
    </w:pPr>
    <w:rPr>
      <w:rFonts w:eastAsiaTheme="minorHAnsi"/>
      <w:szCs w:val="22"/>
    </w:rPr>
  </w:style>
  <w:style w:type="paragraph" w:customStyle="1" w:styleId="FooterCoverPage">
    <w:name w:val="Footer Cover Page"/>
    <w:basedOn w:val="Normal"/>
    <w:link w:val="FooterCoverPageChar"/>
    <w:rsid w:val="00655A36"/>
    <w:pPr>
      <w:tabs>
        <w:tab w:val="center" w:pos="4535"/>
        <w:tab w:val="right" w:pos="9071"/>
        <w:tab w:val="right" w:pos="9921"/>
      </w:tabs>
      <w:spacing w:before="360" w:after="0"/>
      <w:ind w:left="-850" w:right="-850"/>
      <w:jc w:val="left"/>
    </w:pPr>
    <w:rPr>
      <w:rFonts w:ascii="Times New Roman" w:hAnsi="Times New Roman"/>
    </w:rPr>
  </w:style>
  <w:style w:type="character" w:customStyle="1" w:styleId="PagedecouvertureChar">
    <w:name w:val="Page de couverture Char"/>
    <w:basedOn w:val="DefaultParagraphFont"/>
    <w:link w:val="Pagedecouverture"/>
    <w:rsid w:val="00655A36"/>
    <w:rPr>
      <w:rFonts w:eastAsiaTheme="minorHAnsi"/>
      <w:szCs w:val="22"/>
    </w:rPr>
  </w:style>
  <w:style w:type="character" w:customStyle="1" w:styleId="FooterCoverPageChar">
    <w:name w:val="Footer Cover Page Char"/>
    <w:basedOn w:val="PagedecouvertureChar"/>
    <w:link w:val="FooterCoverPage"/>
    <w:rsid w:val="00655A36"/>
    <w:rPr>
      <w:rFonts w:eastAsiaTheme="minorHAnsi"/>
      <w:szCs w:val="22"/>
    </w:rPr>
  </w:style>
  <w:style w:type="paragraph" w:customStyle="1" w:styleId="FooterSensitivity">
    <w:name w:val="Footer Sensitivity"/>
    <w:basedOn w:val="Normal"/>
    <w:link w:val="FooterSensitivityChar"/>
    <w:rsid w:val="00655A36"/>
    <w:pPr>
      <w:pBdr>
        <w:top w:val="single" w:sz="4" w:space="1" w:color="auto"/>
        <w:left w:val="single" w:sz="4" w:space="4" w:color="auto"/>
        <w:bottom w:val="single" w:sz="4" w:space="1" w:color="auto"/>
        <w:right w:val="single" w:sz="4" w:space="4" w:color="auto"/>
      </w:pBdr>
      <w:spacing w:before="360" w:after="0"/>
      <w:ind w:left="113" w:right="113"/>
      <w:jc w:val="center"/>
    </w:pPr>
    <w:rPr>
      <w:rFonts w:ascii="Times New Roman" w:hAnsi="Times New Roman"/>
      <w:b/>
      <w:sz w:val="32"/>
    </w:rPr>
  </w:style>
  <w:style w:type="character" w:customStyle="1" w:styleId="FooterSensitivityChar">
    <w:name w:val="Footer Sensitivity Char"/>
    <w:basedOn w:val="PagedecouvertureChar"/>
    <w:link w:val="FooterSensitivity"/>
    <w:rsid w:val="00655A36"/>
    <w:rPr>
      <w:rFonts w:eastAsiaTheme="minorHAnsi"/>
      <w:b/>
      <w:sz w:val="32"/>
      <w:szCs w:val="22"/>
    </w:rPr>
  </w:style>
  <w:style w:type="paragraph" w:customStyle="1" w:styleId="HeaderCoverPage">
    <w:name w:val="Header Cover Page"/>
    <w:basedOn w:val="Normal"/>
    <w:link w:val="HeaderCoverPageChar"/>
    <w:rsid w:val="00655A36"/>
    <w:pPr>
      <w:tabs>
        <w:tab w:val="center" w:pos="4535"/>
        <w:tab w:val="right" w:pos="9071"/>
      </w:tabs>
      <w:spacing w:after="120"/>
    </w:pPr>
    <w:rPr>
      <w:rFonts w:ascii="Times New Roman" w:hAnsi="Times New Roman"/>
    </w:rPr>
  </w:style>
  <w:style w:type="character" w:customStyle="1" w:styleId="HeaderCoverPageChar">
    <w:name w:val="Header Cover Page Char"/>
    <w:basedOn w:val="PagedecouvertureChar"/>
    <w:link w:val="HeaderCoverPage"/>
    <w:rsid w:val="00655A36"/>
    <w:rPr>
      <w:rFonts w:eastAsiaTheme="minorHAnsi"/>
      <w:szCs w:val="22"/>
    </w:rPr>
  </w:style>
  <w:style w:type="paragraph" w:customStyle="1" w:styleId="HeaderSensitivity">
    <w:name w:val="Header Sensitivity"/>
    <w:basedOn w:val="Normal"/>
    <w:link w:val="HeaderSensitivityChar"/>
    <w:rsid w:val="00655A36"/>
    <w:pPr>
      <w:pBdr>
        <w:top w:val="single" w:sz="4" w:space="1" w:color="auto"/>
        <w:left w:val="single" w:sz="4" w:space="4" w:color="auto"/>
        <w:bottom w:val="single" w:sz="4" w:space="1" w:color="auto"/>
        <w:right w:val="single" w:sz="4" w:space="4" w:color="auto"/>
      </w:pBdr>
      <w:spacing w:after="120"/>
      <w:ind w:left="113" w:right="113"/>
      <w:jc w:val="center"/>
    </w:pPr>
    <w:rPr>
      <w:rFonts w:ascii="Times New Roman" w:hAnsi="Times New Roman"/>
      <w:b/>
      <w:sz w:val="32"/>
    </w:rPr>
  </w:style>
  <w:style w:type="character" w:customStyle="1" w:styleId="HeaderSensitivityChar">
    <w:name w:val="Header Sensitivity Char"/>
    <w:basedOn w:val="PagedecouvertureChar"/>
    <w:link w:val="HeaderSensitivity"/>
    <w:rsid w:val="00655A36"/>
    <w:rPr>
      <w:rFonts w:eastAsiaTheme="minorHAnsi"/>
      <w:b/>
      <w:sz w:val="32"/>
      <w:szCs w:val="22"/>
    </w:rPr>
  </w:style>
  <w:style w:type="paragraph" w:customStyle="1" w:styleId="HeaderSensitivityRight">
    <w:name w:val="Header Sensitivity Right"/>
    <w:basedOn w:val="Normal"/>
    <w:link w:val="HeaderSensitivityRightChar"/>
    <w:rsid w:val="00733819"/>
    <w:pPr>
      <w:spacing w:after="120"/>
      <w:jc w:val="right"/>
    </w:pPr>
    <w:rPr>
      <w:rFonts w:ascii="Times New Roman" w:hAnsi="Times New Roman"/>
      <w:sz w:val="28"/>
    </w:rPr>
  </w:style>
  <w:style w:type="character" w:customStyle="1" w:styleId="HeaderSensitivityRightChar">
    <w:name w:val="Header Sensitivity Right Char"/>
    <w:basedOn w:val="PagedecouvertureChar"/>
    <w:link w:val="HeaderSensitivityRight"/>
    <w:rsid w:val="00655A36"/>
    <w:rPr>
      <w:rFonts w:eastAsiaTheme="minorHAnsi"/>
      <w:sz w:val="28"/>
      <w:szCs w:val="22"/>
    </w:rPr>
  </w:style>
  <w:style w:type="paragraph" w:styleId="Revision">
    <w:name w:val="Revision"/>
    <w:hidden/>
    <w:semiHidden/>
    <w:locked/>
    <w:rsid w:val="002B7CB6"/>
  </w:style>
  <w:style w:type="paragraph" w:styleId="CommentSubject">
    <w:name w:val="annotation subject"/>
    <w:basedOn w:val="CommentText"/>
    <w:next w:val="CommentText"/>
    <w:link w:val="CommentSubjectChar"/>
    <w:semiHidden/>
    <w:locked/>
    <w:rsid w:val="00863817"/>
    <w:pPr>
      <w:spacing w:after="240"/>
    </w:pPr>
    <w:rPr>
      <w:b/>
      <w:bCs/>
      <w:lang w:eastAsia="en-US"/>
      <w14:ligatures w14:val="none"/>
    </w:rPr>
  </w:style>
  <w:style w:type="character" w:customStyle="1" w:styleId="CommentSubjectChar">
    <w:name w:val="Comment Subject Char"/>
    <w:basedOn w:val="CommentTextChar"/>
    <w:link w:val="CommentSubject"/>
    <w:semiHidden/>
    <w:rsid w:val="00863817"/>
    <w:rPr>
      <w:b/>
      <w:bCs/>
      <w:sz w:val="20"/>
      <w:lang w:eastAsia="en-GB"/>
      <w14:ligatures w14:val="standardContextual"/>
    </w:rPr>
  </w:style>
  <w:style w:type="character" w:styleId="FollowedHyperlink">
    <w:name w:val="FollowedHyperlink"/>
    <w:basedOn w:val="DefaultParagraphFont"/>
    <w:semiHidden/>
    <w:locked/>
    <w:rsid w:val="00104A1A"/>
    <w:rPr>
      <w:color w:val="954F72" w:themeColor="followedHyperlink"/>
      <w:u w:val="single"/>
    </w:rPr>
  </w:style>
  <w:style w:type="paragraph" w:customStyle="1" w:styleId="Disclaimer">
    <w:name w:val="Disclaimer"/>
    <w:basedOn w:val="Normal"/>
    <w:rsid w:val="003E21F6"/>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spacing w:before="120" w:after="120"/>
    </w:pPr>
    <w:rPr>
      <w:rFonts w:eastAsiaTheme="minorHAnsi"/>
      <w:szCs w:val="22"/>
    </w:rPr>
  </w:style>
  <w:style w:type="paragraph" w:customStyle="1" w:styleId="SecurityMarking">
    <w:name w:val="SecurityMarking"/>
    <w:basedOn w:val="Normal"/>
    <w:rsid w:val="00733819"/>
    <w:pPr>
      <w:spacing w:after="0" w:line="276" w:lineRule="auto"/>
      <w:ind w:left="5103"/>
      <w:jc w:val="left"/>
    </w:pPr>
    <w:rPr>
      <w:rFonts w:ascii="Times New Roman" w:eastAsiaTheme="minorHAnsi" w:hAnsi="Times New Roman"/>
      <w:sz w:val="28"/>
      <w:szCs w:val="22"/>
    </w:rPr>
  </w:style>
  <w:style w:type="paragraph" w:customStyle="1" w:styleId="DateMarking">
    <w:name w:val="DateMarking"/>
    <w:basedOn w:val="Normal"/>
    <w:rsid w:val="00733819"/>
    <w:pPr>
      <w:spacing w:after="0" w:line="276" w:lineRule="auto"/>
      <w:ind w:left="5103"/>
      <w:jc w:val="left"/>
    </w:pPr>
    <w:rPr>
      <w:rFonts w:ascii="Times New Roman" w:eastAsiaTheme="minorHAnsi" w:hAnsi="Times New Roman"/>
      <w:i/>
      <w:sz w:val="28"/>
      <w:szCs w:val="22"/>
    </w:rPr>
  </w:style>
  <w:style w:type="paragraph" w:customStyle="1" w:styleId="ReleasableTo">
    <w:name w:val="ReleasableTo"/>
    <w:basedOn w:val="Normal"/>
    <w:rsid w:val="00733819"/>
    <w:pPr>
      <w:spacing w:after="0" w:line="276" w:lineRule="auto"/>
      <w:ind w:left="5103"/>
      <w:jc w:val="left"/>
    </w:pPr>
    <w:rPr>
      <w:rFonts w:ascii="Times New Roman" w:eastAsiaTheme="minorHAnsi" w:hAnsi="Times New Roman"/>
      <w:i/>
      <w:sz w:val="28"/>
      <w:szCs w:val="22"/>
    </w:rPr>
  </w:style>
  <w:style w:type="paragraph" w:customStyle="1" w:styleId="Bold">
    <w:name w:val="Bold"/>
    <w:basedOn w:val="TableText"/>
    <w:link w:val="BoldChar"/>
    <w:uiPriority w:val="1"/>
    <w:qFormat/>
    <w:rsid w:val="00C836F3"/>
    <w:rPr>
      <w:b/>
      <w:noProof/>
      <w:color w:val="004494" w:themeColor="text2"/>
      <w:sz w:val="22"/>
      <w:szCs w:val="22"/>
    </w:rPr>
  </w:style>
  <w:style w:type="character" w:customStyle="1" w:styleId="TableTextChar">
    <w:name w:val="Table Text Char"/>
    <w:basedOn w:val="DefaultParagraphFont"/>
    <w:link w:val="TableText"/>
    <w:uiPriority w:val="1"/>
    <w:rsid w:val="00C836F3"/>
    <w:rPr>
      <w:rFonts w:ascii="EC Square Sans Pro" w:hAnsi="EC Square Sans Pro"/>
    </w:rPr>
  </w:style>
  <w:style w:type="character" w:customStyle="1" w:styleId="BoldChar">
    <w:name w:val="Bold Char"/>
    <w:basedOn w:val="TableTextChar"/>
    <w:link w:val="Bold"/>
    <w:uiPriority w:val="1"/>
    <w:rsid w:val="00C836F3"/>
    <w:rPr>
      <w:rFonts w:ascii="EC Square Sans Pro" w:hAnsi="EC Square Sans Pro"/>
      <w:b/>
      <w:noProof/>
      <w:color w:val="004494" w:themeColor="text2"/>
      <w:sz w:val="22"/>
      <w:szCs w:val="22"/>
    </w:rPr>
  </w:style>
  <w:style w:type="character" w:customStyle="1" w:styleId="FooterChar">
    <w:name w:val="Footer Char"/>
    <w:basedOn w:val="DefaultParagraphFont"/>
    <w:link w:val="Footer"/>
    <w:uiPriority w:val="99"/>
    <w:rsid w:val="00AF66FB"/>
    <w:rPr>
      <w:rFonts w:ascii="EC Square Sans Pro" w:hAnsi="EC Square Sans Pro"/>
      <w:sz w:val="16"/>
    </w:rPr>
  </w:style>
  <w:style w:type="character" w:customStyle="1" w:styleId="Mention">
    <w:name w:val="Mention"/>
    <w:basedOn w:val="DefaultParagraphFont"/>
    <w:uiPriority w:val="99"/>
    <w:unhideWhenUsed/>
    <w:rsid w:val="00401B9D"/>
    <w:rPr>
      <w:color w:val="2B579A"/>
      <w:shd w:val="clear" w:color="auto" w:fill="E1DFDD"/>
    </w:rPr>
  </w:style>
  <w:style w:type="character" w:styleId="Strong">
    <w:name w:val="Strong"/>
    <w:basedOn w:val="DefaultParagraphFont"/>
    <w:uiPriority w:val="22"/>
    <w:qFormat/>
    <w:locked/>
    <w:rsid w:val="00C37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18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eur-lex.europa.eu/legal-content/EN/TXT/?uri=CELEX%3A52022DC0213&amp;qid=1663150007084" TargetMode="External"/><Relationship Id="rId1" Type="http://schemas.openxmlformats.org/officeDocument/2006/relationships/hyperlink" Target="https://eur-lex.europa.eu/legal-content/EN/TXT/?uri=CELEX%3A52022DC0213&amp;qid=166315000708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EB4DC98972D4373BC68DF0783B4DF7E"/>
        <w:category>
          <w:name w:val="General"/>
          <w:gallery w:val="placeholder"/>
        </w:category>
        <w:types>
          <w:type w:val="bbPlcHdr"/>
        </w:types>
        <w:behaviors>
          <w:behavior w:val="content"/>
        </w:behaviors>
        <w:guid w:val="{D3D81612-C2C5-4130-A54A-8472DE7EFE73}"/>
      </w:docPartPr>
      <w:docPartBody>
        <w:p w:rsidR="00DC6559" w:rsidRDefault="00DC6559"/>
      </w:docPartBody>
    </w:docPart>
    <w:docPart>
      <w:docPartPr>
        <w:name w:val="540F99BA017C456D80112867DEC0D507"/>
        <w:category>
          <w:name w:val="General"/>
          <w:gallery w:val="placeholder"/>
        </w:category>
        <w:types>
          <w:type w:val="bbPlcHdr"/>
        </w:types>
        <w:behaviors>
          <w:behavior w:val="content"/>
        </w:behaviors>
        <w:guid w:val="{35AF62EB-6668-47B6-BDE3-7B38E90D8EA4}"/>
      </w:docPartPr>
      <w:docPartBody>
        <w:p w:rsidR="00DC6559" w:rsidRDefault="00DC6559"/>
      </w:docPartBody>
    </w:docPart>
    <w:docPart>
      <w:docPartPr>
        <w:name w:val="F7F8FA6F70CC440ABEA82F241CACE888"/>
        <w:category>
          <w:name w:val="General"/>
          <w:gallery w:val="placeholder"/>
        </w:category>
        <w:types>
          <w:type w:val="bbPlcHdr"/>
        </w:types>
        <w:behaviors>
          <w:behavior w:val="content"/>
        </w:behaviors>
        <w:guid w:val="{3E58BC90-B7D4-49E1-8A06-E105D9E5F584}"/>
      </w:docPartPr>
      <w:docPartBody>
        <w:p w:rsidR="005A281C" w:rsidRDefault="005A281C"/>
      </w:docPartBody>
    </w:docPart>
    <w:docPart>
      <w:docPartPr>
        <w:name w:val="E4E9D013899748A88C86AA8C5968181E"/>
        <w:category>
          <w:name w:val="General"/>
          <w:gallery w:val="placeholder"/>
        </w:category>
        <w:types>
          <w:type w:val="bbPlcHdr"/>
        </w:types>
        <w:behaviors>
          <w:behavior w:val="content"/>
        </w:behaviors>
        <w:guid w:val="{E21B8D9D-D1E7-4ACB-B255-A707571E8523}"/>
      </w:docPartPr>
      <w:docPartBody>
        <w:p w:rsidR="002F6501" w:rsidRDefault="002F650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C Square Sans Pro">
    <w:altName w:val="Segoe UI"/>
    <w:charset w:val="00"/>
    <w:family w:val="swiss"/>
    <w:pitch w:val="variable"/>
    <w:sig w:usb0="20000287" w:usb1="00000001" w:usb2="0000000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59"/>
    <w:rsid w:val="00003E79"/>
    <w:rsid w:val="000149E2"/>
    <w:rsid w:val="00032BD1"/>
    <w:rsid w:val="00041070"/>
    <w:rsid w:val="0005043E"/>
    <w:rsid w:val="000575D5"/>
    <w:rsid w:val="000C1CC1"/>
    <w:rsid w:val="000E670D"/>
    <w:rsid w:val="00111C88"/>
    <w:rsid w:val="001226F2"/>
    <w:rsid w:val="00126385"/>
    <w:rsid w:val="00152795"/>
    <w:rsid w:val="00180B32"/>
    <w:rsid w:val="001E407C"/>
    <w:rsid w:val="00265810"/>
    <w:rsid w:val="002F6501"/>
    <w:rsid w:val="003821A5"/>
    <w:rsid w:val="0039130B"/>
    <w:rsid w:val="00422F05"/>
    <w:rsid w:val="004250E5"/>
    <w:rsid w:val="00474001"/>
    <w:rsid w:val="004A56F9"/>
    <w:rsid w:val="004A6E6F"/>
    <w:rsid w:val="004B2C03"/>
    <w:rsid w:val="004E30B7"/>
    <w:rsid w:val="00513284"/>
    <w:rsid w:val="00523632"/>
    <w:rsid w:val="00527B3C"/>
    <w:rsid w:val="00556DA3"/>
    <w:rsid w:val="00575A62"/>
    <w:rsid w:val="00576CD0"/>
    <w:rsid w:val="00581409"/>
    <w:rsid w:val="0058283E"/>
    <w:rsid w:val="005922DC"/>
    <w:rsid w:val="005A281C"/>
    <w:rsid w:val="005A3DCD"/>
    <w:rsid w:val="005C4FCA"/>
    <w:rsid w:val="00637794"/>
    <w:rsid w:val="00691747"/>
    <w:rsid w:val="00693C9D"/>
    <w:rsid w:val="006D4F22"/>
    <w:rsid w:val="006D61D1"/>
    <w:rsid w:val="00702433"/>
    <w:rsid w:val="00714F62"/>
    <w:rsid w:val="007206C9"/>
    <w:rsid w:val="00722431"/>
    <w:rsid w:val="00754F95"/>
    <w:rsid w:val="00764246"/>
    <w:rsid w:val="00790C5A"/>
    <w:rsid w:val="00795F85"/>
    <w:rsid w:val="007D6D58"/>
    <w:rsid w:val="007F1F35"/>
    <w:rsid w:val="00875671"/>
    <w:rsid w:val="008B43EC"/>
    <w:rsid w:val="009036C6"/>
    <w:rsid w:val="00926F40"/>
    <w:rsid w:val="009275AF"/>
    <w:rsid w:val="009335E2"/>
    <w:rsid w:val="00940B5E"/>
    <w:rsid w:val="00967BC5"/>
    <w:rsid w:val="00974425"/>
    <w:rsid w:val="009A020A"/>
    <w:rsid w:val="009B37D7"/>
    <w:rsid w:val="009D30BB"/>
    <w:rsid w:val="009E6E3D"/>
    <w:rsid w:val="00A0500E"/>
    <w:rsid w:val="00A11BC6"/>
    <w:rsid w:val="00A13219"/>
    <w:rsid w:val="00A41BE7"/>
    <w:rsid w:val="00A72FEC"/>
    <w:rsid w:val="00A8070E"/>
    <w:rsid w:val="00AD12C9"/>
    <w:rsid w:val="00AE58C2"/>
    <w:rsid w:val="00AF058C"/>
    <w:rsid w:val="00B07CE2"/>
    <w:rsid w:val="00B2240F"/>
    <w:rsid w:val="00B279CB"/>
    <w:rsid w:val="00B44BED"/>
    <w:rsid w:val="00B67502"/>
    <w:rsid w:val="00B710A8"/>
    <w:rsid w:val="00B94976"/>
    <w:rsid w:val="00BA0506"/>
    <w:rsid w:val="00BA68AA"/>
    <w:rsid w:val="00BA736C"/>
    <w:rsid w:val="00BC1E00"/>
    <w:rsid w:val="00BF001C"/>
    <w:rsid w:val="00C1394B"/>
    <w:rsid w:val="00C22E30"/>
    <w:rsid w:val="00C30E45"/>
    <w:rsid w:val="00C31564"/>
    <w:rsid w:val="00C728D5"/>
    <w:rsid w:val="00C97AC3"/>
    <w:rsid w:val="00DC6559"/>
    <w:rsid w:val="00DD41A3"/>
    <w:rsid w:val="00DE5FBA"/>
    <w:rsid w:val="00DF1E70"/>
    <w:rsid w:val="00DF2226"/>
    <w:rsid w:val="00E04299"/>
    <w:rsid w:val="00E13454"/>
    <w:rsid w:val="00E945C8"/>
    <w:rsid w:val="00EE168C"/>
    <w:rsid w:val="00EF33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2F6501"/>
    <w:rPr>
      <w:color w:val="28806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CPF report">
      <a:dk1>
        <a:sysClr val="windowText" lastClr="000000"/>
      </a:dk1>
      <a:lt1>
        <a:sysClr val="window" lastClr="FFFFFF"/>
      </a:lt1>
      <a:dk2>
        <a:srgbClr val="004494"/>
      </a:dk2>
      <a:lt2>
        <a:srgbClr val="E7E6E6"/>
      </a:lt2>
      <a:accent1>
        <a:srgbClr val="0070C0"/>
      </a:accent1>
      <a:accent2>
        <a:srgbClr val="FF7D00"/>
      </a:accent2>
      <a:accent3>
        <a:srgbClr val="43AA8B"/>
      </a:accent3>
      <a:accent4>
        <a:srgbClr val="FFC000"/>
      </a:accent4>
      <a:accent5>
        <a:srgbClr val="00B4D8"/>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EurolookProperties>
  <ProductCustomizationId>EC</ProductCustomizationId>
  <Created>
    <Version>10.0.45789.0</Version>
    <Date>2024-04-11T10:29:18</Date>
    <Language>EN</Language>
    <Note/>
  </Created>
  <Edited>
    <Version/>
    <Date/>
  </Edited>
  <DocumentModel>
    <Id>6cbda13a-4db2-46c6-876a-ef72275827ef</Id>
    <Name>Report</Name>
  </DocumentModel>
  <CustomTemplate>
    <Id/>
    <Name/>
  </CustomTemplate>
  <DocumentDate>2024-04-11T10:29:18</DocumentDate>
  <DocumentVersion>0.1</DocumentVersion>
  <CompatibilityMode>Eurolook10</CompatibilityMode>
  <DocumentMetadata>
    <EC_SecurityDistributionSensitive MetadataSerializationType="SimpleValue"/>
    <EC_SecurityDateMarking MetadataSerializationType="SimpleValue"/>
    <EC_SecurityReleasability MetadataSerializationType="SimpleValue"/>
    <EC_SecurityDistributionSpecialHandling MetadataSerializationType="SimpleValue"/>
    <EC_SecurityDistributionWorkingGroup MetadataSerializationType="SimpleValue"/>
    <EC_SecurityDistributionDG MetadataSerializationType="SimpleValue"/>
    <EC_SecurityDateMarkingEvent MetadataSerializationType="SimpleValue"/>
    <EC_SecurityDateMarkingDate MetadataSerializationType="SimpleValue"/>
    <EC_SecurityMarking MetadataSerializationType="SimpleValue"/>
  </DocumentMetadata>
</EurolookProperties>
</file>

<file path=customXml/item2.xml><?xml version="1.0" encoding="utf-8"?>
<Author Role="Creator" AuthorRoleName="Writer" AuthorRoleId="a4fbaff4-b07c-48b4-a21e-e7b9eedf3796">
  <Id>706087fe-e8d4-4d77-905a-f26bb79d7b3d</Id>
  <Names>
    <Latin>
      <FirstName>Aneta</FirstName>
      <LastName>SIEJKA</LastName>
    </Latin>
    <Greek>
      <FirstName/>
      <LastName/>
    </Greek>
    <Cyrillic>
      <FirstName/>
      <LastName/>
    </Cyrillic>
    <DocumentScript>
      <FirstName>Aneta</FirstName>
      <LastName>SIEJKA</LastName>
      <FullName>Aneta SIEJKA</FullName>
    </DocumentScript>
  </Names>
  <Initials>AS</Initials>
  <Gender>f</Gender>
  <Email>Aneta.SIEJKA@ec.europa.eu</Email>
  <Service>BUDG.E.4</Service>
  <Function ADCode="" ShowInSignature="true" ShowInHeader="false" HeaderText="">Legal and Policy Officer</Function>
  <WebAddress/>
  <FunctionalMailbox/>
  <InheritedWebAddress>WebAddress</InheritedWebAddress>
  <OrgaEntity1>
    <Id>a267f1e1-3545-480c-bbad-6faf3c531263</Id>
    <LogicalLevel>1</LogicalLevel>
    <Name>BUDG</Name>
    <HeadLine1>DIRECTORATE-GENERAL FOR BUDGET</HeadLine1>
    <HeadLine2/>
    <PrimaryAddressId>f03b5801-04c9-4931-aa17-c6d6c70bc579</PrimaryAddressId>
    <SecondaryAddressId/>
    <WebAddress>WebAddress</WebAddress>
    <InheritedWebAddress>WebAddress</InheritedWebAddress>
    <ShowInHeader>true</ShowInHeader>
  </OrgaEntity1>
  <OrgaEntity2>
    <Id>548f3404-e19f-4f73-9736-d9d5440b19fb</Id>
    <LogicalLevel>2</LogicalLevel>
    <Name>BUDG.E</Name>
    <HeadLine1>Asset, debt and financial Risk management</HeadLine1>
    <HeadLine2/>
    <PrimaryAddressId>f03b5801-04c9-4931-aa17-c6d6c70bc579</PrimaryAddressId>
    <SecondaryAddressId>1264fb81-f6bb-475e-9f9d-a937d3be6ee2</SecondaryAddressId>
    <WebAddress/>
    <InheritedWebAddress>WebAddress</InheritedWebAddress>
    <ShowInHeader>true</ShowInHeader>
  </OrgaEntity2>
  <OrgaEntity3>
    <Id>6c01fc0c-f504-4682-877b-86573fbed281</Id>
    <LogicalLevel>3</LogicalLevel>
    <Name>BUDG.E.4</Name>
    <HeadLine1>Policy &amp; Legal Coordination</HeadLine1>
    <HeadLine2/>
    <PrimaryAddressId>f03b5801-04c9-4931-aa17-c6d6c70bc579</PrimaryAddressId>
    <SecondaryAddressId/>
    <WebAddress/>
    <InheritedWebAddress>WebAddress</InheritedWebAddress>
    <ShowInHeader>true</ShowInHeader>
  </OrgaEntity3>
  <Hierarchy>
    <OrgaEntity>
      <Id>a267f1e1-3545-480c-bbad-6faf3c531263</Id>
      <LogicalLevel>1</LogicalLevel>
      <Name>BUDG</Name>
      <HeadLine1>DIRECTORATE-GENERAL FOR BUDGET</HeadLine1>
      <HeadLine2/>
      <PrimaryAddressId>f03b5801-04c9-4931-aa17-c6d6c70bc579</PrimaryAddressId>
      <SecondaryAddressId/>
      <WebAddress>WebAddress</WebAddress>
      <InheritedWebAddress>WebAddress</InheritedWebAddress>
      <ShowInHeader>true</ShowInHeader>
    </OrgaEntity>
    <OrgaEntity>
      <Id>548f3404-e19f-4f73-9736-d9d5440b19fb</Id>
      <LogicalLevel>2</LogicalLevel>
      <Name>BUDG.E</Name>
      <HeadLine1>Asset, debt and financial Risk management</HeadLine1>
      <HeadLine2/>
      <PrimaryAddressId>f03b5801-04c9-4931-aa17-c6d6c70bc579</PrimaryAddressId>
      <SecondaryAddressId>1264fb81-f6bb-475e-9f9d-a937d3be6ee2</SecondaryAddressId>
      <WebAddress/>
      <InheritedWebAddress>WebAddress</InheritedWebAddress>
      <ShowInHeader>true</ShowInHeader>
    </OrgaEntity>
    <OrgaEntity>
      <Id>6c01fc0c-f504-4682-877b-86573fbed281</Id>
      <LogicalLevel>3</LogicalLevel>
      <Name>BUDG.E.4</Name>
      <HeadLine1>Policy &amp; Legal Coordination</HeadLine1>
      <HeadLine2/>
      <PrimaryAddressId>f03b5801-04c9-4931-aa17-c6d6c70bc579</PrimaryAddressId>
      <SecondaryAddressId/>
      <WebAddress/>
      <InheritedWebAddress>WebAddress</InheritedWebAddress>
      <ShowInHeader>true</ShowInHeader>
    </OrgaEntity>
  </Hierarchy>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1264fb81-f6bb-475e-9f9d-a937d3be6ee2</AddressId>
    <Fax/>
    <Phone>+352 4301-38884</Phone>
    <Office>DRB- B3/079</Office>
  </MainWorkplace>
  <Workplaces>
    <Workplace IsMain="true">
      <AddressId>1264fb81-f6bb-475e-9f9d-a937d3be6ee2</AddressId>
      <Fax/>
      <Phone>+352 4301-38884</Phone>
      <Office>DRB- B3/079</Office>
    </Workplace>
  </Workplaces>
</Author>
</file>

<file path=customXml/item3.xml><?xml version="1.0" encoding="utf-8"?>
<Texts>
  <SensitiveFootnoteHyperlink>{field:HYPERLINK "https://europa.eu/!db43PX" |https://europa.eu/!db43PX}</SensitiveFootnoteHyperlink>
  <SecuritySecurityMatter>Security Matter</SecuritySecurityMatter>
  <SensitiveLabel>Sensitive</SensitiveLabel>
  <SensitiveHandling>Distribution only on a need-to-know basis. Do not read or carry openly in public places. Must be encrypted in transmission and stored securely, where possible by using encrypted storage. Destroy copies by shredding or secure deletion. Full handling instructions: </SensitiveHandling>
  <LabelFormattedTableSeqEC>Table {field: SEQ Table \* ARABIC }: </LabelFormattedTableSeqEC>
  <MarkingUntilText>UNTIL</MarkingUntilText>
  <OrgaRoot>EUROPEAN COMMISSION</OrgaRoot>
  <SecurityPharma>Pharma Investigations</SecurityPharma>
  <ClimaSensitive>CLIMA</ClimaSensitive>
  <TechHistoryCreatedBy>Document created by</TechHistoryCreatedBy>
  <TechHistoryDate>Date</TechHistoryDate>
  <TechHistory>Document History</TechHistory>
  <TechHistoryComment>Comment</TechHistoryComment>
  <TechHistoryVersion>Version</TechHistoryVersion>
  <SecurityEmbargo>EMBARGO UNTIL</SecurityEmbargo>
  <Contact>Contact:</Contact>
  <Contacts>Contacts:</Contacts>
  <ESigned>Electronically signed</ESigned>
  <SecurityIasOperations>IAS Operations</SecurityIasOperations>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SensitiveFootnoteHyperlinkIASOperations>Handling instructions for SENSITIVE information are given at {field: HYPERLINK "https://europa.eu/!db43PX" |https://europa.eu/!db43PX}.</SensitiveFootnoteHyperlinkIASOperations>
  <LabelFigureSeqEC>Figure {SEQ Figure \* ARABIC }: </LabelFigureSeqEC>
  <LabelFigureSeqWChapter>Table {field: STYLEREF "Chapter Number" \s }.{field: SEQ Table \* ARABIC } –</LabelFigureSeqWChapter>
  <LabelSource>Source</LabelSource>
  <LabelTableSeqWChapter>Table { STYLEREF "Chapter Number" \s }.{ SEQ Table \* ARABIC } – </LabelTableSeqWChapter>
  <LabelTableSeqEC>Table {SEQ Table \* ARABIC }: </LabelTableSeqEC>
  <EmbargoUnlimited>Embargo (Unlimited)</EmbargoUnlimited>
  <SecurityCompOperations>COMP Operations</SecurityCompOperations>
  <SecurityOpinionLegalService>Opinion of the Legal Service</SecurityOpinionLegalService>
  <FooterPhone>Tel. direct line</FooterPhone>
  <FooterFax>Fax</FooterFax>
  <FooterOffice>Office:</FooterOffice>
  <PharmaSpecialHandlingLabel>Pharma Investigations</PharmaSpecialHandlingLabel>
  <SpecialHandlingFootnote>Special handling instructions are given at </SpecialHandlingFootnote>
  <PharmaSpecialHandlingHyperlink>{field:HYPERLINK "https://myintracomm.ec.europa.eu/corp/security/EN/newDS3/SensitiveInformation/Pages/SPECIAL-HANDLING-INFORMATION-Pharma-investigations.aspx?ln=en" |https://myintracomm.ec.europa.eu/corp/security/EN/newDS3/SensitiveInformation/Pages/SPECIAL-HANDLING-INFORMATION-Pharma-investigations.aspx?ln=en}</PharmaSpecialHandlingHyperlink>
  <SpecialHandlingLabel>Special Handling</SpecialHandlingLabel>
  <TOCHeading>Table of Contents</TOCHeading>
  <DAC.Line2>EMPLOYMENT, SOCIAL AFFAIRS AND INCLUSION</DAC.Line2>
  <DAC.Line3>REGIONAL AND URBAN POLICY</DAC.Line3>
  <DAC.Line1>DIRECTORATES-GENERAL</DAC.Line1>
  <CLIMASpecialHandlingHyperlink>{field:HYPERLINK "https://myintracomm.ec.europa.eu/corp/security/EN/newDS3/SensitiveInformation/Pages/SPECIAL-HANDLING-INFORMATION-DG-CLIMA.aspx?ln=en" |https://myintracomm.ec.europa.eu/corp/security/EN/newDS3/SensitiveInformation/Pages/SPECIAL-HANDLING-INFORMATION-DG-CLIMA.aspx?ln=en}</CLIMASpecialHandlingHyperlink>
  <CLIMASpecialHandlingLabel>CLIMA</CLIMASpecialHandlingLabel>
  <ContactFax>fax</ContactFax>
  <ContactTextPattern>%Name%[, %Function%][, %Office%][, %Phone%][, %Fax%][, %Email%][, %Dg%][, %Directorate%][, %Unit%]</ContactTextPattern>
  <ContactTel>tel.</ContactTel>
  <ContactOffice>office</ContactOffice>
  <SecurityMedicalSecret>Medical Secret</SecurityMedicalSecret>
  <SecurityStaffMatter>Staff Matter</SecurityStaffMatter>
  <SecurityMediationServiceMatter>Mediation Service</SecurityMediationServiceMatter>
  <SecurityReleasable>RELEASABLE TO:</SecurityReleasable>
  <LabelPictureSeq>Figure {SEQ Figure \* ARABIC }: </LabelPictureSeq>
  <Year>({field: DATE \@ "yyyy" })</Year>
  <CourtProceduralDocuments>Court Procedural Documents</CourtProceduralDocuments>
  <SecurityInvestigationsDisciplinary>Investigations and Disciplinary Matters</SecurityInvestigationsDisciplinary>
  <SecurityOlafInvestigations>OLAF Investigations</SecurityOlafInvestigations>
  <OLAFSpecialHandlingLabel>OLAF Investigations</OLAFSpecialHandlingLabel>
  <OLAFSpecialHandlingHyperlink>{field:HYPERLINK "https://myintracomm.ec.europa.eu/corp/security/EN/newDS3/SensitiveInformation/Pages/SPECIAL-HANDLING-INFORMATION-OLAF-Investigations.aspx?ln=en" |https://myintracomm.ec.europa.eu/corp/security/EN/newDS3/SensitiveInformation/Pages/SPECIAL-HANDLING-INFORMATION-OLAF-Investigations.aspx?ln=en}</OLAFSpecialHandlingHyperlink>
  <COMPSpecialHandlingLabel>COMP</COMPSpecialHandlingLabel>
  <COMPSpecialHandlingHyperlink>{field:HYPERLINK "https://myintracomm.ec.europa.eu/corp/security/EN/newDS3/SensitiveInformation/Pages/SPECIAL-HANDLING-INFORMATION-DG-COMP.aspx?ln=en" |https://myintracomm.ec.europa.eu/corp/security/EN/newDS3/SensitiveInformation/Pages/SPECIAL-HANDLING-INFORMATION-DG-COMP.aspx?ln=en}</COMPSpecialHandlingHyperlink>
  <DateFormatShort>dd/MM/yyyy</DateFormatShort>
  <DateFormatLong>d MMMM yyyy</DateFormatLong>
</Text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A5527-7367-4268-9D83-5125C98D0ED2}">
  <ds:schemaRefs/>
</ds:datastoreItem>
</file>

<file path=customXml/itemProps2.xml><?xml version="1.0" encoding="utf-8"?>
<ds:datastoreItem xmlns:ds="http://schemas.openxmlformats.org/officeDocument/2006/customXml" ds:itemID="{A477FA10-EA5C-432B-AED5-23F4065724E8}">
  <ds:schemaRefs/>
</ds:datastoreItem>
</file>

<file path=customXml/itemProps3.xml><?xml version="1.0" encoding="utf-8"?>
<ds:datastoreItem xmlns:ds="http://schemas.openxmlformats.org/officeDocument/2006/customXml" ds:itemID="{4EF90DE6-88B6-4264-9629-4D8DFDFE87D2}">
  <ds:schemaRefs/>
</ds:datastoreItem>
</file>

<file path=customXml/itemProps4.xml><?xml version="1.0" encoding="utf-8"?>
<ds:datastoreItem xmlns:ds="http://schemas.openxmlformats.org/officeDocument/2006/customXml" ds:itemID="{C835BC4B-85CB-476E-8531-14A52A47B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2538</Words>
  <Characters>14470</Characters>
  <Application>Microsoft Office Word</Application>
  <DocSecurity>0</DocSecurity>
  <PresentationFormat>Microsoft Word 14.0</PresentationFormat>
  <Lines>120</Lines>
  <Paragraphs>33</Paragraphs>
  <ScaleCrop>true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16975</CharactersWithSpaces>
  <SharedDoc>false</SharedDoc>
  <HLinks>
    <vt:vector size="90" baseType="variant">
      <vt:variant>
        <vt:i4>1966131</vt:i4>
      </vt:variant>
      <vt:variant>
        <vt:i4>62</vt:i4>
      </vt:variant>
      <vt:variant>
        <vt:i4>0</vt:i4>
      </vt:variant>
      <vt:variant>
        <vt:i4>5</vt:i4>
      </vt:variant>
      <vt:variant>
        <vt:lpwstr/>
      </vt:variant>
      <vt:variant>
        <vt:lpwstr>_Toc194300632</vt:lpwstr>
      </vt:variant>
      <vt:variant>
        <vt:i4>1966131</vt:i4>
      </vt:variant>
      <vt:variant>
        <vt:i4>56</vt:i4>
      </vt:variant>
      <vt:variant>
        <vt:i4>0</vt:i4>
      </vt:variant>
      <vt:variant>
        <vt:i4>5</vt:i4>
      </vt:variant>
      <vt:variant>
        <vt:lpwstr/>
      </vt:variant>
      <vt:variant>
        <vt:lpwstr>_Toc194300631</vt:lpwstr>
      </vt:variant>
      <vt:variant>
        <vt:i4>1966131</vt:i4>
      </vt:variant>
      <vt:variant>
        <vt:i4>50</vt:i4>
      </vt:variant>
      <vt:variant>
        <vt:i4>0</vt:i4>
      </vt:variant>
      <vt:variant>
        <vt:i4>5</vt:i4>
      </vt:variant>
      <vt:variant>
        <vt:lpwstr/>
      </vt:variant>
      <vt:variant>
        <vt:lpwstr>_Toc194300630</vt:lpwstr>
      </vt:variant>
      <vt:variant>
        <vt:i4>2031667</vt:i4>
      </vt:variant>
      <vt:variant>
        <vt:i4>44</vt:i4>
      </vt:variant>
      <vt:variant>
        <vt:i4>0</vt:i4>
      </vt:variant>
      <vt:variant>
        <vt:i4>5</vt:i4>
      </vt:variant>
      <vt:variant>
        <vt:lpwstr/>
      </vt:variant>
      <vt:variant>
        <vt:lpwstr>_Toc194300629</vt:lpwstr>
      </vt:variant>
      <vt:variant>
        <vt:i4>2031667</vt:i4>
      </vt:variant>
      <vt:variant>
        <vt:i4>38</vt:i4>
      </vt:variant>
      <vt:variant>
        <vt:i4>0</vt:i4>
      </vt:variant>
      <vt:variant>
        <vt:i4>5</vt:i4>
      </vt:variant>
      <vt:variant>
        <vt:lpwstr/>
      </vt:variant>
      <vt:variant>
        <vt:lpwstr>_Toc194300628</vt:lpwstr>
      </vt:variant>
      <vt:variant>
        <vt:i4>2031667</vt:i4>
      </vt:variant>
      <vt:variant>
        <vt:i4>32</vt:i4>
      </vt:variant>
      <vt:variant>
        <vt:i4>0</vt:i4>
      </vt:variant>
      <vt:variant>
        <vt:i4>5</vt:i4>
      </vt:variant>
      <vt:variant>
        <vt:lpwstr/>
      </vt:variant>
      <vt:variant>
        <vt:lpwstr>_Toc194300627</vt:lpwstr>
      </vt:variant>
      <vt:variant>
        <vt:i4>2031667</vt:i4>
      </vt:variant>
      <vt:variant>
        <vt:i4>26</vt:i4>
      </vt:variant>
      <vt:variant>
        <vt:i4>0</vt:i4>
      </vt:variant>
      <vt:variant>
        <vt:i4>5</vt:i4>
      </vt:variant>
      <vt:variant>
        <vt:lpwstr/>
      </vt:variant>
      <vt:variant>
        <vt:lpwstr>_Toc194300626</vt:lpwstr>
      </vt:variant>
      <vt:variant>
        <vt:i4>2031667</vt:i4>
      </vt:variant>
      <vt:variant>
        <vt:i4>20</vt:i4>
      </vt:variant>
      <vt:variant>
        <vt:i4>0</vt:i4>
      </vt:variant>
      <vt:variant>
        <vt:i4>5</vt:i4>
      </vt:variant>
      <vt:variant>
        <vt:lpwstr/>
      </vt:variant>
      <vt:variant>
        <vt:lpwstr>_Toc194300625</vt:lpwstr>
      </vt:variant>
      <vt:variant>
        <vt:i4>2031667</vt:i4>
      </vt:variant>
      <vt:variant>
        <vt:i4>14</vt:i4>
      </vt:variant>
      <vt:variant>
        <vt:i4>0</vt:i4>
      </vt:variant>
      <vt:variant>
        <vt:i4>5</vt:i4>
      </vt:variant>
      <vt:variant>
        <vt:lpwstr/>
      </vt:variant>
      <vt:variant>
        <vt:lpwstr>_Toc194300624</vt:lpwstr>
      </vt:variant>
      <vt:variant>
        <vt:i4>2031667</vt:i4>
      </vt:variant>
      <vt:variant>
        <vt:i4>8</vt:i4>
      </vt:variant>
      <vt:variant>
        <vt:i4>0</vt:i4>
      </vt:variant>
      <vt:variant>
        <vt:i4>5</vt:i4>
      </vt:variant>
      <vt:variant>
        <vt:lpwstr/>
      </vt:variant>
      <vt:variant>
        <vt:lpwstr>_Toc194300623</vt:lpwstr>
      </vt:variant>
      <vt:variant>
        <vt:i4>2031667</vt:i4>
      </vt:variant>
      <vt:variant>
        <vt:i4>2</vt:i4>
      </vt:variant>
      <vt:variant>
        <vt:i4>0</vt:i4>
      </vt:variant>
      <vt:variant>
        <vt:i4>5</vt:i4>
      </vt:variant>
      <vt:variant>
        <vt:lpwstr/>
      </vt:variant>
      <vt:variant>
        <vt:lpwstr>_Toc194300622</vt:lpwstr>
      </vt:variant>
      <vt:variant>
        <vt:i4>131079</vt:i4>
      </vt:variant>
      <vt:variant>
        <vt:i4>9</vt:i4>
      </vt:variant>
      <vt:variant>
        <vt:i4>0</vt:i4>
      </vt:variant>
      <vt:variant>
        <vt:i4>5</vt:i4>
      </vt:variant>
      <vt:variant>
        <vt:lpwstr>https://eur-lex.europa.eu/legal-content/EN/TXT/?uri=CELEX%3A52022DC0213&amp;qid=1663150007084</vt:lpwstr>
      </vt:variant>
      <vt:variant>
        <vt:lpwstr/>
      </vt:variant>
      <vt:variant>
        <vt:i4>262149</vt:i4>
      </vt:variant>
      <vt:variant>
        <vt:i4>6</vt:i4>
      </vt:variant>
      <vt:variant>
        <vt:i4>0</vt:i4>
      </vt:variant>
      <vt:variant>
        <vt:i4>5</vt:i4>
      </vt:variant>
      <vt:variant>
        <vt:lpwstr>https://eur-lex.europa.eu/legal-content/EN/TXT/?uri=CELEX%3A52023DC0288&amp;qid=1685623336145</vt:lpwstr>
      </vt:variant>
      <vt:variant>
        <vt:lpwstr/>
      </vt:variant>
      <vt:variant>
        <vt:i4>131079</vt:i4>
      </vt:variant>
      <vt:variant>
        <vt:i4>3</vt:i4>
      </vt:variant>
      <vt:variant>
        <vt:i4>0</vt:i4>
      </vt:variant>
      <vt:variant>
        <vt:i4>5</vt:i4>
      </vt:variant>
      <vt:variant>
        <vt:lpwstr>https://eur-lex.europa.eu/legal-content/EN/TXT/?uri=CELEX%3A52022DC0213&amp;qid=1663150007084</vt:lpwstr>
      </vt:variant>
      <vt:variant>
        <vt:lpwstr/>
      </vt:variant>
      <vt:variant>
        <vt:i4>131079</vt:i4>
      </vt:variant>
      <vt:variant>
        <vt:i4>0</vt:i4>
      </vt:variant>
      <vt:variant>
        <vt:i4>0</vt:i4>
      </vt:variant>
      <vt:variant>
        <vt:i4>5</vt:i4>
      </vt:variant>
      <vt:variant>
        <vt:lpwstr>https://eur-lex.europa.eu/legal-content/EN/TXT/?uri=CELEX%3A52022DC0213&amp;qid=1663150007084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2025-05-19T07:24:00Z</dcterms:created>
  <dcterms:modified xsi:type="dcterms:W3CDTF">2025-06-06T09:05:00Z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2025-05-02T15:15:38Z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f4114732-fca1-4984-9f12-f08c2f2a63e8</vt:lpwstr>
  </property>
  <property fmtid="{D5CDD505-2E9C-101B-9397-08002B2CF9AE}" pid="8" name="MSIP_Label_6bd9ddd1-4d20-43f6-abfa-fc3c07406f94_ContentBits">
    <vt:lpwstr>0</vt:lpwstr>
  </property>
  <property fmtid="{D5CDD505-2E9C-101B-9397-08002B2CF9AE}" pid="9" name="Level of sensitivity">
    <vt:lpwstr>Standard treatment</vt:lpwstr>
  </property>
  <property fmtid="{D5CDD505-2E9C-101B-9397-08002B2CF9AE}" pid="10" name="Last edited using">
    <vt:lpwstr>LW 9.1, Build 20240808</vt:lpwstr>
  </property>
  <property fmtid="{D5CDD505-2E9C-101B-9397-08002B2CF9AE}" pid="11" name="Part">
    <vt:lpwstr>1</vt:lpwstr>
  </property>
  <property fmtid="{D5CDD505-2E9C-101B-9397-08002B2CF9AE}" pid="12" name="Total parts">
    <vt:lpwstr>1</vt:lpwstr>
  </property>
  <property fmtid="{D5CDD505-2E9C-101B-9397-08002B2CF9AE}" pid="13" name="DocStatus">
    <vt:lpwstr>Green</vt:lpwstr>
  </property>
  <property fmtid="{D5CDD505-2E9C-101B-9397-08002B2CF9AE}" pid="14" name="CPTemplateID">
    <vt:lpwstr>CP-006</vt:lpwstr>
  </property>
</Properties>
</file>