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22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49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50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52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52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65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75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83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84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87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89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89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94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94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96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96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100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102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102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103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107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107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109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114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114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118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122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124</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125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135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136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138</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140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152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160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162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168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171</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80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81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83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104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106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164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169</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70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72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92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100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164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170</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[46].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[52]. A guidance signal that raises such a score is therefore not automatically a success. Second, learned affinity predictors are known to be sensitive to data leakage between training and test sets, and to exploit ligand-only shortcuts [19], [32], [48];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affinity or interaction information: interaction-conditioned generators [30], [51], [59], diffusion models that inject priors derived from affinity networks [23], a general binding-affinity guidance framework whose classifier-guidance variant applies a gradient-based affinity signal to a diffusion SBDD generator in a plug-and-play fashion and reports up to a 60% improvement in binding affinity [24], and a target-conditioned diffusion model that integrates bond diffusion with affinity and drug-likeness guidance trained jointly with the generator [22]. The second concerns learned scoring functions and the reliability of their evaluation, including physics-informed and interaction-explicit architectures [36], [54], leakage-controlled benchmarks [19], [32] and critiques of shortcut learning [42], [48].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published evaluation of learned guidance for a 3D diffusion SBDD generator, including the gradient-guidance study above, reports a leakage-safe, target-level split together with statistically corrected significance testing, negative controls and the explicit quality-degradation checks used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in the measured states</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0/32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nudge is mostly drowned out by the sampler's own step noise, not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[41]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[59]. InterDiff conditions a diffusion model on interaction "prompts" detected with BINANA, uses cross-attention to inject them, and adds a cross-entropy loss that classifies protein-atom features into interaction types inside the denoiser [51]. BInD treats non-covalent interactions extracted with PLIP as an additional categorical channel that is generated jointly with atoms and bonds under its own loss, and applies knowledge-based guidance terms after the network prediction [30]. An earlier recurrent generator was constrained by an interaction fingerprint computed on docking poses [57]. DPDiff, a diffusion model on CrossDocked2020, extracts "interaction priors" from two pretrained affinity-prediction networks during sampling, using intermediate diffusion predictions as input [23]. Its ablation reports that a geometry-based prior that was pretrained on accurate poses degraded generation when queried on noisy intermediate structures, because of the mismatch between training and sampling inputs [23].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val="0"/>
        <w:keepLines w:val="0"/>
        <w:widowControl/>
        <w:spacing w:line="480" w:lineRule="auto" w:before="0" w:after="0"/>
        <w:ind w:firstLine="720"/>
        <w:jc w:val="both"/>
      </w:pPr>
      <w:r>
        <w:rPr>
          <w:rFonts w:ascii="Times New Roman" w:hAnsi="Times New Roman" w:eastAsia="Times New Roman"/>
          <w:b w:val="0"/>
          <w:i w:val="0"/>
          <w:sz w:val="24"/>
        </w:rPr>
        <w:t>The approach closest to the gradient-guidance routes of this thesis is BADGER, whose classifier-guidance variant applies the gradient of a separately trained affinity predictor to a frozen diffusion SBDD generator at sampling time, in essentially the same plug-and-play arrangement as Chapters IV to VI, and reports up to a 60% improvement in the binding affinity of sampled molecules [24]; its companion classifier-free variant instead folds affinity conditioning into the generator's own training, which this thesis's frozen-generator design does not attempt. DiffGui integrates bond diffusion with affinity and drug-likeness guidance trained jointly with the generator, rather than through a separately frozen predictor, and reports improved binding affinity together with validation on a small set of wet-laboratory assays [22]. Neither paper's abstract or summary materials available to this search state whether the reported affinity improvement was evaluated on a target-disjoint split, tested for statistical significance with correction for multiple comparisons, or checked against a negative control or a quality-degradation criterion (ligand efficiency, molecular size, physical validity) of the kind used throughout this thesis; this search did not extend to their full methods sections, and no claim is made here about what those sections do or do not report (Appendix B). Section IX.5 returns to the apparent tension between their reported positive result and this thesis's null result once the full evidence is in.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[46].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[52]. Re-parameterisations of the function, such as Vinardo, were introduced because the conventional approach of fitting empirical terms by linear regression to experimental affinities does not yield a function with optimal docking capabilities [37].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[54]. PIGNet predicts atom–atom pairwise interaction terms with physics-informed equations whose parameters are produced by a neural network and sums them to obtain the affinity, and augments the training data with additional poses and ligands to improve generalisation [36]. Interformer combines a graph-transformer with an interaction-aware mixture density network for docking and affinity prediction [29], and PLANET is trained with three objectives (affinity, protein–ligand contact map and ligand distance matrix) [58]. A framework that adds an adjustable affinity term to the training of a mixture density network was proposed to balance scoring, docking, ranking and screening powers, which the authors note are rarely achieved simultaneously by a single machine-learned function [44].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[48].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[32].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[42].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[39].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[45].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[38], and it remains in use, for example for correcting a semiempirical method in the prediction of reaction barrier heights [27].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[49]. Related work re-scored Vina poses with random forests [31], and a delta model built on a linear empirical baseline and gradient boosting reported Pearson correlations of 0.853, 0.839 and 0.813 on locally optimised, redocked and ensemble-docked poses of the CASF-2016 core set [53].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[28]; gradient normalisation equalises gradient magnitudes at a shared layer [7]; gradient surgery projects a task gradient off the gradient of a conflicting task [55]; and dual balancing acts on both loss scales and gradient magnitudes [34]. Auxiliary tasks can also cause negative transfer, for which dedicated remedies have been proposed [25],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[40], [43]. Alternative encodings include the interaction fingerprints of ProLIF [5] and of related tools [14], [50].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[23], [30], [59], and, in one case, as an auxiliary classification loss inside the generator's own denoiser [51]. Residual learning has been applied to scoring with tree ensembles [49], [53]. Multi-objective affinity networks with structural auxiliary targets exist [58]. Gradient-based affinity guidance of a diffusion SBDD generator has been reported, with a positive result, by BADGER [24]; a jointly trained, non-frozen variant with the same guidance aim is DiffGui [22]. Neither was found, within the limits of the search described in Appendix B, to report whether its result was evaluated on a target-disjoint split, tested with correction for multiple comparisons, or checked against a negative control, although this search did not extend to their full methods and no claim is made that these checks are absent from them. What was not found, within the limits of the searches described in Appendix B, is a study that (i) evaluates learned affinity or synthesizability guidance for a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[59]</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[51]</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[30]</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[23]</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BADGER [24]</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(classifier-guidance variant; a classifier-free variant also folds affinity into training)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and 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DiffGui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and drug-likeness guidance trained jointly with the generator, not a separate frozen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SA, LogP and TPSA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includes wet-laboratory validation, which this thesis does not</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[58]</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[49]; Δ-XGBoost [53]</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(designed, not tested; Appendix 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negative controls; Section III.6)</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16"/>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99"/>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4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4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[32]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[45]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[23].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[41]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[54], in which covalent (or covalent-proxy) and non-covalent edges share one message pass and are differentiated by separate MLPs, with the physics-decomposed readout of PIGNet [36]: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[45]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[52];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[52].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[54] with hidden size 256, which produce an embedding for each protein and ligand atom. The output is the sum of pairwise energy terms between all ligand and protein atoms, as in PIGNet2 [36]: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[23].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(iv) and (v) is the selected subset against the pool it was drawn from, not against an independent sample or against the unselected remainder; the two groups therefore overlap by construction (every selected molecule is also a member of the full pool), which is a deliberate choice and not an oversight. It answers the practical question this chapter asks: does applying this ranker to a pool of otherwise identically generated molecules change what a practitioner ends up using, relative to not selecting at all. A two-sample test is not strictly valid on overlapping groups, so these p-values should be read as a description of how far the selected subset's distribution sits from the pool's, not as a textbook-exact significance level. This does not by itself explain the pattern reported below, because the random-subset and scrambled-filter controls of (ii) and (iii) are built from the identical pool-versus-subset structure and show no comparable shift; any bias contributed by the overlap alone would be expected to appear equally in those controls, and it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of the full selected-versus-pool distribution was significant after the correction. This is a different quantity from the bootstrap confidence interval of the mean shift reported alongside it in Table 6.1, and the two need not agree for every pocket: SQHC is the one case where they do not, with a KS test significant after correction but a mean-shift interval that crosses zero (−0.13, 95% CI −1.22 to +4.66), because a distributional test can detect a shift in shape or spread that a single point estimate of the mean does not resolve; its per-seed shifts (+0.78 and −1.07) were also opposite in sign, which is the more direct evidence that this particular pocket's effect is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[45],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[38], [49], [53].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[40],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[49], [53],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[59]), as co-generated diffusion outputs (BInD [30]), and as an auxiliary classification loss inside the generator's own denoiser (InterDiff [51]).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909"/>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[23].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[52];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[52]; Chapter VI shows the mechanism in an isolated setting, a ranker whose selection is dominated by size, although the observation of that study concerned evaluation and not gradient guidance. Second, learned affinity predictors are sensitive to leakage and to ligand-only shortcuts [19], [32], [48]; the size correlation of 0.64 to 0.72 of the predictors and the match between a ligand-only baseline and the network on the old split are instances. Third, the mismatch between clean training inputs and noisy intermediate inputs has been reported to degrade guidance-like priors [23].</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[30], [51], [59],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val="0"/>
        <w:keepLines w:val="0"/>
        <w:widowControl/>
        <w:spacing w:line="480" w:lineRule="auto" w:before="0" w:after="0"/>
        <w:ind w:firstLine="720"/>
        <w:jc w:val="both"/>
      </w:pPr>
      <w:r>
        <w:rPr>
          <w:rFonts w:ascii="Times New Roman" w:hAnsi="Times New Roman" w:eastAsia="Times New Roman"/>
          <w:b w:val="0"/>
          <w:i w:val="0"/>
          <w:sz w:val="24"/>
        </w:rPr>
        <w:t>One result does sit in direct tension with this thesis's null finding and is reported as such rather than explained away. BADGER's classifier-guidance variant applies the gradient of a separately trained affinity predictor to a frozen diffusion SBDD generator, essentially the same arrangement as Chapters IV to VI, and reports up to a 60% improvement in binding affinity [24]. This thesis's own Chapter IV to VI results offer three candidate, untested explanations for the discrepancy, stated as hypotheses and not as findings about that paper, since its full methods were not read for this thesis (Appendix B). First, an apparent improvement measured on a predictor's own score, on a single model or seed, or without target-level resampling and multiple-comparison correction, has in this thesis repeatedly looked larger than the same comparison does once these checks are applied (Section IX.3); whether BADGER's evaluation includes a leakage-safe split, corrected significance testing or a negative control was not stated in the materials reviewed. Second, a different base generator, predictor architecture or training-data regime could plausibly produce a gradient with a different relationship to the pocket than the one diagnosed in Section V.4, which was specific to the predictors trained in this project. Third, the two works report different quantities: a 60% improvement is a relative figure of an unstated baseline and metric, whereas this thesis reports absolute shifts in kcal/mol together with their confidence intervals and a validity check, and the two are not directly comparable without access to BADGER's raw results. The discrepancy is not resolved here; it is a motivated direction for a focused follow-up (Section IX.6) and a reason the conclusions of this thesis are bounded to the generator, predictors and evaluation protocol actually tested (Section X.1), not extended to gradient-guidance methods in general.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 A direct priority follows from Section IX.5's unresolved discrepancy with BADGER [24]: reading that paper's full methods, and, where feasible, applying this thesis's leakage-safe split, target-clustered statistics and negative controls to its reported setting, would establish whether the two results disagree because of evaluation rigor or because of a genuine difference in what the two guidance predictors learned.</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Q. Hu, C. Sun, H. He, J. Xu, D. Liu, W. Zhang, S. Shi, K. Zhang, and H. Li, “Target-aware 3D molecular generation based on guided equivariant diffusion,” </w:t>
      </w:r>
      <w:r>
        <w:rPr>
          <w:rFonts w:ascii="Times New Roman" w:hAnsi="Times New Roman" w:eastAsia="Times New Roman"/>
          <w:b w:val="0"/>
          <w:i/>
          <w:sz w:val="24"/>
        </w:rPr>
        <w:t>Nat. Commun.</w:t>
      </w:r>
      <w:r>
        <w:rPr>
          <w:rFonts w:ascii="Times New Roman" w:hAnsi="Times New Roman" w:eastAsia="Times New Roman"/>
          <w:b w:val="0"/>
          <w:i w:val="0"/>
          <w:sz w:val="24"/>
        </w:rPr>
        <w:t>, vol. 16, art. 7928, 2025, doi: 10.1038/s41467-025-63245-0.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Y. Jian, C. Wu, D. Reidenbach, and A. S. Krishnapriyan, “General binding affinity guidance for diffusion models in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66, no. 3, pp. 1342–1352, 2026, doi: 10.1021/acs.jcim.5c01166.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[58]</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[59]</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A.1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[33]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[40]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[35],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[26], [47]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[56],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observed trajectory is consistent with the guidance nudge being largely overwhelmed by the sampler's stochastic noise during most of the trajectory, rather than being systematically cancelled by an opposing correction.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