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“Coupled Affinity-Synthesizability Guidance for Target-Conditional Molecular Diffusion in Structure-Based Drug Design”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“Coupled Affinity-Synthesizability Guidance for Target-Conditional Molecular Diffusion in Structure-Based Drug Design”.</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Coupled Affinity-Synthesizability Guidance for Target-Conditional Molecular Diffusion in Structure-Based Drug Design</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independently computed evaluation outcomes rather than by the predictor's own score. A frozen TargetDiff model was guided by affinity and synthesizability predictors, and results were evaluated with AutoDock Vina docking, PoseBusters validity, ligand efficiency and the independently computed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improved the raw docking score in 12 of 15 pockets but worsened ligand efficiency in 14 of 15 (on average 12 more heavy atoms, and 29 percentage points lower PoseBusters validity). Synthesizability guidance gave no supported gain; in an exploratory design it raised the predictor's own score while lowering the independently computed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an audited methodology, and a documented negative result that locates where learned guidance signals fail.</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ix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xv</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Research Objectives and Experimental Map</w:t>
        <w:tab/>
        <w:t>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I.7</w:t>
        <w:tab/>
        <w:t>Organization of the Thesis</w:t>
        <w:tab/>
        <w:t>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11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Positioning and Research Gap</w:t>
        <w:tab/>
        <w:t>16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18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18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III.1.1</w:t>
        <w:tab/>
        <w:t>Pre-registration status of each route</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23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23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25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27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What is shared and what is independent across a comparison</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Decision bands and negative controls</w:t>
        <w:tab/>
        <w:t>31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III.6.4</w:t>
        <w:tab/>
        <w:t>A note on the wording of null results</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III.6.5</w:t>
        <w:tab/>
        <w:t>Units of analysis</w:t>
        <w:tab/>
        <w:t>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III.6.6</w:t>
        <w:tab/>
        <w:t>Target-clustered statistics for predictor comparisons</w:t>
        <w:tab/>
        <w:t>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36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38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39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40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42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47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Summary of the Chapter</w:t>
        <w:tab/>
        <w:t>48</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55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59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63</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65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65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66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67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67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67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70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70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71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72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Independently Computed Score</w:t>
        <w:tab/>
        <w:t>75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76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77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80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81</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83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83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83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84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86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86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87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88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91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91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93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95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100</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104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104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Predictor quality is not guidance usefulness</w:t>
        <w:tab/>
        <w:t>105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Grading the explanations</w:t>
        <w:tab/>
        <w:t>106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IX.2.4</w:t>
        <w:tab/>
        <w:t>The role of statistical power</w:t>
        <w:tab/>
        <w:t>108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109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111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111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112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114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118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119</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120</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Exact Identifiers for Reproduction</w:t>
        <w:tab/>
        <w:t>127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Reproducibility Checklist</w:t>
        <w:tab/>
        <w:t>128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A.4</w:t>
        <w:tab/>
        <w:t>Repository Layout</w:t>
        <w:tab/>
        <w:t>129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A.5</w:t>
        <w:tab/>
        <w:t>Reproducing the Results and This Document</w:t>
        <w:tab/>
        <w:t>130</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131</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133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133</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135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POST-SYNTHESIS FOLLOW-UP: TESTING THE DIAGNOSED MECHANISM DIRECTLY</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139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140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141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143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147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148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real chemistry, not just the raw score? (PLIP)</w:t>
        <w:tab/>
        <w:t>148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149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151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154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154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155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157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158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ends two orders of magnitude below the raw nudge sum</w:t>
        <w:tab/>
        <w:t>159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160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163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164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166</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Research objective, experiment, metric, result and conclusion</w:t>
        <w:tab/>
        <w:t>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Where a decision gate was applied, by route</w:t>
        <w:tab/>
        <w:t>20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Master summary of every experimental route, including the Appendix E follow-up</w:t>
        <w:tab/>
        <w:t>22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Data splits used for affinity predictors</w:t>
        <w:tab/>
        <w:t>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3.4</w:t>
        <w:tab/>
        <w:t>Predictors used as guidance signals or ranking functions</w:t>
        <w:tab/>
        <w:t>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3.5</w:t>
        <w:tab/>
        <w:t>Independent evaluation metrics</w:t>
        <w:tab/>
        <w:t>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3.6</w:t>
        <w:tab/>
        <w:t>Unit of analysis and seed count, by route</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41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53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75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77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78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80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95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101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Claim, evidence and scope, Tracks A to E</w:t>
        <w:tab/>
        <w:t>103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Exact package versions of the `drugdisc` environment, as actually installed</w:t>
        <w:tab/>
        <w:t>126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A.2</w:t>
        <w:tab/>
        <w:t>Checksums and identifiers of the principal frozen artefacts</w:t>
        <w:tab/>
        <w:t>127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A.3</w:t>
        <w:tab/>
        <w:t>Reproducibility checklist, marked only where actually verified</w:t>
        <w:tab/>
        <w:t>128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A.4</w:t>
        <w:tab/>
        <w:t>Principal elements of the repository</w:t>
        <w:tab/>
        <w:t>129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140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142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independently computed docking test, paired by seed</w:t>
        <w:tab/>
        <w:t>144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152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156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Mean all-atom position gap between the guided and unguided trajectory, by diffusion step</w:t>
        <w:tab/>
        <w:t>159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Sources pooled into the single Benjamini–Hochberg correction across the follow-up phase</w:t>
        <w:tab/>
        <w:t>164</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tab/>
        <w:t>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61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69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tab/>
        <w:t>75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86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87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89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tab/>
        <w:t>102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tab/>
        <w:t>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111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138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tab/>
        <w:t>144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145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tab/>
        <w:t>146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148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151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152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154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156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159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160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The unguided (λ=0) molecule of the paired trace, docked into its pocket (PDB 1h36) and rendered with its hydrogen-bond partners. Renders the same molecule referenced in Figure E.11 and Table E.6 in its 3D binding context.</w:t>
        <w:tab/>
        <w:t>162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163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Effect size and 95% confidence interval of every one of the 48 pooled comparisons of Table E.7, ordered by checkpoint. No interval is both significant after correction and in the beneficial direction.</w:t>
        <w:tab/>
        <w:t>165</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[44].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The central question of this thesis is whether learned guidance signals improve generated molecules on independently computed evaluation outcomes, that is, on quantities that a medicinal chemist would recognise as meaningful and that are computed independently of the guidance model itself.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[50]. A guidance signal that raises such a score is therefore not automatically a success. Second, learned affinity predictors are known to be sensitive to data leakage between training and test sets, and to exploit ligand-only shortcuts [19], [30], [46];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computed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Three bodies of work are most closely related. The first concerns diffusion models for SBDD and their guidance or conditioning by interaction information: interaction-conditioned generators [28], [49], [57] and diffusion models that inject priors derived from affinity networks [22]. The second concerns learned scoring functions and the reliability of their evaluation, including physics-informed and interaction-explicit architectures [34], [52], leakage-controlled benchmarks [19], [30] and critiques of shortcut learning [40], [46]. The third concerns the evaluation of generative SBDD methods themselves, where independent work has questioned the reliability of docking scores as a success criterion and the practice of selecting checkpoints on test data [18]. Chapter II reviews these areas in detail and identifies the specific gap addressed here: to the best of the author's knowledge, no study has evaluated learned guidance for a frozen 3D diffusion generator against independently computed evaluation outcomes under a leakage-safe, statistically corrected protocol that includes negative controls.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The novelty of the work lies in (i) the leakage-safe, target-level evaluation of predictors used for guidance; (ii) the systematic, statistically disciplined mapping of where gradient guidance and rejection sampling fail; (iii) the mechanistic diagnostics; and (iv) the methodological audits that accompany the results, including the recognition that an earlier generalisation gap was largely a split artefact.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five routes produced a defensible improvement. Affinity guidance produced no detectable effect on the independently computed docking score at any tested strength, and the magnitude of the predictor's gradient was positively correlated with the distance of an atom from the pocket, not with proximity to binding contacts. Rejection sampling improved raw docking scores in 12 of 15 pockets, but ligand efficiency worsened significantly in 14 of 15, the selected molecules were on average 12 heavy atoms larger, and PoseBusters validity fell by 29 percentage points. Synthesizability guidance gave no supported gain: in the exploratory design the guidance model's own score rose while the independently computed RA-score fell, and after two fixes this divergence was still present in sign but was not statistically confirmed. Finally, the delta-target predictor was significantly worse than simple baselines, because the residual was not learnt better than by a constant.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Research Objectives and Experimental Map</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statement of Section I.2 is one question; Table 1.1 unpacks it into the specific sub-objective that each route was designed to answer, the metric that decided it, and the conclusion actually drawn. Every row maps to exactly one chapter, so this table also serves as a map of the 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1.1</w:t>
        <w:tab/>
        <w:t>Research objective, experiment, metric, result and conclusion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Research objective</w:t>
            </w:r>
          </w:p>
        </w:tc>
        <w:tc>
          <w:tcPr>
            <w:tcW w:type="dxa" w:w="1092"/>
            <w:shd w:val="clear" w:fill="E7E9EE"/>
          </w:tcPr>
          <w:p>
            <w:pPr>
              <w:keepNext w:val="0"/>
              <w:keepLines w:val="0"/>
              <w:widowControl/>
              <w:spacing w:line="240" w:lineRule="auto" w:before="20" w:after="20"/>
              <w:jc w:val="center"/>
            </w:pPr>
            <w:r>
              <w:rPr>
                <w:rFonts w:ascii="Times New Roman" w:hAnsi="Times New Roman" w:eastAsia="Times New Roman"/>
                <w:b/>
                <w:i w:val="0"/>
                <w:sz w:val="20"/>
              </w:rPr>
              <w:t>Experiment / Track</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Primary metric</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Conclusion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gradient guidance with the original predictor affect the independently computed docking score?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(Mann–Whitney, Wilcoxon)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effect at any of 3 orders of magnitude of λ</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Predictor repair alone does not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predictor's architecture limit gradient guidance?</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A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 significant; direction consistency weakened with more data</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Architecture is not the limiting factor at the scale tested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guidance mechanism (scale, objective, timing) limit it?</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B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0/23 significant; one variant worse by median in 6/6</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Mechanism variants do not rescue guidance on a fixed representation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does the affinity gradient actually encode?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Diagnostic (V.4)</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Gradient-magnitude/distance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+0.240 (wrong direction), not explained by atom heaviness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 magnitude increases with distance from the pocket in the measured states</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Can non-gradient, post-hoc selection succeed where gradient guidance failed?</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C (VI)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ligand efficiency, PoseBusters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Raw gain in 12/15 pockets, confounded by size in 14/15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apparent docking gain does not survive size-normalised evaluation and is accompanied by reduced physical validity</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same guidance mechanism work for synthesizability?</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D (VII)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0/5 significant at the powered scale; own-score/independent-score divergence not confirmed</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supported gain; the mechanism of the divergence is undiagnosed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a residual (delta) training target improve the predictor?</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E (VIII)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Target-clustered R²</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R² = 0.117, worse than a linear baseline (0.362) and an EGNN (0.34–0.41)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Falsified at this scale; the auxiliary arm (E2) was not run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directly repairing the diagnosed gradient mechanism produce an effect?</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(Wilcoxon); DIAG1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Strongest diagnostic fix of any checkpoint (−0.78); still 0/32 pooled tests significant</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Repairing the diagnosed mechanism does not, by itself,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null survive independent, non-docking validation and the hardest generalisation split available?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2</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PLIP interaction counts; R² on an unseen protein family</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Interaction-count signal reverses sign on confirmation; predictive quality holds (R² = 0.507) on an unseen kinase family, docking effect still null</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null is not an artefact of a docking-only metric or of family-level leakage</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happens, mechanistically, to a single molecule when the gradient is applied?</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Section E.5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Per-step, per-atom position gap</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Gap ≈ 0.05 Å mean after 1,000 steps, ≈1% of the raw cumulative nudge</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nudge is mostly drowned out by the sampler's own step noise, not actively cancelled</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I.7</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and the baseline guidance ablations. Chapter V reports the architecture and mechanism routes (Tracks A and B) and the gradient diagnostic. Chapter VI reports rejection sampling (Track C), Chapter VII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[39]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[57]. InterDiff conditions a diffusion model on interaction "prompts" detected with BINANA, uses cross-attention to inject them, and adds a cross-entropy loss that classifies protein-atom features into interaction types inside the denoiser [49]. BInD treats non-covalent interactions extracted with PLIP as an additional categorical channel that is generated jointly with atoms and bonds under its own loss, and applies knowledge-based guidance terms after the network prediction [28]. An earlier recurrent generator was constrained by an interaction fingerprint computed on docking poses [55]. DPDiff, a diffusion model on CrossDocked2020, extracts "interaction priors" from two pretrained affinity-prediction networks during sampling, using intermediate diffusion predictions as input [22]. Its ablation reports that a geometry-based prior that was pretrained on accurate poses degraded generation when queried on noisy intermediate structures, because of the mismatch between training and sampling inputs [22].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[44].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[50]. Re-parameterisations of the function, such as Vinardo, were introduced because the conventional approach of fitting empirical terms by linear regression to experimental affinities does not yield a function with optimal docking capabilities [35].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[52]. PIGNet predicts atom–atom pairwise interaction terms with physics-informed equations whose parameters are produced by a neural network and sums them to obtain the affinity, and augments the training data with additional poses and ligands to improve generalisation [34]. Interformer combines a graph-transformer with an interaction-aware mixture density network for docking and affinity prediction [27], and PLANET is trained with three objectives (affinity, protein–ligand contact map and ligand distance matrix) [56]. A framework that adds an adjustable affinity term to the training of a mixture density network was proposed to balance scoring, docking, ranking and screening powers, which the authors note are rarely achieved simultaneously by a single machine-learned function [42].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[46].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[30].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[40].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[37].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[43].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[36], and it remains in use, for example for correcting a semiempirical method in the prediction of reaction barrier heights [25].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[47]. Related work re-scored Vina poses with random forests [29], and a delta model built on a linear empirical baseline and gradient boosting reported Pearson correlations of 0.853, 0.839 and 0.813 on locally optimised, redocked and ensemble-docked poses of the CASF-2016 core set [51].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[26]; gradient normalisation equalises gradient magnitudes at a shared layer [7]; gradient surgery projects a task gradient off the gradient of a conflicting task [53]; and dual balancing acts on both loss scales and gradient magnitudes [32]. Auxiliary tasks can also cause negative transfer, for which dedicated remedies have been proposed [23],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[38], [41]. Alternative encodings include the interaction fingerprints of ProLIF [5] and of related tools [14], [48].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[22], [28], [57], and, in one case, as an auxiliary classification loss inside the generator's own denoiser [49]. Residual learning has been applied to scoring with tree ensembles [47], [51]. Multi-objective affinity networks with structural auxiliary targets exist [56]. What was not found, within the limits of the searches described in Appendix B, is a study that (i) evaluates learned affinity or synthesizability guidance for a frozen 3D diffusion generator against independently computed outcomes under a leakage-safe, statistically corrected protocol with negative controls,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Work</w:t>
            </w:r>
          </w:p>
        </w:tc>
        <w:tc>
          <w:tcPr>
            <w:tcW w:type="dxa" w:w="789"/>
            <w:shd w:val="clear" w:fill="E7E9EE"/>
          </w:tcPr>
          <w:p>
            <w:pPr>
              <w:keepNext w:val="0"/>
              <w:keepLines w:val="0"/>
              <w:widowControl/>
              <w:spacing w:line="240" w:lineRule="auto" w:before="20" w:after="20"/>
              <w:jc w:val="center"/>
            </w:pPr>
            <w:r>
              <w:rPr>
                <w:rFonts w:ascii="Times New Roman" w:hAnsi="Times New Roman" w:eastAsia="Times New Roman"/>
                <w:b/>
                <w:i w:val="0"/>
                <w:sz w:val="18"/>
              </w:rPr>
              <w:t>3D diffusion SBDD</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Learned guidance predictor (separate from the generator)</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Interaction information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Residual (delta) target</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Target-disjoint, leakage-safe evaluation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Evaluation independent of the model, with negative controls</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DeepICL [57]</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(autoregressive)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(conditioning, not guidance)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as conditioning</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InterDiff [49]</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(in-denoiser conditioning)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BINANA types; classification loss in denoiser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BInD [28]</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(co-generated, not a separate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interactions co-generated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DPDiff [22]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(affinity-network priors)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Latent priors from affinity networks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PLANET [56]</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model only)</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Contact map (not typed)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ΔVinaRF20 [47]; Δ-XGBoost [51]</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functions)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(tree ensembles)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(CASF core set; Section II.3.3)</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This thesis</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Yes (frozen TargetDiff)</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(EGNN / GIGN+PIGNet2 / SynthPredNet)</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(designed, not tested; Appendix 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(graph network; falsified at this scale)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(LP-split adaptation; Section III.2)</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(KS/Wilcoxon + BH, bootstrap CIs, negative controls; Section III.6)</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as read during the search of Appendix B; "not the focus of that study, as reviewed" means the question this thesis asks was not what that work set out to answer, not that the work is deficient. It does not claim that no other work anywhere addresses these questions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independently computed evaluation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an independently computed outcome. These two criteria are deliberately kept separate and are never substituted for one another: a predictor's held-out accuracy is a property of the predictor alone, measured once, on a fixed test set, independently of any generator; its usefulness as a guidance signal is a property of the coupled predictor-plus-sampler system, measured separately, on generated molecules, by tools that do not see the predictor's output. Chapter IX (Section IX.2.2) returns to this distinction once the full evidence is in; it is stated here because every route of this thesis measures the two quantities on this footing from the outset, not only in hindsight.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III.1.1</w:t>
        <w:tab/>
      </w:r>
      <w:r>
        <w:rPr>
          <w:rFonts w:ascii="Times New Roman" w:hAnsi="Times New Roman" w:eastAsia="Times New Roman"/>
          <w:b w:val="0"/>
          <w:i/>
          <w:sz w:val="24"/>
        </w:rPr>
        <w:t>Pre-registration status of each route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Not every route in this thesis carries the same evidentiary status, and the distinction matters for how its result should be read. Four categories are used throughout, and every analysis in this thesis belongs to exactly one of them. </w:t>
      </w:r>
      <w:r>
        <w:rPr>
          <w:rFonts w:ascii="Times New Roman" w:hAnsi="Times New Roman" w:eastAsia="Times New Roman"/>
          <w:b w:val="0"/>
          <w:i/>
          <w:sz w:val="24"/>
        </w:rPr>
        <w:t>Pre-registered</w:t>
      </w:r>
      <w:r>
        <w:rPr>
          <w:rFonts w:ascii="Times New Roman" w:hAnsi="Times New Roman" w:eastAsia="Times New Roman"/>
          <w:b w:val="0"/>
          <w:i w:val="0"/>
          <w:sz w:val="24"/>
        </w:rPr>
        <w:t xml:space="preserve"> means a frozen, version-controlled document fixed the hypothesis, the primary metric, the decision thresholds and the stopping rule before any model of that route was trained; only Track E (Chapter VIII) meets this bar, and its amendments are logged, dated and never edited in place (Appendix D). </w:t>
      </w:r>
      <w:r>
        <w:rPr>
          <w:rFonts w:ascii="Times New Roman" w:hAnsi="Times New Roman" w:eastAsia="Times New Roman"/>
          <w:b w:val="0"/>
          <w:i/>
          <w:sz w:val="24"/>
        </w:rPr>
        <w:t>Planned, not pre-registered</w:t>
      </w:r>
      <w:r>
        <w:rPr>
          <w:rFonts w:ascii="Times New Roman" w:hAnsi="Times New Roman" w:eastAsia="Times New Roman"/>
          <w:b w:val="0"/>
          <w:i w:val="0"/>
          <w:sz w:val="24"/>
        </w:rPr>
        <w:t xml:space="preserve"> means the decision bands, correction procedure and quality-degradation checks were declared in the project's working log before the results of that specific checkpoint were inspected, following the shared protocol of this chapter, but without a frozen external document; Tracks A, B, C and D, the baseline ablation of Chapter IV, and the gradient diagnostic of Section V.4 are of this kind. </w:t>
      </w:r>
      <w:r>
        <w:rPr>
          <w:rFonts w:ascii="Times New Roman" w:hAnsi="Times New Roman" w:eastAsia="Times New Roman"/>
          <w:b w:val="0"/>
          <w:i/>
          <w:sz w:val="24"/>
        </w:rPr>
        <w:t>Post hoc</w:t>
      </w:r>
      <w:r>
        <w:rPr>
          <w:rFonts w:ascii="Times New Roman" w:hAnsi="Times New Roman" w:eastAsia="Times New Roman"/>
          <w:b w:val="0"/>
          <w:i w:val="0"/>
          <w:sz w:val="24"/>
        </w:rPr>
        <w:t xml:space="preserve"> means a question was formed after seeing a result and is reported as exploratory and uncorrected for multiple comparisons unless stated otherwise; this applies to specific, individually flagged analyses, such as the pocket-size correlation of Section VI.3 and the pooled Mann–Whitney check of Chapter IV. </w:t>
      </w:r>
      <w:r>
        <w:rPr>
          <w:rFonts w:ascii="Times New Roman" w:hAnsi="Times New Roman" w:eastAsia="Times New Roman"/>
          <w:b w:val="0"/>
          <w:i/>
          <w:sz w:val="24"/>
        </w:rPr>
        <w:t>Appendix E follow-up</w:t>
      </w:r>
      <w:r>
        <w:rPr>
          <w:rFonts w:ascii="Times New Roman" w:hAnsi="Times New Roman" w:eastAsia="Times New Roman"/>
          <w:b w:val="0"/>
          <w:i w:val="0"/>
          <w:sz w:val="24"/>
        </w:rPr>
        <w:t xml:space="preserve"> means the analysis was conducted after Chapter IX's synthesis had been written and frozen, outside the decision sequence of Tracks A to E described below; it follows this project's general exploratory-then-confirmatory discipline (the two-tier protocol of Section III.1) but was not pre-registered, and it is reported in full as Appendix E with its own, explicitly dated chronology (Section E.1).</w:t>
      </w:r>
    </w:p>
    <w:p>
      <w:pPr>
        <w:keepNext w:val="0"/>
        <w:keepLines w:val="0"/>
        <w:widowControl/>
        <w:spacing w:line="480" w:lineRule="auto" w:before="0" w:after="0"/>
        <w:ind w:firstLine="720"/>
        <w:jc w:val="both"/>
      </w:pPr>
      <w:r>
        <w:rPr>
          <w:rFonts w:ascii="Times New Roman" w:hAnsi="Times New Roman" w:eastAsia="Times New Roman"/>
          <w:b w:val="0"/>
          <w:i w:val="0"/>
          <w:sz w:val="24"/>
        </w:rPr>
        <w:t>Table 3.1 makes explicit where a pass/fail gate was actually applied, since not every route had one. Tracks A to D were stopped or extended by the shared decision bands of Section III.6.3 (no comparison may be called a clear signal without surviving correction and the degradation checks), applied after each tier; no route was permitted to continue to a more expensive tier without first clearing this check. Track E additionally carried its own, pre-registered numerical gates, frozen before training (Appendix D). Appendix E's follow-up phase used the same confirm-before-reporting discipline as a working practice (no encouraging small-sample result was reported before a larger, confirmatory run) but applied no frozen stopping rule, because it was not pre-registered.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Where a decision gate was applied,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Gate type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Condition to continue or to declare a positive result</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Consequence if not met</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No significant Mann–Whitney/Wilcoxon shift; no PoseBusters/LE degradation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Verdict recorded as no signal; motivated Tracks A–D</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tier's cost of the full tier was justified by its yellow-flag result; full tier itself gated by the same bands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Full tier was run; its own null stopped the route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Same as above, applied per variant (B1–B3)</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Each variant's null closed that variant; no further variants of the same kind were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 + negative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Scrambled-filter control must agree with the random-subset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Disagreement would have been read as an implementation bug, not a result; it did not occur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at the exploratory scale must be resolved before the multi-pocket confirmation (step D.4) was run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persisted only partially; D.4 was explicitly skipped by this pre-declared rule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Pre-registered numerical gate (C1a, then C4)</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Point estimate and interval of the primary comparison must clear a stated margin; the gradient-distance gate C4 applies only if C1a passes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C1a's upper bounds excluded the required margin; E1 declared falsified at this scale; C4 and E2 were not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(post-synthesis)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Working discipline, not a frozen gate</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 (n≈8) must be confirmed at larger n before being reported as a finding</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Applied uniformly (e.g. the ESM2 and PLIP exploratory signals); no frozen pass/fail threshold existed to stop the phase itself</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every route at a glance, including the follow-up investigation of Appendix E, with the predictor used, what was intervened on, the scale of evidence, the primary outcome metric, the correction applied, and the verdict. It is a map for the chapters that follow, not a substitute for them.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Master summary of every experimental route, including the Appendix E follow-up</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cantSplit/>
          <w:tblHeader/>
        </w:trPr>
        <w:tc>
          <w:tcPr>
            <w:tcW w:type="dxa" w:w="772"/>
            <w:shd w:val="clear" w:fill="E7E9EE"/>
          </w:tcPr>
          <w:p>
            <w:pPr>
              <w:keepNext w:val="0"/>
              <w:keepLines w:val="0"/>
              <w:widowControl/>
              <w:spacing w:line="240" w:lineRule="auto" w:before="20" w:after="20"/>
              <w:jc w:val="center"/>
            </w:pPr>
            <w:r>
              <w:rPr>
                <w:rFonts w:ascii="Times New Roman" w:hAnsi="Times New Roman" w:eastAsia="Times New Roman"/>
                <w:b/>
                <w:i w:val="0"/>
                <w:sz w:val="16"/>
              </w:rPr>
              <w:t>Route</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Predictor</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Intervention</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Pockets / targets</w:t>
            </w:r>
          </w:p>
        </w:tc>
        <w:tc>
          <w:tcPr>
            <w:tcW w:type="dxa" w:w="816"/>
            <w:shd w:val="clear" w:fill="E7E9EE"/>
          </w:tcPr>
          <w:p>
            <w:pPr>
              <w:keepNext w:val="0"/>
              <w:keepLines w:val="0"/>
              <w:widowControl/>
              <w:spacing w:line="240" w:lineRule="auto" w:before="20" w:after="20"/>
              <w:jc w:val="center"/>
            </w:pPr>
            <w:r>
              <w:rPr>
                <w:rFonts w:ascii="Times New Roman" w:hAnsi="Times New Roman" w:eastAsia="Times New Roman"/>
                <w:b/>
                <w:i w:val="0"/>
                <w:sz w:val="16"/>
              </w:rPr>
              <w:t>Units per condition</w:t>
            </w:r>
          </w:p>
        </w:tc>
        <w:tc>
          <w:tcPr>
            <w:tcW w:type="dxa" w:w="1099"/>
            <w:shd w:val="clear" w:fill="E7E9EE"/>
          </w:tcPr>
          <w:p>
            <w:pPr>
              <w:keepNext w:val="0"/>
              <w:keepLines w:val="0"/>
              <w:widowControl/>
              <w:spacing w:line="240" w:lineRule="auto" w:before="20" w:after="20"/>
              <w:jc w:val="center"/>
            </w:pPr>
            <w:r>
              <w:rPr>
                <w:rFonts w:ascii="Times New Roman" w:hAnsi="Times New Roman" w:eastAsia="Times New Roman"/>
                <w:b/>
                <w:i w:val="0"/>
                <w:sz w:val="16"/>
              </w:rPr>
              <w:t>Primary metric</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Correction</w:t>
            </w:r>
          </w:p>
        </w:tc>
        <w:tc>
          <w:tcPr>
            <w:tcW w:type="dxa" w:w="848"/>
            <w:shd w:val="clear" w:fill="E7E9EE"/>
          </w:tcPr>
          <w:p>
            <w:pPr>
              <w:keepNext w:val="0"/>
              <w:keepLines w:val="0"/>
              <w:widowControl/>
              <w:spacing w:line="240" w:lineRule="auto" w:before="20" w:after="20"/>
              <w:jc w:val="center"/>
            </w:pPr>
            <w:r>
              <w:rPr>
                <w:rFonts w:ascii="Times New Roman" w:hAnsi="Times New Roman" w:eastAsia="Times New Roman"/>
                <w:b/>
                <w:i w:val="0"/>
                <w:sz w:val="16"/>
              </w:rPr>
              <w:t>Verdict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Baseline (IV)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Guidance strength λ</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20 pockets; 8 pockets × 3 λ</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8–10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(Mann–Whitney, Wilcoxon)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Not explicitly corrected (pre-dates the KS/BH protocol below)</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No effect at any tested λ</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A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 PIGNet2</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Predictor architecture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pockets (full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29–30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24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B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Gradient scale (B1), objective (B2), timing (B3)</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2–3 pockets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23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0/23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Diagnostic (V.4)</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None (read-only probe)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3 pockets, 144 states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n/a</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Gradient–distance correlation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Bootstrap CI only; no gate</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+0.240, wrong direction</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C (VI)</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Stage 0 EGNN (as ranker)</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Post-hoc top-10% selection</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15 pockets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~590 molecules/pocket pool</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LE, PoseBusters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15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Raw gain confounded by size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D (VII)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SynthPredNet</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Synthesizability guidance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pocket (powered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30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Independently computed RAscore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5 tests</w:t>
            </w:r>
          </w:p>
        </w:tc>
        <w:tc>
          <w:tcPr>
            <w:tcW w:type="dxa" w:w="848"/>
          </w:tcPr>
          <w:p>
            <w:pPr>
              <w:keepNext w:val="0"/>
              <w:keepLines w:val="0"/>
              <w:widowControl/>
              <w:spacing w:line="240" w:lineRule="auto" w:before="20" w:after="20"/>
              <w:jc w:val="center"/>
            </w:pPr>
            <w:r>
              <w:rPr>
                <w:rFonts w:ascii="Times New Roman" w:hAnsi="Times New Roman" w:eastAsia="Times New Roman"/>
                <w:b w:val="0"/>
                <w:i w:val="0"/>
                <w:sz w:val="16"/>
              </w:rPr>
              <w:t>0/5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E (VIII)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delta head</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Training target (residual vs. Vina)</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127 test targets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n/a (predictor comparison)</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Target-clustered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Pre-registered gate (bootstrap CI)</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Falsified at this scale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Follow-up (App. 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further checkpoints (EGNN / GIGN variants)</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4 mechanism-level fixes, alone and combined, plus validation and a mechanistic trace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fixed pocket + CDK6 (unseen family) + 835 (AlphaFold side-check)</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8–24 molecules per λ</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PLIP interactions,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Pooled BH, 48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0/48 significant</w:t>
            </w:r>
          </w:p>
        </w:tc>
      </w:tr>
    </w:tbl>
    <w:p>
      <w:pPr>
        <w:keepNext w:val="0"/>
        <w:keepLines w:val="0"/>
        <w:widowControl/>
        <w:spacing w:line="240" w:lineRule="auto" w:before="80" w:after="0"/>
        <w:jc w:val="both"/>
      </w:pPr>
      <w:r>
        <w:rPr>
          <w:rFonts w:ascii="Times New Roman" w:hAnsi="Times New Roman" w:eastAsia="Times New Roman"/>
          <w:b w:val="0"/>
          <w:i w:val="0"/>
          <w:sz w:val="20"/>
        </w:rPr>
        <w:t>"n/a" marks routes that compare trained predictors on a held-out test set rather than generated molecules under guidance. The diagnostic of row 4 is not a guidance checkpoint and carried no pass/fail gate (Section V.4).</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The official split of that release assigns 99,990 pocket instances to training (1,905 unique targets) and 100 to testing (93 unique targets), with no target overlap between the two.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[30]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resulting split, restricted to entries with a non-zero pK and an RMSD below 2 Å (1,041 targets, 76,803 entries), is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[43]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[22].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3.4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3.4</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[39]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[52], in which covalent (or covalent-proxy) and non-covalent edges share one message pass and are differentiated by separate MLPs, with the physics-decomposed readout of PIGNet [34]: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3.5.</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3.5</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model [43]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[50];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What is shared and what is independent across a comparison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different designs are used in this thesis, and they are not interchangeable. In the </w:t>
      </w:r>
      <w:r>
        <w:rPr>
          <w:rFonts w:ascii="Times New Roman" w:hAnsi="Times New Roman" w:eastAsia="Times New Roman"/>
          <w:b w:val="0"/>
          <w:i/>
          <w:sz w:val="24"/>
        </w:rPr>
        <w:t>independent-sample</w:t>
      </w:r>
      <w:r>
        <w:rPr>
          <w:rFonts w:ascii="Times New Roman" w:hAnsi="Times New Roman" w:eastAsia="Times New Roman"/>
          <w:b w:val="0"/>
          <w:i w:val="0"/>
          <w:sz w:val="24"/>
        </w:rPr>
        <w:t xml:space="preserve"> design, used for the KS tests above, each molecule of the guided condition and each molecule of the unguided condition is sampled from its own, separately drawn initial noise; nothing is shared between the two groups beyond the pocket and the model, and the two samples are treated as independent draws from their respective distributions. In the </w:t>
      </w:r>
      <w:r>
        <w:rPr>
          <w:rFonts w:ascii="Times New Roman" w:hAnsi="Times New Roman" w:eastAsia="Times New Roman"/>
          <w:b w:val="0"/>
          <w:i/>
          <w:sz w:val="24"/>
        </w:rPr>
        <w:t>paired</w:t>
      </w:r>
      <w:r>
        <w:rPr>
          <w:rFonts w:ascii="Times New Roman" w:hAnsi="Times New Roman" w:eastAsia="Times New Roman"/>
          <w:b w:val="0"/>
          <w:i w:val="0"/>
          <w:sz w:val="24"/>
        </w:rPr>
        <w:t xml:space="preserve"> design, used for the Wilcoxon signed-rank tests of Track B, the gradient-alignment trace of Section E.5, and several of the n = 8 exploratory tiers of Appendix E, the same initial noise (the same random seed, consumed in the same order) is reused across every λ value of a given pocket, so that a guided and an unguided molecule at that position in the sequence begin from bit-identical noise and encounter the same per-step stochastic draws up to the first point at which guidance is applied; only the guidance intervention itself then differs between the paired molecules. This is why the two trajectories of the mechanistic trace (Appendix E.5) are described as diverging "only through the guidance nudge": nothing else differs between them by construction. Pairing is appropriate here because it removes the between-sample noise contributed by independently drawn initial positions and step noise, which is the dominant source of variance at the small n of the exploratory tiers, leaving the guidance effect as the main remaining source of a paired difference; it is reported as a Wilcoxon signed-rank test, not a paired t-test, because the shift is not assumed to be normally distributed. Different pockets, and different seeds within the same pocket in a multi-seed design (Track C, Track E), are independent of one another; pairing is never used across pockets or across seeds, only across λ within one seed of one pocket.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III.6.4</w:t>
        <w:tab/>
      </w:r>
      <w:r>
        <w:rPr>
          <w:rFonts w:ascii="Times New Roman" w:hAnsi="Times New Roman" w:eastAsia="Times New Roman"/>
          <w:b w:val="0"/>
          <w:i/>
          <w:sz w:val="24"/>
        </w:rPr>
        <w:t>A note on the wording of null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uses five distinct phrases for a comparison that did not support a positive claim, and they are not interchangeable. </w:t>
      </w:r>
      <w:r>
        <w:rPr>
          <w:rFonts w:ascii="Times New Roman" w:hAnsi="Times New Roman" w:eastAsia="Times New Roman"/>
          <w:b w:val="0"/>
          <w:i/>
          <w:sz w:val="24"/>
        </w:rPr>
        <w:t>No significant effect</w:t>
      </w:r>
      <w:r>
        <w:rPr>
          <w:rFonts w:ascii="Times New Roman" w:hAnsi="Times New Roman" w:eastAsia="Times New Roman"/>
          <w:b w:val="0"/>
          <w:i w:val="0"/>
          <w:sz w:val="24"/>
        </w:rPr>
        <w:t xml:space="preserve"> is the narrowest and most frequent: a specific test did not survive the stated correction at the stated sample size, and nothing is implied about effects of a different size or at a different scale. </w:t>
      </w:r>
      <w:r>
        <w:rPr>
          <w:rFonts w:ascii="Times New Roman" w:hAnsi="Times New Roman" w:eastAsia="Times New Roman"/>
          <w:b w:val="0"/>
          <w:i/>
          <w:sz w:val="24"/>
        </w:rPr>
        <w:t>No evidence of an effect</w:t>
      </w:r>
      <w:r>
        <w:rPr>
          <w:rFonts w:ascii="Times New Roman" w:hAnsi="Times New Roman" w:eastAsia="Times New Roman"/>
          <w:b w:val="0"/>
          <w:i w:val="0"/>
          <w:sz w:val="24"/>
        </w:rPr>
        <w:t xml:space="preserve"> is used when several such tests are taken together (for example, across an entire checkpoint or phase) and none of them individually or in combination supports a positive claim. </w:t>
      </w:r>
      <w:r>
        <w:rPr>
          <w:rFonts w:ascii="Times New Roman" w:hAnsi="Times New Roman" w:eastAsia="Times New Roman"/>
          <w:b w:val="0"/>
          <w:i/>
          <w:sz w:val="24"/>
        </w:rPr>
        <w:t>No effect of practical size</w:t>
      </w:r>
      <w:r>
        <w:rPr>
          <w:rFonts w:ascii="Times New Roman" w:hAnsi="Times New Roman" w:eastAsia="Times New Roman"/>
          <w:b w:val="0"/>
          <w:i w:val="0"/>
          <w:sz w:val="24"/>
        </w:rPr>
        <w:t xml:space="preserve"> is reserved for cases in which a power calculation (Section V.1, Figure 9.2) bounds the effect that could have been missed, so the claim is about magnitude and not only about significance. </w:t>
      </w:r>
      <w:r>
        <w:rPr>
          <w:rFonts w:ascii="Times New Roman" w:hAnsi="Times New Roman" w:eastAsia="Times New Roman"/>
          <w:b w:val="0"/>
          <w:i/>
          <w:sz w:val="24"/>
        </w:rPr>
        <w:t>Failed criterion</w:t>
      </w:r>
      <w:r>
        <w:rPr>
          <w:rFonts w:ascii="Times New Roman" w:hAnsi="Times New Roman" w:eastAsia="Times New Roman"/>
          <w:b w:val="0"/>
          <w:i w:val="0"/>
          <w:sz w:val="24"/>
        </w:rPr>
        <w:t xml:space="preserve"> or </w:t>
      </w:r>
      <w:r>
        <w:rPr>
          <w:rFonts w:ascii="Times New Roman" w:hAnsi="Times New Roman" w:eastAsia="Times New Roman"/>
          <w:b w:val="0"/>
          <w:i/>
          <w:sz w:val="24"/>
        </w:rPr>
        <w:t>failed its pre-declared criterion</w:t>
      </w:r>
      <w:r>
        <w:rPr>
          <w:rFonts w:ascii="Times New Roman" w:hAnsi="Times New Roman" w:eastAsia="Times New Roman"/>
          <w:b w:val="0"/>
          <w:i w:val="0"/>
          <w:sz w:val="24"/>
        </w:rPr>
        <w:t xml:space="preserve"> is used for a route governed by explicit decision bands (Section III.1.1) that did not clear them, independently of whether a numerical test was involved. </w:t>
      </w:r>
      <w:r>
        <w:rPr>
          <w:rFonts w:ascii="Times New Roman" w:hAnsi="Times New Roman" w:eastAsia="Times New Roman"/>
          <w:b w:val="0"/>
          <w:i/>
          <w:sz w:val="24"/>
        </w:rPr>
        <w:t>Falsified at this scale</w:t>
      </w:r>
      <w:r>
        <w:rPr>
          <w:rFonts w:ascii="Times New Roman" w:hAnsi="Times New Roman" w:eastAsia="Times New Roman"/>
          <w:b w:val="0"/>
          <w:i w:val="0"/>
          <w:sz w:val="24"/>
        </w:rPr>
        <w:t xml:space="preserve"> is reserved for Track E, the one route with a pre-registered numerical margin (Appendix D): it means the pre-declared rule was applied exactly as written and returned a negative verdict, not merely that a result failed to reach significance. None of these phrases is used to claim that no effect exists under conditions that were not tested; that distinction is kept explicit throughout and restated in Chapter 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III.6.5</w:t>
        <w:tab/>
      </w:r>
      <w:r>
        <w:rPr>
          <w:rFonts w:ascii="Times New Roman" w:hAnsi="Times New Roman" w:eastAsia="Times New Roman"/>
          <w:b w:val="0"/>
          <w:i/>
          <w:sz w:val="24"/>
        </w:rPr>
        <w:t>Units of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reports counts at several different levels, and conflating them would misstate the amount of independent evidence behind a number. From smallest to largest: an </w:t>
      </w:r>
      <w:r>
        <w:rPr>
          <w:rFonts w:ascii="Times New Roman" w:hAnsi="Times New Roman" w:eastAsia="Times New Roman"/>
          <w:b w:val="0"/>
          <w:i/>
          <w:sz w:val="24"/>
        </w:rPr>
        <w:t>atom</w:t>
      </w:r>
      <w:r>
        <w:rPr>
          <w:rFonts w:ascii="Times New Roman" w:hAnsi="Times New Roman" w:eastAsia="Times New Roman"/>
          <w:b w:val="0"/>
          <w:i w:val="0"/>
          <w:sz w:val="24"/>
        </w:rPr>
        <w:t xml:space="preserve"> is one position in one molecule, the unit of the gradient diagnostics (Section V.4, Section VII.4) and of the mechanistic trace (Appendix E.5); a </w:t>
      </w:r>
      <w:r>
        <w:rPr>
          <w:rFonts w:ascii="Times New Roman" w:hAnsi="Times New Roman" w:eastAsia="Times New Roman"/>
          <w:b w:val="0"/>
          <w:i/>
          <w:sz w:val="24"/>
        </w:rPr>
        <w:t>molecule</w:t>
      </w:r>
      <w:r>
        <w:rPr>
          <w:rFonts w:ascii="Times New Roman" w:hAnsi="Times New Roman" w:eastAsia="Times New Roman"/>
          <w:b w:val="0"/>
          <w:i w:val="0"/>
          <w:sz w:val="24"/>
        </w:rPr>
        <w:t xml:space="preserve"> is one sampled, reconstructed ligand, the unit that a per-condition count such as "n = 30 molecules" refers to, and molecules from the same condition and pocket are not independent of one another in the strict sense when they share initial noise under the paired design of Section III.6.2, only across conditions; a </w:t>
      </w:r>
      <w:r>
        <w:rPr>
          <w:rFonts w:ascii="Times New Roman" w:hAnsi="Times New Roman" w:eastAsia="Times New Roman"/>
          <w:b w:val="0"/>
          <w:i/>
          <w:sz w:val="24"/>
        </w:rPr>
        <w:t>complex</w:t>
      </w:r>
      <w:r>
        <w:rPr>
          <w:rFonts w:ascii="Times New Roman" w:hAnsi="Times New Roman" w:eastAsia="Times New Roman"/>
          <w:b w:val="0"/>
          <w:i w:val="0"/>
          <w:sz w:val="24"/>
        </w:rPr>
        <w:t xml:space="preserve"> is one protein-ligand pair in a training or test set, the unit of Table 3.3 and of the predictor-quality tables of Chapters IV, V and VIII; a </w:t>
      </w:r>
      <w:r>
        <w:rPr>
          <w:rFonts w:ascii="Times New Roman" w:hAnsi="Times New Roman" w:eastAsia="Times New Roman"/>
          <w:b w:val="0"/>
          <w:i/>
          <w:sz w:val="24"/>
        </w:rPr>
        <w:t>pocket</w:t>
      </w:r>
      <w:r>
        <w:rPr>
          <w:rFonts w:ascii="Times New Roman" w:hAnsi="Times New Roman" w:eastAsia="Times New Roman"/>
          <w:b w:val="0"/>
          <w:i w:val="0"/>
          <w:sz w:val="24"/>
        </w:rPr>
        <w:t xml:space="preserve"> or </w:t>
      </w:r>
      <w:r>
        <w:rPr>
          <w:rFonts w:ascii="Times New Roman" w:hAnsi="Times New Roman" w:eastAsia="Times New Roman"/>
          <w:b w:val="0"/>
          <w:i/>
          <w:sz w:val="24"/>
        </w:rPr>
        <w:t>target</w:t>
      </w:r>
      <w:r>
        <w:rPr>
          <w:rFonts w:ascii="Times New Roman" w:hAnsi="Times New Roman" w:eastAsia="Times New Roman"/>
          <w:b w:val="0"/>
          <w:i w:val="0"/>
          <w:sz w:val="24"/>
        </w:rPr>
        <w:t xml:space="preserve"> is one protein binding site, the unit that a KS test or a target-clustered bootstrap resamples, and is the appropriate independent unit whenever several complexes or molecules of the same pocket are compared, because within-pocket observations share the receptor and are not independent; a </w:t>
      </w:r>
      <w:r>
        <w:rPr>
          <w:rFonts w:ascii="Times New Roman" w:hAnsi="Times New Roman" w:eastAsia="Times New Roman"/>
          <w:b w:val="0"/>
          <w:i/>
          <w:sz w:val="24"/>
        </w:rPr>
        <w:t>seed</w:t>
      </w:r>
      <w:r>
        <w:rPr>
          <w:rFonts w:ascii="Times New Roman" w:hAnsi="Times New Roman" w:eastAsia="Times New Roman"/>
          <w:b w:val="0"/>
          <w:i w:val="0"/>
          <w:sz w:val="24"/>
        </w:rPr>
        <w:t xml:space="preserve"> indexes one full, independent repetition of a stochastic procedure (sampling, or training) with different random initialisation, and is the unit that bounds the variance not captured by resampling a fixed set of results; and a </w:t>
      </w:r>
      <w:r>
        <w:rPr>
          <w:rFonts w:ascii="Times New Roman" w:hAnsi="Times New Roman" w:eastAsia="Times New Roman"/>
          <w:b w:val="0"/>
          <w:i/>
          <w:sz w:val="24"/>
        </w:rPr>
        <w:t>statistical comparison</w:t>
      </w:r>
      <w:r>
        <w:rPr>
          <w:rFonts w:ascii="Times New Roman" w:hAnsi="Times New Roman" w:eastAsia="Times New Roman"/>
          <w:b w:val="0"/>
          <w:i w:val="0"/>
          <w:sz w:val="24"/>
        </w:rPr>
        <w:t xml:space="preserve"> (a row of Table C.1, for example) is one test, the unit that a multiple-comparison correction is applied across. Table 3.6 states, for every route, which of these levels was treated as the independent replication unit for its primary test, and how many seeds were used.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3.6</w:t>
        <w:tab/>
        <w:t>Unit of analysis and seed count,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Statistical / replication unit</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Molecules or complexes per unit</w:t>
            </w:r>
          </w:p>
        </w:tc>
        <w:tc>
          <w:tcPr>
            <w:tcW w:type="dxa" w:w="2170"/>
            <w:shd w:val="clear" w:fill="E7E9EE"/>
          </w:tcPr>
          <w:p>
            <w:pPr>
              <w:keepNext w:val="0"/>
              <w:keepLines w:val="0"/>
              <w:widowControl/>
              <w:spacing w:line="240" w:lineRule="auto" w:before="20" w:after="20"/>
              <w:jc w:val="center"/>
            </w:pPr>
            <w:r>
              <w:rPr>
                <w:rFonts w:ascii="Times New Roman" w:hAnsi="Times New Roman" w:eastAsia="Times New Roman"/>
                <w:b/>
                <w:i w:val="0"/>
                <w:sz w:val="20"/>
              </w:rPr>
              <w:t>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8–10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(strength sweeps); 3 (Task F)</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20 (exploratory); 29–30 (full tier)</w:t>
            </w:r>
          </w:p>
        </w:tc>
        <w:tc>
          <w:tcPr>
            <w:tcW w:type="dxa" w:w="2170"/>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20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Diagnostic (V.4, VII.4)</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Captured state (pocket × timestep × sample)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(144 states total)</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n/a (read-only probe, no training)</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~590 pool members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2 (combined per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(original); 30 (leakage-safe)</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Target (127 test targets; complexes within a target are not independent)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(predictor comparison, not generated molecules)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3 per arm (plus 2 extra EGNN 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Follow-up (App. 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Pocket (1 fixed); target (CDK6 unseen family; 835 for the AlphaFold side-check)</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(exploratory); 16–24 (confirmatory)</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tier)</w:t>
            </w:r>
          </w:p>
        </w:tc>
      </w:tr>
    </w:tbl>
    <w:p>
      <w:pPr>
        <w:keepNext w:val="0"/>
        <w:keepLines w:val="0"/>
        <w:widowControl/>
        <w:spacing w:line="240" w:lineRule="auto" w:before="80" w:after="0"/>
        <w:jc w:val="both"/>
      </w:pPr>
      <w:r>
        <w:rPr>
          <w:rFonts w:ascii="Times New Roman" w:hAnsi="Times New Roman" w:eastAsia="Times New Roman"/>
          <w:b w:val="0"/>
          <w:i w:val="0"/>
          <w:sz w:val="20"/>
        </w:rPr>
        <w:t>"n/a" marks a row for which the concept does not apply (the diagnostic captures states, not molecules; Track E compares predictors on an existing test set rather than molecules it generated). A single seed per λ-sweep does not mean a single molecule: it means the molecules within that sweep share one initial-noise draw per the paired design of Section III.6.2, while the sweep itself is not independently repeated.</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III.6.6</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3.4,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[50].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with 31 targets discarded for ligand contamination and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from a distinct protein family,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independent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independent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independent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Three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ligand-only baseline (0.20). Both statements rest on complex-level resampling, and Chapter VIII shows that target-level resampling widens the interval about eight times and makes the network indistinguishable from a two-feature linear baseline. Second, the size shortcut remained (correlation 0.72 with heavy-atom count). Third, and decisive for the rest of the thesis, repairing the predictor was necessary but not sufficient: with the repaired predictor as with the original one, guidance produced no detectable change in the independently computed docking score at any tested strength (a span of three orders of magnitude for the repaired predictor). Guidance also changed the predictor's own score only marginally, by 1 to 2%. Two questions followed: whether a differently constructed predictor or a differently constructed guidance mechanism could recover a signal (Chapter V), and whether the same predictor used without a gradient, as a ranker of finished molecules, would do better (Chapter VI).</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independent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[52] with hidden size 256, which produce an embedding for each protein and ligand atom. The output is the sum of pairwise energy terms between all ligand and protein atoms, as in PIGNet2 [34]: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to the independently computed docking score.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[22].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independently computed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was significant after the correction. The seeds agreed in direction for 14 of 15 pockets; the exception was SQHC (per-seed shifts +0.78 and −1.07), whose raw effect (−0.13, 95% CI −1.22 to +4.66) was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9" name="Picture 9"/>
            <wp:cNvGraphicFramePr>
              <a:graphicFrameLocks noChangeAspect="1"/>
            </wp:cNvGraphicFramePr>
            <a:graphic>
              <a:graphicData uri="http://schemas.openxmlformats.org/drawingml/2006/picture">
                <pic:pic>
                  <pic:nvPicPr>
                    <pic:cNvPr id="0" name="composite_binding_poses.png"/>
                    <pic:cNvPicPr/>
                  </pic:nvPicPr>
                  <pic:blipFill>
                    <a:blip r:embed="rId49"/>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independently computed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[43],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Independently Computed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independently computed RAscore of the finished molecules decreased (Table 7.1 and Figure 7.1A). At λ = 0.03 the own score was 29% higher and the independently computed score 53% lower than in the unguided run. Per molecule, 6 of 8 independently computed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187"/>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1978"/>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3066"/>
            <w:shd w:val="clear" w:fill="E7E9EE"/>
          </w:tcPr>
          <w:p>
            <w:pPr>
              <w:keepNext w:val="0"/>
              <w:keepLines w:val="0"/>
              <w:widowControl/>
              <w:spacing w:line="240" w:lineRule="auto" w:before="20" w:after="20"/>
              <w:jc w:val="center"/>
            </w:pPr>
            <w:r>
              <w:rPr>
                <w:rFonts w:ascii="Times New Roman" w:hAnsi="Times New Roman" w:eastAsia="Times New Roman"/>
                <w:b/>
                <w:i w:val="0"/>
                <w:sz w:val="20"/>
              </w:rPr>
              <w:t>Independently computed RA-score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306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independently computed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independently computed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on the same single pocket (BSD_ASPTE) with 30 molecules per value, the full 1,000 steps and a grid from 0 to 30 (Table 7.3). A KS test of the independently computed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189"/>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843"/>
            <w:shd w:val="clear" w:fill="E7E9EE"/>
          </w:tcPr>
          <w:p>
            <w:pPr>
              <w:keepNext w:val="0"/>
              <w:keepLines w:val="0"/>
              <w:widowControl/>
              <w:spacing w:line="240" w:lineRule="auto" w:before="20" w:after="20"/>
              <w:jc w:val="center"/>
            </w:pPr>
            <w:r>
              <w:rPr>
                <w:rFonts w:ascii="Times New Roman" w:hAnsi="Times New Roman" w:eastAsia="Times New Roman"/>
                <w:b/>
                <w:i w:val="0"/>
                <w:sz w:val="18"/>
              </w:rPr>
              <w:t>Independently computed RA-score</w:t>
            </w:r>
          </w:p>
        </w:tc>
        <w:tc>
          <w:tcPr>
            <w:tcW w:type="dxa" w:w="2259"/>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independently computed score (95% CI)</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0" name="Picture 10"/>
            <wp:cNvGraphicFramePr>
              <a:graphicFrameLocks noChangeAspect="1"/>
            </wp:cNvGraphicFramePr>
            <a:graphic>
              <a:graphicData uri="http://schemas.openxmlformats.org/drawingml/2006/picture">
                <pic:pic>
                  <pic:nvPicPr>
                    <pic:cNvPr id="0" name="fig_trackD.png"/>
                    <pic:cNvPicPr/>
                  </pic:nvPicPr>
                  <pic:blipFill>
                    <a:blip r:embed="rId54"/>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independently computed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an independently computed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independently computed RAscore was observed (the only higher mean, +1% at λ = 0.01 in the original design, was within the run-to-run noise); the guidance destroyed the connectivity of the molecules at λ ≥ 0.3; and in the exploratory design, a divergence of the own score and the independently computed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independently computed RAscore in the single pocket that was examined at adequate sample size, destroyed the connectivity of the molecules at strengths of 0.3 or more, and produced, in the exploratory design, a divergence of the predictor's own score from the independently computed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0"/>
          <w:headerReference w:type="first" r:id="rId51"/>
          <w:footerReference w:type="default" r:id="rId52"/>
          <w:footerReference w:type="first" r:id="rId5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[36], [47], [51].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[38],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1" name="Picture 11"/>
            <wp:cNvGraphicFramePr>
              <a:graphicFrameLocks noChangeAspect="1"/>
            </wp:cNvGraphicFramePr>
            <a:graphic>
              <a:graphicData uri="http://schemas.openxmlformats.org/drawingml/2006/picture">
                <pic:pic>
                  <pic:nvPicPr>
                    <pic:cNvPr id="0" name="fig_trackE_design.png"/>
                    <pic:cNvPicPr/>
                  </pic:nvPicPr>
                  <pic:blipFill>
                    <a:blip r:embed="rId59"/>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2" name="Picture 12"/>
            <wp:cNvGraphicFramePr>
              <a:graphicFrameLocks noChangeAspect="1"/>
            </wp:cNvGraphicFramePr>
            <a:graphic>
              <a:graphicData uri="http://schemas.openxmlformats.org/drawingml/2006/picture">
                <pic:pic>
                  <pic:nvPicPr>
                    <pic:cNvPr id="0" name="fig_vina_semantics.png"/>
                    <pic:cNvPicPr/>
                  </pic:nvPicPr>
                  <pic:blipFill>
                    <a:blip r:embed="rId60"/>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3" name="Picture 13"/>
            <wp:cNvGraphicFramePr>
              <a:graphicFrameLocks noChangeAspect="1"/>
            </wp:cNvGraphicFramePr>
            <a:graphic>
              <a:graphicData uri="http://schemas.openxmlformats.org/drawingml/2006/picture">
                <pic:pic>
                  <pic:nvPicPr>
                    <pic:cNvPr id="0" name="fig_plip_jitter.png"/>
                    <pic:cNvPicPr/>
                  </pic:nvPicPr>
                  <pic:blipFill>
                    <a:blip r:embed="rId61"/>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4" name="Picture 14"/>
            <wp:cNvGraphicFramePr>
              <a:graphicFrameLocks noChangeAspect="1"/>
            </wp:cNvGraphicFramePr>
            <a:graphic>
              <a:graphicData uri="http://schemas.openxmlformats.org/drawingml/2006/picture">
                <pic:pic>
                  <pic:nvPicPr>
                    <pic:cNvPr id="0" name="fig_trackE_r2.png"/>
                    <pic:cNvPicPr/>
                  </pic:nvPicPr>
                  <pic:blipFill>
                    <a:blip r:embed="rId6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5" name="Picture 15"/>
            <wp:cNvGraphicFramePr>
              <a:graphicFrameLocks noChangeAspect="1"/>
            </wp:cNvGraphicFramePr>
            <a:graphic>
              <a:graphicData uri="http://schemas.openxmlformats.org/drawingml/2006/picture">
                <pic:pic>
                  <pic:nvPicPr>
                    <pic:cNvPr id="0" name="fig_trackE_within_target.png"/>
                    <pic:cNvPicPr/>
                  </pic:nvPicPr>
                  <pic:blipFill>
                    <a:blip r:embed="rId6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tested delta-learning configuration (this backbone, this anchor, this loss, three seeds, the 127-target leakage-safe test set) was falsified against its pre-registered criterion at the evaluated scale, not delta-learning as a general methodology, which other backbones and feature sets have been reported to use successfully elsewhere (Section II.6) and which Section VIII.7 returns to explicitly.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6" name="Picture 16"/>
            <wp:cNvGraphicFramePr>
              <a:graphicFrameLocks noChangeAspect="1"/>
            </wp:cNvGraphicFramePr>
            <a:graphic>
              <a:graphicData uri="http://schemas.openxmlformats.org/drawingml/2006/picture">
                <pic:pic>
                  <pic:nvPicPr>
                    <pic:cNvPr id="0" name="fig_trackE_learnability.png"/>
                    <pic:cNvPicPr/>
                  </pic:nvPicPr>
                  <pic:blipFill>
                    <a:blip r:embed="rId6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[47], [51],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[57]), as co-generated diffusion outputs (BInD [28]), and as an auxiliary classification loss inside the generator's own denoiser (InterDiff [49]).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5"/>
          <w:headerReference w:type="first" r:id="rId56"/>
          <w:footerReference w:type="default" r:id="rId57"/>
          <w:footerReference w:type="first" r:id="rId5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Every route either failed its pre-declared correction (Tracks A, B and D; the baseline ablation) or produced an apparent gain that a size- or validity-normalised re-analysis invalidated (Track C) or a result significantly worse than a simple baseline (Track 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44"/>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effect on independent Vina Dock at any tested strength (20 pockets; 8 pockets, 3 strengths); fragmentation at large λ</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independently computed score in the exploratory design, not confirmed statistically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raw-score gain did not survive the size-normalised re-analysis of Chapter VI. A high fraction of significant comparisons is, in this one case, a measure of a confound surviving the correction, not a measure of successful molecular design; Figure 9.1's own caption states this explicitly for the same reason.</w:t>
      </w:r>
    </w:p>
    <w:p>
      <w:pPr>
        <w:keepNext w:val="0"/>
        <w:keepLines w:val="0"/>
        <w:widowControl/>
        <w:spacing w:line="480" w:lineRule="auto" w:before="0" w:after="0"/>
        <w:ind w:firstLine="720"/>
        <w:jc w:val="both"/>
      </w:pPr>
      <w:r>
        <w:rPr>
          <w:rFonts w:ascii="Times New Roman" w:hAnsi="Times New Roman" w:eastAsia="Times New Roman"/>
          <w:b w:val="0"/>
          <w:i w:val="0"/>
          <w:sz w:val="24"/>
        </w:rPr>
        <w:t>Table 9.2 restates the five main-thesis routes as a claim, its measured evidence, and the exact scope within which the claim holds, so that no claim in this thesis is read more broadly than its evidence supports.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9.2</w:t>
        <w:tab/>
        <w:t>Claim, evidence and scope, Tracks A to 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909"/>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Claim</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Measured evidence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Scope of the claim</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physics-anchored predictor of comparable quality does not rescue gradient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0/24 KS tests significant after BH correction; direction consistency fell from 89% to 67% between tiers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this predictor, this pocket set (8 pockets, n=29–30) and λ up to the validity ceiling; does not exclude a smaller effect below the ~1–1.4 kcal/mol detectable shift (Section V.1, Figure 9.2)</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Rescaling, reformulating or time-windowing the gradient on a fixed representation does not rescue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0/23 KS tests significant; one variant (B2) worse by median in 6/6 comparisons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the Stage 0 EGNN representation, 2–3 pockets, n=20; does not test a representation change (that is Track A)</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Non-gradient, post-hoc top-k selection does not produce a defensible improvement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Raw Vina Dock gain in 12/15 pockets; ligand efficiency worse in 14/15; PoseBusters pass rate down 29 points on average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top-10% selection from unguided pools by this ranker, 15 pockets; sensitivity analysis shows the raw effect weakens further at larger k; a size-controlled ranker was not tested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Gradient guidance toward synthesizability gives no supported gain</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0/5 KS tests significant at the powered scale; own-score/independent-score divergence reproduced in sign but not confirmed statistically</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Rests on one pocket at adequate power (the powered tier); the exploratory-design divergence is suggestive, not established, and the mechanism of the divergence is undiagnosed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residual (delta) training target, reconstructed against a Vina anchor, is worse than simple baselines on this backbone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E1 R²=0.117 (95% CI −0.197, 0.316), significantly below the Stage 0 EGNN, the linear baseline and the absolute-target control on the same backbone, by a pre-registered test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Bounded to this architecture, training budget, three seeds, the 127-target leakage-safe test set and the cross-docked label regime (Section VIII.7); does not generalise to delta-learning with other backbones or hand-built features</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7" name="Picture 17"/>
            <wp:cNvGraphicFramePr>
              <a:graphicFrameLocks noChangeAspect="1"/>
            </wp:cNvGraphicFramePr>
            <a:graphic>
              <a:graphicData uri="http://schemas.openxmlformats.org/drawingml/2006/picture">
                <pic:pic>
                  <pic:nvPicPr>
                    <pic:cNvPr id="0" name="fig_overview_significance.png"/>
                    <pic:cNvPicPr/>
                  </pic:nvPicPr>
                  <pic:blipFill>
                    <a:blip r:embed="rId6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Predictor quality is not guidance usefulness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conceptual point runs through every route of this thesis and is stated here explicitly because it is easy to miss when each result is read on its own: a predictor that is accurate on a held-out test set does not thereby imply that its gradient, or its score, is useful for steering a generator. The two quantities were measured separately throughout, and they dissociate. The clearest demonstration is post-synthesis: of the eight further checkpoints of Appendix E, the one with the best predictive quality of any variant tried (ESM2-augmented EGNN, Pearson 0.731, Appendix E.2.3) and the one trained with the entire target protein family held out of training (R² = 0.507 on that unseen family, Appendix E.3.2) both still show a null, independently computed docking effect under the same correction as every other checkpoint. Within the main thesis, the same dissociation is visible in the other direction: the two-feature linear baseline and the repaired EGNN were statistically indistinguishable on the LP test set (Chapter IV), yet neither produced a detectable gradient effect, and the ranker of Chapter VI produced its one large, statistically decisive effect precisely because its moderately accurate predictor's score was dominated by a ligand-side property (size) that a generator can trivially exploit, which is a case of a predictor being </w:t>
      </w:r>
      <w:r>
        <w:rPr>
          <w:rFonts w:ascii="Times New Roman" w:hAnsi="Times New Roman" w:eastAsia="Times New Roman"/>
          <w:b w:val="0"/>
          <w:i/>
          <w:sz w:val="24"/>
        </w:rPr>
        <w:t>too</w:t>
      </w:r>
      <w:r>
        <w:rPr>
          <w:rFonts w:ascii="Times New Roman" w:hAnsi="Times New Roman" w:eastAsia="Times New Roman"/>
          <w:b w:val="0"/>
          <w:i w:val="0"/>
          <w:sz w:val="24"/>
        </w:rPr>
        <w:t xml:space="preserve"> usable for the wrong reason. Accuracy on the held-out prediction task and usefulness as a steering signal are different properties, tested by different protocols (Section III.6.1 and III.6.3), and this thesis finds them uncorrelated across every architecture, training recipe and representation tried.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(ii) Selection by the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ranker route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is, however, indirect: the two failures have different measured signatures, and the earlier project summaries that stated that the size confound was the root cause of both were not supported by the data. The gradient is not correlated with heaviness in the direction that a size shortcut would predict (Section V.4); the ranker's selection is dominated by size (Chapter VI).</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[22].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18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IX.2.4</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8" name="Picture 18"/>
            <wp:cNvGraphicFramePr>
              <a:graphicFrameLocks noChangeAspect="1"/>
            </wp:cNvGraphicFramePr>
            <a:graphic>
              <a:graphicData uri="http://schemas.openxmlformats.org/drawingml/2006/picture">
                <pic:pic>
                  <pic:nvPicPr>
                    <pic:cNvPr id="0" name="fig_power_curve.png"/>
                    <pic:cNvPicPr/>
                  </pic:nvPicPr>
                  <pic:blipFill>
                    <a:blip r:embed="rId7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9" name="Picture 19"/>
            <wp:cNvGraphicFramePr>
              <a:graphicFrameLocks noChangeAspect="1"/>
            </wp:cNvGraphicFramePr>
            <a:graphic>
              <a:graphicData uri="http://schemas.openxmlformats.org/drawingml/2006/picture">
                <pic:pic>
                  <pic:nvPicPr>
                    <pic:cNvPr id="0" name="fig_scale_by_track.png"/>
                    <pic:cNvPicPr/>
                  </pic:nvPicPr>
                  <pic:blipFill>
                    <a:blip r:embed="rId7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[50];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[50]; Chapter VI shows the mechanism in an isolated setting, a ranker whose selection is dominated by size, although the observation of that study concerned evaluation and not gradient guidance. Second, learned affinity predictors are sensitive to leakage and to ligand-only shortcuts [19], [30], [46]; the size correlation of 0.64 to 0.72 of the predictors and the match between a ligand-only baseline and the network on the old split are instances. Third, the mismatch between clean training inputs and noisy intermediate inputs has been reported to degrade guidance-like priors [22].</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[28], [49], [57],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four checks that can be made cheaply before a costly sampling study: (i) evaluate the predictor with a target-disjoint split and target-clustered intervals; (ii) test its output against ligand size and against ligand-only baselines; (iii) measure the direction of its gradient against pocket-contact proximity on captured mid-trajectory states, a diagnostic that took about 20 minutes in this work; and (iv) evaluate any docking gain after normalising by size and with a validity check, since both the raw gain and the loss of validity were visible in the same data.</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w:t>
      </w:r>
    </w:p>
    <w:p>
      <w:pPr>
        <w:sectPr>
          <w:headerReference w:type="default" r:id="rId65"/>
          <w:headerReference w:type="first" r:id="rId66"/>
          <w:footerReference w:type="default" r:id="rId67"/>
          <w:footerReference w:type="first" r:id="rId6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independently computed evaluation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independently computed RAscore, with corrected statistics,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what follows should be stated before the individual conclusions are: this thesis does not establish that learned guidance fails in general. It establishes that the tested configurations did not produce defensible improvements under the specified generator, data regime, guidance mechanism, predictors, evaluation proxies and computational budget. A different generator, a noise-aware predictor, a gradient that is propagated through the denoiser, or a larger compute budget are all outside what was tested, and Appendix E reports which of these untested directions were in fact pursued afterward and what they changed (none of the eight further checkpoints altered the conclusion below, which is additional evidence for it, not a revision of it).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failures were not attributable to low predictor accuracy: the predictors reached Pearson correlations of 0.58 to 0.65 on leakage-safe test sets.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were artefacts.</w:t>
      </w:r>
      <w:r>
        <w:rPr>
          <w:rFonts w:ascii="Times New Roman" w:hAnsi="Times New Roman" w:eastAsia="Times New Roman"/>
          <w:b w:val="0"/>
          <w:i w:val="0"/>
          <w:sz w:val="24"/>
        </w:rPr>
        <w:t xml:space="preserve"> The only large and consistent effect,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Two measured properties of the predictors and their gradients were consistent with the failures.</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gradient magnitude increased, on average, with distance from the atoms most likely to form binding contacts. The synthesizability gradient was not explained by three simple proxies. These are correlational findings, and their explanatory role is a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ligand-only baseline (R² 0.20) that was not tested pairwise with target-level resampling.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(iii)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(iv)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Laptop GPU (4,096 MiB; driver 595.91.07), a 20-thread CPU and 31 GB of RAM, under Linux. The guidance experiments were run in a separate conda environment (`drugdisc`), pinned in Table A.1. The actual guidance environment is captured in `guidance/thesis/environment_actual.yml` (a full `conda env export`, 166 conda-level packages) and `guidance/thesis/requirements-lock.txt` (`pip freeze`, 130 pip-installed packages, including the 119 third-party packages conda cannot itself lock); both were generated directly from the running `drugdisc` environment during this audit (2026-10-03T16:33:24Z UTC) and are tracked in the repository alongside this document. This supersedes the originally tracked `environment.yaml`, which documents the original TargetDiff repository's own setup (Python 3.8, PyTorch 1.13.1) and does not reproduce the environment the guidance code actually ran in; that file is retained for provenance, not as a build instruction for the guidance code. No environment specification was captured at the time any individual experiment was run, so `environment_actual.yml` and `requirements-lock.txt` document the environment retrospectively, as of the audit date above, rather than at each experiment's own run time; the version pins in Table A.1 were, however, stable across this project's working period and no dependency was knowingly upgraded between experiments.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Exact package versions of the `drugdisc` environment, as actually installed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568"/>
            <w:shd w:val="clear" w:fill="E7E9EE"/>
          </w:tcPr>
          <w:p>
            <w:pPr>
              <w:keepNext w:val="0"/>
              <w:keepLines w:val="0"/>
              <w:widowControl/>
              <w:spacing w:line="240" w:lineRule="auto" w:before="20" w:after="20"/>
              <w:jc w:val="center"/>
            </w:pPr>
            <w:r>
              <w:rPr>
                <w:rFonts w:ascii="Times New Roman" w:hAnsi="Times New Roman" w:eastAsia="Times New Roman"/>
                <w:b/>
                <w:i w:val="0"/>
                <w:sz w:val="20"/>
              </w:rPr>
              <w:t>Package</w:t>
            </w:r>
          </w:p>
        </w:tc>
        <w:tc>
          <w:tcPr>
            <w:tcW w:type="dxa" w:w="5741"/>
            <w:shd w:val="clear" w:fill="E7E9EE"/>
          </w:tcPr>
          <w:p>
            <w:pPr>
              <w:keepNext w:val="0"/>
              <w:keepLines w:val="0"/>
              <w:widowControl/>
              <w:spacing w:line="240" w:lineRule="auto" w:before="20" w:after="20"/>
              <w:jc w:val="center"/>
            </w:pPr>
            <w:r>
              <w:rPr>
                <w:rFonts w:ascii="Times New Roman" w:hAnsi="Times New Roman" w:eastAsia="Times New Roman"/>
                <w:b/>
                <w:i w:val="0"/>
                <w:sz w:val="20"/>
              </w:rPr>
              <w:t>Version</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Python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3.10.21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2.5.1 (CUDA 12.1)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 Geometric</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2.8.0.post1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RDKit</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2026.03.5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NumPy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2.2.6</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1.15.3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scikit-learn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1.7.2</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pandas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LMDB</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2.3.0</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PoseBusters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AutoDock Vina</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1.2.6 (binary reports "7ac2999-mod"; the Python module attribute reports 1.2.5)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Meeko</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0.1.dev3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PLIP</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3.0.1</w:t>
            </w:r>
          </w:p>
        </w:tc>
      </w:tr>
    </w:tbl>
    <w:p>
      <w:pPr>
        <w:keepNext w:val="0"/>
        <w:keepLines w:val="0"/>
        <w:widowControl/>
        <w:spacing w:line="240" w:lineRule="auto" w:before="80" w:after="0"/>
        <w:jc w:val="both"/>
      </w:pPr>
      <w:r>
        <w:rPr>
          <w:rFonts w:ascii="Times New Roman" w:hAnsi="Times New Roman" w:eastAsia="Times New Roman"/>
          <w:b w:val="0"/>
          <w:i w:val="0"/>
          <w:sz w:val="20"/>
        </w:rPr>
        <w:t>Captured by directly querying the installed packages (`import x; x.__version__`) in the running environment at the time of this audit, not transcribed from documentation or memory.</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Exact Identifiers for Reproduction</w:t>
      </w:r>
    </w:p>
    <w:p>
      <w:pPr>
        <w:keepNext w:val="0"/>
        <w:keepLines w:val="0"/>
        <w:widowControl/>
        <w:spacing w:line="480" w:lineRule="auto" w:before="0" w:after="0"/>
        <w:ind w:firstLine="720"/>
        <w:jc w:val="both"/>
      </w:pPr>
      <w:r>
        <w:rPr>
          <w:rFonts w:ascii="Times New Roman" w:hAnsi="Times New Roman" w:eastAsia="Times New Roman"/>
          <w:b w:val="0"/>
          <w:i w:val="0"/>
          <w:sz w:val="24"/>
        </w:rPr>
        <w:t>Table A.2 records the identifiers needed to recover the exact code, data and frozen model used, as SHA-256 checksums computed directly from the files on disk. The checkpoint-selection timestamps embedded in each training run's directory name (for example `crossdocked_affinity_egnn_2026_10_01__23_54_19_vinatarget`) serve as the identifier for the 8 further checkpoints of Appendix E and are not repeated individually here; they are listed in full in each checkpoint's own finding document (Appendix E's artefact lists).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A.2</w:t>
        <w:tab/>
        <w:t>Checksums and identifiers of the principal frozen artefacts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Identifier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Repository commit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Frozen TargetDiff diffusion checkpoint (`pretrained_models/pretrained_diffusion.pt`)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`8977821339ba31b7103b46835ef4ddbf7f15f3f2efc5cb1f2a405e7905b09db6`</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Reference EGNN checkpoint, PDBBind v2016 (`pretrained_models/egnn_pdbbind_v2016.pt`)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`1cd74eb55043bf788ac29186e56905b6a645a9d4722b03b97482ffb6f36970df`</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original split (`guidance_models/affinity_egnn.pt`)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`006808e6461f72156e2021cbbe034ac1cb9568942b857d8e9d1c414530753447`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leakage-safe split (`guidance_models/affinity_egnn_lpsplit.pt`)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`a76d254a921c9e00d0a6409cad5006952e2308059ce3a0a602bd86ec1bb297a7`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Classifier head, B2 (`guidance_models/classifier_head.pt`)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`46caa0d864b99e8e7968baec50293638ee447d69e9279c5b6d31502b26aa9fd9`</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SynthPredNet (`guidance_models/synth_ra_score.pt`)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`e79c12fa2696a5e99df835e35f11ab59407338ef2d94f521ecddb591f7fa844a`</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 (`data/crossdocked_v1.1_rmsd1.0_pocket10_processed_final.lmdb`, 3.8 GB)</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`376679dd1516e855f1cdd89bef2e25995958b77695cd63a88a26ec02a1d3b591`</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Affinity annotation file (`data/affinity_info.pkl`)</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`2f99f361f77f41a6e0252aa2692470a4d433eeef169aac5ff129caf79e050cf9`</w:t>
            </w:r>
          </w:p>
        </w:tc>
      </w:tr>
    </w:tbl>
    <w:p>
      <w:pPr>
        <w:keepNext w:val="0"/>
        <w:keepLines w:val="0"/>
        <w:widowControl/>
        <w:spacing w:line="240" w:lineRule="auto" w:before="80" w:after="0"/>
        <w:jc w:val="both"/>
      </w:pPr>
      <w:r>
        <w:rPr>
          <w:rFonts w:ascii="Times New Roman" w:hAnsi="Times New Roman" w:eastAsia="Times New Roman"/>
          <w:b w:val="0"/>
          <w:i w:val="0"/>
          <w:sz w:val="20"/>
        </w:rPr>
        <w:t>All checksums were computed directly from the files on disk at the time of this audit (`sha256sum`), not copied from an external record.</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Reproducibility Checklist</w:t>
      </w:r>
    </w:p>
    <w:p>
      <w:pPr>
        <w:keepNext w:val="0"/>
        <w:keepLines w:val="0"/>
        <w:widowControl/>
        <w:spacing w:line="480" w:lineRule="auto" w:before="0" w:after="0"/>
        <w:ind w:firstLine="720"/>
        <w:jc w:val="both"/>
      </w:pPr>
      <w:r>
        <w:rPr>
          <w:rFonts w:ascii="Times New Roman" w:hAnsi="Times New Roman" w:eastAsia="Times New Roman"/>
          <w:b w:val="0"/>
          <w:i w:val="0"/>
          <w:sz w:val="24"/>
        </w:rPr>
        <w:t>Table A.3 is a status checklist, not a promise: an item is marked verified only where this project actually checked it, in the sense stated in its own row, and unverified items are disclosed rather than assumed.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A.3</w:t>
        <w:tab/>
        <w:t>Reproducibility checklist, marked only where actually verified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Item</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Status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Package versions pinned and recorded (Table A.1)</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read directly from the running environment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Git commit of the code that produced the results in this document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Dataset and checkpoint identifiers (Table A.2)</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SHA-256 of the files actually used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Random seeds recorded per run</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sampling/docking jobs (one result directory per condition/pocket/seed) and per-seed training runs (Appendix D, Section VIII.7); not every exploratory-tier ablation logged its seed individually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Headline numbers re-derivable from raw result files by a saved analysis script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the checkpoints and results re-derived during this thesis-revision audit (Section A.5); not independently re-run for every number in Chapters IV to VIII</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Full pipeline (data preparation → training → sampling → docking → statistics) re-executable from a clean checkout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Not verified in this pass: this would require re-running multi-hour training and sampling jobs on the project's single 4 GB GPU, which was not repeated for this audit. The code paths and commands are documented (Table A.4, Section A.5) but an independent clean-room run was not performed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Environment specification file matching the actual guidance environment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`guidance/thesis/environment_actual.yml` and `guidance/thesis/requirements-lock.txt`, generated directly from the running environment (Section A.1); captured retrospectively during this audit, not at each experiment's own run time</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A.4</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A.4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A.4</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A.5</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independent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POST-SYNTHESIS FOLLOW-UP: TESTING THE DIAGNOSED MECHANISM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appendix is, in the terms of Section III.1.1, an </w:t>
      </w:r>
      <w:r>
        <w:rPr>
          <w:rFonts w:ascii="Times New Roman" w:hAnsi="Times New Roman" w:eastAsia="Times New Roman"/>
          <w:b w:val="0"/>
          <w:i/>
          <w:sz w:val="24"/>
        </w:rPr>
        <w:t>Appendix E follow-up</w:t>
      </w:r>
      <w:r>
        <w:rPr>
          <w:rFonts w:ascii="Times New Roman" w:hAnsi="Times New Roman" w:eastAsia="Times New Roman"/>
          <w:b w:val="0"/>
          <w:i w:val="0"/>
          <w:sz w:val="24"/>
        </w:rPr>
        <w:t>: every analysis below was conducted after Chapter IX's synthesis had already been written and frozen, and none of it was pre-registered. It is not part of the decision sequence of Tracks A to E (Chapters IV to VIII), it was not subject to the standing two-independent-routes rule or to any frozen stopping rule, and no verdict here revises a verdict already reached in Chapters IV to X. It follows this project's general exploratory-then-confirmatory working discipline (Section III.6.1) and the same corrected-statistics standard as the rest of the thesis, but its status is additional evidence for the main synthesis, not a continuation of the main synthesis's own pre-declared design.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IX.2.3)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independently computed docking comparison of this appendix with the pool of Chapter IX into a single correction. All checkpoints were trained on the same leakage-safe split as Chapter IV (Section III.3), and every independently computed 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20" name="Picture 20"/>
            <wp:cNvGraphicFramePr>
              <a:graphicFrameLocks noChangeAspect="1"/>
            </wp:cNvGraphicFramePr>
            <a:graphic>
              <a:graphicData uri="http://schemas.openxmlformats.org/drawingml/2006/picture">
                <pic:pic>
                  <pic:nvPicPr>
                    <pic:cNvPr id="0" name="meta_summary_all_routes.png"/>
                    <pic:cNvPicPr/>
                  </pic:nvPicPr>
                  <pic:blipFill>
                    <a:blip r:embed="rId100"/>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independent Vina Dock and PoseBusters) gave 0/16 comparisons significant after Benjamini–Hochberg correction [4] (minimum raw p = 0.031, minimum corrected p = 0.489), a result reported in full in Table E.7.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the independently computed docking score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independently computed 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[31] to the Stage 0 EGNN, trained on the Vina-target recipe. This produced the best predictive quality and the best diagnostic of any variant that was not told, by construction, to optimise that diagnostic (Table E.1, Table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21" name="Picture 21"/>
            <wp:cNvGraphicFramePr>
              <a:graphicFrameLocks noChangeAspect="1"/>
            </wp:cNvGraphicFramePr>
            <a:graphic>
              <a:graphicData uri="http://schemas.openxmlformats.org/drawingml/2006/picture">
                <pic:pic>
                  <pic:nvPicPr>
                    <pic:cNvPr id="0" name="fig1_predictive_quality.png"/>
                    <pic:cNvPicPr/>
                  </pic:nvPicPr>
                  <pic:blipFill>
                    <a:blip r:embed="rId101"/>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independently computed 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E.3</w:t>
        <w:tab/>
        <w:t>ESM2 checkpoint, exploratory (n=8) versus confirmatory (n=24) independently computed 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22" name="Picture 22"/>
            <wp:cNvGraphicFramePr>
              <a:graphicFrameLocks noChangeAspect="1"/>
            </wp:cNvGraphicFramePr>
            <a:graphic>
              <a:graphicData uri="http://schemas.openxmlformats.org/drawingml/2006/picture">
                <pic:pic>
                  <pic:nvPicPr>
                    <pic:cNvPr id="0" name="fig4_dose_response.png"/>
                    <pic:cNvPicPr/>
                  </pic:nvPicPr>
                  <pic:blipFill>
                    <a:blip r:embed="rId102"/>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23" name="Picture 23"/>
            <wp:cNvGraphicFramePr>
              <a:graphicFrameLocks noChangeAspect="1"/>
            </wp:cNvGraphicFramePr>
            <a:graphic>
              <a:graphicData uri="http://schemas.openxmlformats.org/drawingml/2006/picture">
                <pic:pic>
                  <pic:nvPicPr>
                    <pic:cNvPr id="0" name="fig2_diag1_dissociation.png"/>
                    <pic:cNvPicPr/>
                  </pic:nvPicPr>
                  <pic:blipFill>
                    <a:blip r:embed="rId103"/>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after eleven independently-trained checkpoints showed the same null pattern stacks all four interventions above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independently computed 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an independently computed docking effect that survives correction.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real chemistry,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docking test to this point asks whether the raw Vina Dock score moves. A different, closely related question is whether guidance changes the number of real, geometrically detected protein–ligand interactions a pose actually forms — hydrogen bonds, hydrophobic contacts, π-stacking and salt bridges, counted by the Protein–Ligand Interaction Profiler (PLIP) [1], [38] on the same Vina-docked poses used throughout this appendix. This matters specifically against one alternative explanation for the overall null pattern: that Vina Dock is a misleading proxy hiding a real, chemistry-level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independently computed docking result) showed the same null at both the score and the interaction level (n = 8, λ ∈ {1.0, 10.0}, no comparison significant in either direction). Neither checkpoint tested — the one that came closest to a defensible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24" name="Picture 24"/>
            <wp:cNvGraphicFramePr>
              <a:graphicFrameLocks noChangeAspect="1"/>
            </wp:cNvGraphicFramePr>
            <a:graphic>
              <a:graphicData uri="http://schemas.openxmlformats.org/drawingml/2006/picture">
                <pic:pic>
                  <pic:nvPicPr>
                    <pic:cNvPr id="0" name="fig9_plip_signal_reversal.png"/>
                    <pic:cNvPicPr/>
                  </pic:nvPicPr>
                  <pic:blipFill>
                    <a:blip r:embed="rId104"/>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[33], was removed entirely — 53 targets (8,880 entries) moved to test, with no kinase-family target appearing anywhere in training or validation.</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The diagnostic was healthier too, and for the first time on a non-forced checkpoint reached significance in the correct direction without any auxiliary loss asking it to: −0.086 (95% CI [−0.136, −0.037]), against the familiar-distribution checkpoint's wrongly signed +0.047 (Table E.2). The independently computed 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25" name="Picture 25"/>
            <wp:cNvGraphicFramePr>
              <a:graphicFrameLocks noChangeAspect="1"/>
            </wp:cNvGraphicFramePr>
            <a:graphic>
              <a:graphicData uri="http://schemas.openxmlformats.org/drawingml/2006/picture">
                <pic:pic>
                  <pic:nvPicPr>
                    <pic:cNvPr id="0" name="fig7_family_holdout_quality.png"/>
                    <pic:cNvPicPr/>
                  </pic:nvPicPr>
                  <pic:blipFill>
                    <a:blip r:embed="rId105"/>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[24], [45]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26" name="Picture 26"/>
            <wp:cNvGraphicFramePr>
              <a:graphicFrameLocks noChangeAspect="1"/>
            </wp:cNvGraphicFramePr>
            <a:graphic>
              <a:graphicData uri="http://schemas.openxmlformats.org/drawingml/2006/picture">
                <pic:pic>
                  <pic:nvPicPr>
                    <pic:cNvPr id="0" name="fig5_alphafold_plddt_rmsd.png"/>
                    <pic:cNvPicPr/>
                  </pic:nvPicPr>
                  <pic:blipFill>
                    <a:blip r:embed="rId106"/>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27" name="Picture 27"/>
            <wp:cNvGraphicFramePr>
              <a:graphicFrameLocks noChangeAspect="1"/>
            </wp:cNvGraphicFramePr>
            <a:graphic>
              <a:graphicData uri="http://schemas.openxmlformats.org/drawingml/2006/picture">
                <pic:pic>
                  <pic:nvPicPr>
                    <pic:cNvPr id="0" name="fig6_pocket_vs_global_plddt.png"/>
                    <pic:cNvPicPr/>
                  </pic:nvPicPr>
                  <pic:blipFill>
                    <a:blip r:embed="rId107"/>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independently computed 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The diagnostic was healthy but did not improve on the whole-protein version: the distance correlation kept the correct sign but lost significance (−0.026, 95% CI [−0.069, 0.017], against the whole-protein version's significant −0.072; Table E.2). The independently computed 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[54],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independently computed 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28" name="Picture 28"/>
            <wp:cNvGraphicFramePr>
              <a:graphicFrameLocks noChangeAspect="1"/>
            </wp:cNvGraphicFramePr>
            <a:graphic>
              <a:graphicData uri="http://schemas.openxmlformats.org/drawingml/2006/picture">
                <pic:pic>
                  <pic:nvPicPr>
                    <pic:cNvPr id="0" name="fig8_chembl_crossvalidation.png"/>
                    <pic:cNvPicPr/>
                  </pic:nvPicPr>
                  <pic:blipFill>
                    <a:blip r:embed="rId108"/>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independently computed 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IX.2.3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ends two orders of magnitude below the raw nudge sum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E.6</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E.6, Figure E.10).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29" name="Picture 29"/>
            <wp:cNvGraphicFramePr>
              <a:graphicFrameLocks noChangeAspect="1"/>
            </wp:cNvGraphicFramePr>
            <a:graphic>
              <a:graphicData uri="http://schemas.openxmlformats.org/drawingml/2006/picture">
                <pic:pic>
                  <pic:nvPicPr>
                    <pic:cNvPr id="0" name="trace_gap_plot.png"/>
                    <pic:cNvPicPr/>
                  </pic:nvPicPr>
                  <pic:blipFill>
                    <a:blip r:embed="rId109"/>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E.6. Only as the schedule's posterior variance shrinks toward the end does the same-sized nudge's relative contribution grow enough to produce a measurable, compounding effect — consistent with the late-trajectory acceleration observed. The nudge is not actively cancelled by a corrective force at each step; it is mostly drowned out by noise the model would add regardless of guidance, with only a small residual surviving to compound. This directly supports hypothesis (c) of Section IX.2.3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(at most 0.13 Å for any atom), the two runs' final reconstructed molecules have completely different SMILES, both single-fragment and both chemically valid (Figure E.11).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E.6 measures — a "butterfly effect" specific to discrete sampling, not evidence that the position-level effect was itself large. The specific step at which the type-sampling decision flips was not isolated, and this detail is flagged as open rather than claimed as settled.</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30" name="Picture 30"/>
            <wp:cNvGraphicFramePr>
              <a:graphicFrameLocks noChangeAspect="1"/>
            </wp:cNvGraphicFramePr>
            <a:graphic>
              <a:graphicData uri="http://schemas.openxmlformats.org/drawingml/2006/picture">
                <pic:pic>
                  <pic:nvPicPr>
                    <pic:cNvPr id="0" name="trace_molecules_2d.png"/>
                    <pic:cNvPicPr/>
                  </pic:nvPicPr>
                  <pic:blipFill>
                    <a:blip r:embed="rId110"/>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1" name="Picture 31"/>
            <wp:cNvGraphicFramePr>
              <a:graphicFrameLocks noChangeAspect="1"/>
            </wp:cNvGraphicFramePr>
            <a:graphic>
              <a:graphicData uri="http://schemas.openxmlformats.org/drawingml/2006/picture">
                <pic:pic>
                  <pic:nvPicPr>
                    <pic:cNvPr id="0" name="trace_unguided.png"/>
                    <pic:cNvPicPr/>
                  </pic:nvPicPr>
                  <pic:blipFill>
                    <a:blip r:embed="rId111"/>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The unguided (λ=0) molecule of the paired trace, docked into its pocket (PDB 1h36) and rendered with its hydrogen-bond partners. Renders the same molecule referenced in Figure E.11 and Table E.6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2" name="Picture 32"/>
            <wp:cNvGraphicFramePr>
              <a:graphicFrameLocks noChangeAspect="1"/>
            </wp:cNvGraphicFramePr>
            <a:graphic>
              <a:graphicData uri="http://schemas.openxmlformats.org/drawingml/2006/picture">
                <pic:pic>
                  <pic:nvPicPr>
                    <pic:cNvPr id="0" name="trace_guided.png"/>
                    <pic:cNvPicPr/>
                  </pic:nvPicPr>
                  <pic:blipFill>
                    <a:blip r:embed="rId112"/>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Vina Dock comparison of this appendix was pooled with the comparisons already reported (one outcome variable per pool; the PLIP interaction-count tests of Section E.3.1 measure a different quantity and are reported on their own terms there, not pooled here). Table E.7 lists every source.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E.7</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independent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E.14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33" name="Picture 33"/>
            <wp:cNvGraphicFramePr>
              <a:graphicFrameLocks noChangeAspect="1"/>
            </wp:cNvGraphicFramePr>
            <a:graphic>
              <a:graphicData uri="http://schemas.openxmlformats.org/drawingml/2006/picture">
                <pic:pic>
                  <pic:nvPicPr>
                    <pic:cNvPr id="0" name="fig3_pooled_forest.png"/>
                    <pic:cNvPicPr/>
                  </pic:nvPicPr>
                  <pic:blipFill>
                    <a:blip r:embed="rId113"/>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Effect size and 95% confidence interval of every one of the 48 pooled comparisons of Table E.7,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 real chemistry-level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sectPr w:rsidR="00FC693F" w:rsidRPr="0006063C" w:rsidSect="00034616">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7.xml"/><Relationship Id="rId53" Type="http://schemas.openxmlformats.org/officeDocument/2006/relationships/footer" Target="footer18.xml"/><Relationship Id="rId54" Type="http://schemas.openxmlformats.org/officeDocument/2006/relationships/image" Target="media/image10.png"/><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19.xml"/><Relationship Id="rId58" Type="http://schemas.openxmlformats.org/officeDocument/2006/relationships/footer" Target="footer20.xml"/><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header" Target="header22.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image" Target="media/image19.png"/><Relationship Id="rId72" Type="http://schemas.openxmlformats.org/officeDocument/2006/relationships/header" Target="header23.xml"/><Relationship Id="rId73" Type="http://schemas.openxmlformats.org/officeDocument/2006/relationships/header" Target="header24.xml"/><Relationship Id="rId74" Type="http://schemas.openxmlformats.org/officeDocument/2006/relationships/footer" Target="footer23.xml"/><Relationship Id="rId75" Type="http://schemas.openxmlformats.org/officeDocument/2006/relationships/footer" Target="footer24.xml"/><Relationship Id="rId76" Type="http://schemas.openxmlformats.org/officeDocument/2006/relationships/header" Target="header25.xml"/><Relationship Id="rId77" Type="http://schemas.openxmlformats.org/officeDocument/2006/relationships/header" Target="header26.xml"/><Relationship Id="rId78" Type="http://schemas.openxmlformats.org/officeDocument/2006/relationships/footer" Target="footer25.xml"/><Relationship Id="rId79" Type="http://schemas.openxmlformats.org/officeDocument/2006/relationships/footer" Target="footer26.xml"/><Relationship Id="rId80" Type="http://schemas.openxmlformats.org/officeDocument/2006/relationships/header" Target="header27.xml"/><Relationship Id="rId81" Type="http://schemas.openxmlformats.org/officeDocument/2006/relationships/header" Target="header28.xml"/><Relationship Id="rId82" Type="http://schemas.openxmlformats.org/officeDocument/2006/relationships/footer" Target="footer27.xml"/><Relationship Id="rId83" Type="http://schemas.openxmlformats.org/officeDocument/2006/relationships/footer" Target="footer28.xml"/><Relationship Id="rId84" Type="http://schemas.openxmlformats.org/officeDocument/2006/relationships/header" Target="header29.xml"/><Relationship Id="rId85" Type="http://schemas.openxmlformats.org/officeDocument/2006/relationships/header" Target="header30.xml"/><Relationship Id="rId86" Type="http://schemas.openxmlformats.org/officeDocument/2006/relationships/footer" Target="footer29.xml"/><Relationship Id="rId87" Type="http://schemas.openxmlformats.org/officeDocument/2006/relationships/footer" Target="footer30.xml"/><Relationship Id="rId88" Type="http://schemas.openxmlformats.org/officeDocument/2006/relationships/header" Target="header31.xml"/><Relationship Id="rId89" Type="http://schemas.openxmlformats.org/officeDocument/2006/relationships/header" Target="header32.xml"/><Relationship Id="rId90" Type="http://schemas.openxmlformats.org/officeDocument/2006/relationships/footer" Target="footer31.xml"/><Relationship Id="rId91" Type="http://schemas.openxmlformats.org/officeDocument/2006/relationships/footer" Target="footer32.xml"/><Relationship Id="rId92" Type="http://schemas.openxmlformats.org/officeDocument/2006/relationships/header" Target="header33.xml"/><Relationship Id="rId93" Type="http://schemas.openxmlformats.org/officeDocument/2006/relationships/header" Target="header34.xml"/><Relationship Id="rId94" Type="http://schemas.openxmlformats.org/officeDocument/2006/relationships/footer" Target="footer33.xml"/><Relationship Id="rId95" Type="http://schemas.openxmlformats.org/officeDocument/2006/relationships/footer" Target="footer34.xml"/><Relationship Id="rId96" Type="http://schemas.openxmlformats.org/officeDocument/2006/relationships/header" Target="header35.xml"/><Relationship Id="rId97" Type="http://schemas.openxmlformats.org/officeDocument/2006/relationships/header" Target="header36.xml"/><Relationship Id="rId98" Type="http://schemas.openxmlformats.org/officeDocument/2006/relationships/footer" Target="footer35.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image" Target="media/image21.png"/><Relationship Id="rId102" Type="http://schemas.openxmlformats.org/officeDocument/2006/relationships/image" Target="media/image22.png"/><Relationship Id="rId103" Type="http://schemas.openxmlformats.org/officeDocument/2006/relationships/image" Target="media/image23.png"/><Relationship Id="rId104" Type="http://schemas.openxmlformats.org/officeDocument/2006/relationships/image" Target="media/image24.png"/><Relationship Id="rId105" Type="http://schemas.openxmlformats.org/officeDocument/2006/relationships/image" Target="media/image25.png"/><Relationship Id="rId106" Type="http://schemas.openxmlformats.org/officeDocument/2006/relationships/image" Target="media/image26.png"/><Relationship Id="rId107" Type="http://schemas.openxmlformats.org/officeDocument/2006/relationships/image" Target="media/image27.png"/><Relationship Id="rId108" Type="http://schemas.openxmlformats.org/officeDocument/2006/relationships/image" Target="media/image28.png"/><Relationship Id="rId109" Type="http://schemas.openxmlformats.org/officeDocument/2006/relationships/image" Target="media/image29.png"/><Relationship Id="rId110" Type="http://schemas.openxmlformats.org/officeDocument/2006/relationships/image" Target="media/image30.png"/><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Coupled Affinity-Synthesizability Guidance for Target-Conditional Molecular Diffusion in Structure-Based Drug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