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“Coupled Affinity-Synthesizability Guidance for Target-Conditional Molecular Diffusion in Structure-Based Drug Design”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“Coupled Affinity-Synthesizability Guidance for Target-Conditional Molecular Diffusion in Structure-Based Drug Design”.</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Coupled Affinity-Synthesizability Guidance for Target-Conditional Molecular Diffusion in Structure-Based Drug Design</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independently computed evaluation outcomes rather than by the predictor's own score. A frozen TargetDiff model was guided by affinity and synthesizability predictors, and results were evaluated with AutoDock Vina docking, PoseBusters validity, ligand efficiency and the independently computed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improved the raw docking score in 12 of 15 pockets but worsened ligand efficiency in 14 of 15 (on average 12 more heavy atoms, and 29 percentage points lower PoseBusters validity). Synthesizability guidance gave no supported gain; in an exploratory design it raised the predictor's own score while lowering the independently computed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an audited methodology, and a documented negative result that locates where learned guidance signals fail.</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ix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xv</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Research Objectives and Experimental Map</w:t>
        <w:tab/>
        <w:t>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I.7</w:t>
        <w:tab/>
        <w:t>Organization of the Thesis</w:t>
        <w:tab/>
        <w:t>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12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Positioning and Research Gap</w:t>
        <w:tab/>
        <w:t>17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20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III.1.1</w:t>
        <w:tab/>
        <w:t>Pre-registration status of each route</w:t>
        <w:tab/>
        <w:t>22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28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28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What is shared and what is independent across a comparison</w:t>
        <w:tab/>
        <w:t>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Decision bands and negative controls</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III.6.4</w:t>
        <w:tab/>
        <w:t>A note on the wording of null results</w:t>
        <w:tab/>
        <w:t>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III.6.5</w:t>
        <w:tab/>
        <w:t>Units of analysis</w:t>
        <w:tab/>
        <w:t>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III.6.6</w:t>
        <w:tab/>
        <w:t>Target-clustered statistics for predictor comparisons</w:t>
        <w:tab/>
        <w:t>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38</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40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42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44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50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Summary of the Chapter</w:t>
        <w:tab/>
        <w:t>51</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55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58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66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68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68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68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69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70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70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71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74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75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76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Independently Computed Score</w:t>
        <w:tab/>
        <w:t>79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80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81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84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85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87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87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87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88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92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95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95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97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97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104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105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105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108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108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Predictor quality is not guidance usefulness</w:t>
        <w:tab/>
        <w:t>109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Grading the explanations</w:t>
        <w:tab/>
        <w:t>110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IX.2.4</w:t>
        <w:tab/>
        <w:t>The role of statistical power</w:t>
        <w:tab/>
        <w:t>112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113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115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115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116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119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124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125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126</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132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132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Exact Identifiers for Reproduction</w:t>
        <w:tab/>
        <w:t>133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Reproducibility Checklist</w:t>
        <w:tab/>
        <w:t>134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A.4</w:t>
        <w:tab/>
        <w:t>Repository Layout</w:t>
        <w:tab/>
        <w:t>135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A.5</w:t>
        <w:tab/>
        <w:t>Reproducing the Results and This Document</w:t>
        <w:tab/>
        <w:t>136</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137</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139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139</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141</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POST-SYNTHESIS FOLLOW-UP: TESTING THE DIAGNOSED MECHANISM DIRECTLY</w:t>
        <w:tab/>
        <w:t>143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143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145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146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147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149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153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154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chemically meaningful interactions, not just the raw score? (PLIP)</w:t>
        <w:tab/>
        <w:t>154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155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157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160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160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161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163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164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ends two orders of magnitude below the raw nudge sum</w:t>
        <w:tab/>
        <w:t>165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166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169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170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172</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Research objective, experiment, metric, result and conclusion</w:t>
        <w:tab/>
        <w:t>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Where a decision gate was applied, by route</w:t>
        <w:tab/>
        <w:t>22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Master summary of every experimental route, including the Appendix E follow-up</w:t>
        <w:tab/>
        <w:t>24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Data splits used for affinity predictors</w:t>
        <w:tab/>
        <w:t>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3.4</w:t>
        <w:tab/>
        <w:t>Predictors used as guidance signals or ranking functions</w:t>
        <w:tab/>
        <w:t>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3.5</w:t>
        <w:tab/>
        <w:t>Independent evaluation metrics</w:t>
        <w:tab/>
        <w:t>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3.6</w:t>
        <w:tab/>
        <w:t>Unit of analysis and seed count, by route</w:t>
        <w:tab/>
        <w:t>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41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50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70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81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82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99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105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Claim, evidence and scope, Tracks A to E</w:t>
        <w:tab/>
        <w:t>107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Exact package versions of the `drugdisc` environment, as actually installed</w:t>
        <w:tab/>
        <w:t>132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A.2</w:t>
        <w:tab/>
        <w:t>Checksums and identifiers of the principal frozen artefacts</w:t>
        <w:tab/>
        <w:t>133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A.3</w:t>
        <w:tab/>
        <w:t>Reproducibility checklist, marked only where actually verified</w:t>
        <w:tab/>
        <w:t>134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A.4</w:t>
        <w:tab/>
        <w:t>Principal elements of the repository</w:t>
        <w:tab/>
        <w:t>135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141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146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148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independently computed docking test, paired by seed</w:t>
        <w:tab/>
        <w:t>150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158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162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Mean all-atom position gap between the guided and unguided trajectory, by diffusion step</w:t>
        <w:tab/>
        <w:t>165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Sources pooled into the single Benjamini–Hochberg correction across the follow-up phase</w:t>
        <w:tab/>
        <w:t>170</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tab/>
        <w:t>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64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71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73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tab/>
        <w:t>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90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91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101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tab/>
        <w:t>106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(30); the Task F ablation used 10 molecules per pocket per seed, which pools to about 30 per pocket across its three seeds and is shown at the same mark.</w:t>
        <w:tab/>
        <w:t>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115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144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tab/>
        <w:t>149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151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tab/>
        <w:t>152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154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156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158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159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162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165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166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The unguided (λ=0) molecule of the paired trace, docked into its pocket (PDB 1h36) and rendered with its hydrogen-bond partners. Renders the same molecule referenced in Figure E.11 and Table E.6 in its 3D binding context.</w:t>
        <w:tab/>
        <w:t>167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167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Effect size and 95% confidence interval of every one of the 48 pooled comparisons of Table E.7, ordered by checkpoint. No interval is both significant after correction and in the beneficial direction.</w:t>
        <w:tab/>
        <w:t>171</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[46].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The central question of this thesis is whether learned guidance signals improve generated molecules on independently computed evaluation outcomes, that is, on quantities that a medicinal chemist would recognise as meaningful and that are computed independently of the guidance model itself.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[52]. A guidance signal that raises such a score is therefore not automatically a success. Second, learned affinity predictors are known to be sensitive to data leakage between training and test sets, and to exploit ligand-only shortcuts [19], [32], [48];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computed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Three bodies of work are most closely related. The first concerns diffusion models for SBDD and their guidance or conditioning by affinity or interaction information: interaction-conditioned generators [30], [51], [59], diffusion models that inject priors derived from affinity networks [23], a general binding-affinity guidance framework whose classifier-guidance variant applies a gradient-based affinity signal to a diffusion SBDD generator in a plug-and-play fashion and reports up to a 60% improvement in binding affinity [24], and a target-conditioned diffusion model that integrates bond diffusion with affinity and drug-likeness guidance trained jointly with the generator [22]. The second concerns learned scoring functions and the reliability of their evaluation, including physics-informed and interaction-explicit architectures [36], [54], leakage-controlled benchmarks [19], [32] and critiques of shortcut learning [42], [48]. The third concerns the evaluation of generative SBDD methods themselves, where independent work has questioned the reliability of docking scores as a success criterion and the practice of selecting checkpoints on test data [18]. Chapter II reviews these areas in detail and identifies the specific gap addressed here: to the best of the author's knowledge, no published evaluation of learned guidance for a 3D diffusion SBDD generator, including the gradient-guidance study above, reports a leakage-safe, target-level split together with statistically corrected significance testing, negative controls and the explicit quality-degradation checks used in this thesis.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The novelty of the work lies in (i) the leakage-safe, target-level evaluation of predictors used for guidance; (ii) the systematic, statistically disciplined mapping of where gradient guidance and rejection sampling fail; (iii) the mechanistic diagnostics; and (iv) the methodological audits that accompany the results, including the recognition that an earlier generalisation gap was largely a split artefact.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five routes produced a defensible improvement. Affinity guidance produced no detectable effect on the independently computed docking score at any tested strength, and the magnitude of the predictor's gradient was positively correlated with the distance of an atom from the pocket, not with proximity to binding contacts. Rejection sampling improved raw docking scores in 12 of 15 pockets, but ligand efficiency worsened significantly in 14 of 15, the selected molecules were on average 12 heavy atoms larger, and PoseBusters validity fell by 29 percentage points. Synthesizability guidance gave no supported gain: in the exploratory design the guidance model's own score rose while the independently computed RA-score fell, and after two fixes this divergence was still present in sign but was not statistically confirmed. Finally, the delta-target predictor was significantly worse than simple baselines, because the residual was not learnt better than by a constant.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Research Objectives and Experimental Map</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statement of Section I.2 is one question; Table 1.1 unpacks it into the specific sub-objective that each route was designed to answer, the metric that decided it, and the conclusion actually drawn. Every row maps to exactly one chapter, so this table also serves as a map of the 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1.1</w:t>
        <w:tab/>
        <w:t>Research objective, experiment, metric, result and conclusion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Research objective</w:t>
            </w:r>
          </w:p>
        </w:tc>
        <w:tc>
          <w:tcPr>
            <w:tcW w:type="dxa" w:w="1092"/>
            <w:shd w:val="clear" w:fill="E7E9EE"/>
          </w:tcPr>
          <w:p>
            <w:pPr>
              <w:keepNext w:val="0"/>
              <w:keepLines w:val="0"/>
              <w:widowControl/>
              <w:spacing w:line="240" w:lineRule="auto" w:before="20" w:after="20"/>
              <w:jc w:val="center"/>
            </w:pPr>
            <w:r>
              <w:rPr>
                <w:rFonts w:ascii="Times New Roman" w:hAnsi="Times New Roman" w:eastAsia="Times New Roman"/>
                <w:b/>
                <w:i w:val="0"/>
                <w:sz w:val="20"/>
              </w:rPr>
              <w:t>Experiment / Track</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Primary metric</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Conclusion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gradient guidance with the original predictor affect the independently computed docking score?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(Mann–Whitney, Wilcoxon)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effect at any of 3 orders of magnitude of λ</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Predictor repair alone does not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predictor's architecture limit gradient guidance?</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A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 significant; direction consistency weakened with more data</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Architecture is not the limiting factor at the scale tested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guidance mechanism (scale, objective, timing) limit it?</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B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0/23 significant; one variant worse by median in 6/6</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Mechanism variants do not rescue guidance on a fixed representation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does the affinity gradient actually encode?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Diagnostic (V.4)</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Gradient-magnitude/distance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+0.240 (wrong direction), not explained by atom heaviness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 magnitude increases with distance from the pocket in the measured states</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Can non-gradient, post-hoc selection succeed where gradient guidance failed?</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C (VI)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ligand efficiency, PoseBusters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Raw gain in 12/15 pockets, confounded by size in 14/15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apparent docking gain does not survive size-normalised evaluation and is accompanied by reduced physical validity</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same guidance mechanism work for synthesizability?</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D (VII)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0/5 significant at the powered scale; own-score/independent-score divergence not confirmed</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supported gain; the mechanism of the divergence is undiagnosed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a residual (delta) training target improve the predictor?</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E (VIII)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Target-clustered R²</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R² = 0.117, worse than a linear baseline (0.362) and an EGNN (0.34–0.41)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Falsified at this scale; the auxiliary arm (E2) was not run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directly repairing the diagnosed gradient mechanism produce an effect?</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(Wilcoxon); DIAG1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Strongest diagnostic fix of any checkpoint (−0.78); still 0/35 pooled tests significant</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Repairing the diagnosed mechanism does not, by itself,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null survive independent, non-docking validation and the hardest generalisation split available?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2</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PLIP interaction counts; R² on an unseen protein family</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Interaction-count signal reverses sign on confirmation; predictive quality holds (R² = 0.507) on an unseen kinase family, docking effect still null</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null is not an artefact of a docking-only metric or of family-level leakage</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happens, mechanistically, to a single molecule when the gradient is applied?</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Section E.5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Per-step, per-atom position gap</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Gap ≈ 0.05 Å mean after 1,000 steps, ≈1% of the raw cumulative nudge</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Consistent with the nudge being overwhelmed by the sampler's own step noise for most of the trajectory, rather than actively cancelled</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I.7</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and the baseline guidance ablations. Chapter V reports the architecture and mechanism routes (Tracks A and B) and the gradient diagnostic. Chapter VI reports rejection sampling (Track C), Chapter VII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[41]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[59]. InterDiff conditions a diffusion model on interaction "prompts" detected with BINANA, uses cross-attention to inject them, and adds a cross-entropy loss that classifies protein-atom features into interaction types inside the denoiser [51]. BInD treats non-covalent interactions extracted with PLIP as an additional categorical channel that is generated jointly with atoms and bonds under its own loss, and applies knowledge-based guidance terms after the network prediction [30]. An earlier recurrent generator was constrained by an interaction fingerprint computed on docking poses [57]. DPDiff, a diffusion model on CrossDocked2020, extracts "interaction priors" from two pretrained affinity-prediction networks during sampling, using intermediate diffusion predictions as input [23]. Its ablation reports that a geometry-based prior that was pretrained on accurate poses degraded generation when queried on noisy intermediate structures, because of the mismatch between training and sampling inputs [23].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val="0"/>
        <w:keepLines w:val="0"/>
        <w:widowControl/>
        <w:spacing w:line="480" w:lineRule="auto" w:before="0" w:after="0"/>
        <w:ind w:firstLine="720"/>
        <w:jc w:val="both"/>
      </w:pPr>
      <w:r>
        <w:rPr>
          <w:rFonts w:ascii="Times New Roman" w:hAnsi="Times New Roman" w:eastAsia="Times New Roman"/>
          <w:b w:val="0"/>
          <w:i w:val="0"/>
          <w:sz w:val="24"/>
        </w:rPr>
        <w:t>The approach closest to the gradient-guidance routes of this thesis is BADGER, whose classifier-guidance variant applies the gradient of a separately trained affinity predictor to a frozen diffusion SBDD generator at sampling time, in essentially the same plug-and-play arrangement as Chapters IV to VI, and reports up to a 60% improvement in the binding affinity of sampled molecules [24]; its companion classifier-free variant instead folds affinity conditioning into the generator's own training, which this thesis's frozen-generator design does not attempt. DiffGui integrates bond diffusion with affinity and drug-likeness guidance trained jointly with the generator, rather than through a separately frozen predictor, and reports improved binding affinity together with validation on a small set of wet-laboratory assays [22]. Neither paper's abstract or summary materials available to this search state whether the reported affinity improvement was evaluated on a target-disjoint split, tested for statistical significance with correction for multiple comparisons, or checked against a negative control or a quality-degradation criterion (ligand efficiency, molecular size, physical validity) of the kind used throughout this thesis; this search did not extend to their full methods sections, and no claim is made here about what those sections do or do not report (Appendix B). Section IX.5 returns to the apparent tension between their reported positive result and this thesis's null result once the full evidence is in.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[46].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[52]. Re-parameterisations of the function, such as Vinardo, were introduced because the conventional approach of fitting empirical terms by linear regression to experimental affinities does not yield a function with optimal docking capabilities [37].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[54]. PIGNet predicts atom–atom pairwise interaction terms with physics-informed equations whose parameters are produced by a neural network and sums them to obtain the affinity, and augments the training data with additional poses and ligands to improve generalisation [36]. Interformer combines a graph-transformer with an interaction-aware mixture density network for docking and affinity prediction [29], and PLANET is trained with three objectives (affinity, protein–ligand contact map and ligand distance matrix) [58]. A framework that adds an adjustable affinity term to the training of a mixture density network was proposed to balance scoring, docking, ranking and screening powers, which the authors note are rarely achieved simultaneously by a single machine-learned function [44].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[48].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[32].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[42].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[39].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[45].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[38], and it remains in use, for example for correcting a semiempirical method in the prediction of reaction barrier heights [27].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[49]. Related work re-scored Vina poses with random forests [31], and a delta model built on a linear empirical baseline and gradient boosting reported Pearson correlations of 0.853, 0.839 and 0.813 on locally optimised, redocked and ensemble-docked poses of the CASF-2016 core set [53].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[28]; gradient normalisation equalises gradient magnitudes at a shared layer [7]; gradient surgery projects a task gradient off the gradient of a conflicting task [55]; and dual balancing acts on both loss scales and gradient magnitudes [34]. Auxiliary tasks can also cause negative transfer, for which dedicated remedies have been proposed [25],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[40], [43]. Alternative encodings include the interaction fingerprints of ProLIF [5] and of related tools [14], [50].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[23], [30], [59], and, in one case, as an auxiliary classification loss inside the generator's own denoiser [51]. Residual learning has been applied to scoring with tree ensembles [49], [53]. Multi-objective affinity networks with structural auxiliary targets exist [58]. Gradient-based affinity guidance of a diffusion SBDD generator has been reported, with a positive result, by BADGER [24]; a jointly trained, non-frozen variant with the same guidance aim is DiffGui [22]. Neither was found, within the limits of the search described in Appendix B, to report whether its result was evaluated on a target-disjoint split, tested with correction for multiple comparisons, or checked against a negative control, although this search did not extend to their full methods and no claim is made that these checks are absent from them. What was not found, within the limits of the searches described in Appendix B, is a study that (i) evaluates learned affinity or synthesizability guidance for a 3D diffusion generator against independently computed outcomes under a leakage-safe, statistically corrected protocol with negative controls,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Work</w:t>
            </w:r>
          </w:p>
        </w:tc>
        <w:tc>
          <w:tcPr>
            <w:tcW w:type="dxa" w:w="789"/>
            <w:shd w:val="clear" w:fill="E7E9EE"/>
          </w:tcPr>
          <w:p>
            <w:pPr>
              <w:keepNext w:val="0"/>
              <w:keepLines w:val="0"/>
              <w:widowControl/>
              <w:spacing w:line="240" w:lineRule="auto" w:before="20" w:after="20"/>
              <w:jc w:val="center"/>
            </w:pPr>
            <w:r>
              <w:rPr>
                <w:rFonts w:ascii="Times New Roman" w:hAnsi="Times New Roman" w:eastAsia="Times New Roman"/>
                <w:b/>
                <w:i w:val="0"/>
                <w:sz w:val="18"/>
              </w:rPr>
              <w:t>3D diffusion SBDD</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Learned guidance predictor (separate from the generator)</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Interaction information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Residual (delta) target</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Target-disjoint, leakage-safe evaluation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Evaluation independent of the model, with negative controls</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DeepICL [59]</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(autoregressive)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(conditioning, not guidance)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as conditioning</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InterDiff [51]</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(in-denoiser conditioning)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BINANA types; classification loss in denoiser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BInD [30]</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(co-generated, not a separate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interactions co-generated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DPDiff [23]</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(affinity-network priors)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Latent priors from affinity networks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BADGER [24]</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(classifier-guidance variant; a classifier-free variant also folds affinity into training)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and 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DiffGui [22]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and drug-likeness guidance trained jointly with the generator, not a separate frozen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SA, LogP and TPSA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includes wet-laboratory validation, which this thesis does not</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PLANET [58]</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model only)</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Contact map (not typed)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ΔVinaRF20 [49]; Δ-XGBoost [53]</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functions)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(tree ensembles)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(CASF core set; Section II.3.3)</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This thesis</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Yes (frozen TargetDiff)</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(EGNN / GIGN+PIGNet2 / SynthPredNet)</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(designed, not tested; Appendix 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(graph network; falsified at this scale)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(LP-split adaptation; Section III.2)</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(KS/Wilcoxon + BH, bootstrap CIs, negative controls; Section III.6)</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as read during the search of Appendix B; "not the focus of that study, as reviewed" means the question this thesis asks was not what that work set out to answer, not that the work is deficient. It does not claim that no other work anywhere addresses these questions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independently computed evaluation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an independently computed outcome. These two criteria are deliberately kept separate and are never substituted for one another: a predictor's held-out accuracy is a property of the predictor alone, measured once, on a fixed test set, independently of any generator; its usefulness as a guidance signal is a property of the coupled predictor-plus-sampler system, measured separately, on generated molecules, by tools that do not see the predictor's output. Chapter IX (Section IX.2.2) returns to this distinction once the full evidence is in; it is stated here because every route of this thesis measures the two quantities on this footing from the outset, not only in hindsight.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III.1.1</w:t>
        <w:tab/>
      </w:r>
      <w:r>
        <w:rPr>
          <w:rFonts w:ascii="Times New Roman" w:hAnsi="Times New Roman" w:eastAsia="Times New Roman"/>
          <w:b w:val="0"/>
          <w:i/>
          <w:sz w:val="24"/>
        </w:rPr>
        <w:t>Pre-registration status of each route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Not every route in this thesis carries the same evidentiary status, and the distinction matters for how its result should be read. Four categories are used throughout, and every analysis in this thesis belongs to exactly one of them. </w:t>
      </w:r>
      <w:r>
        <w:rPr>
          <w:rFonts w:ascii="Times New Roman" w:hAnsi="Times New Roman" w:eastAsia="Times New Roman"/>
          <w:b w:val="0"/>
          <w:i/>
          <w:sz w:val="24"/>
        </w:rPr>
        <w:t>Pre-registered</w:t>
      </w:r>
      <w:r>
        <w:rPr>
          <w:rFonts w:ascii="Times New Roman" w:hAnsi="Times New Roman" w:eastAsia="Times New Roman"/>
          <w:b w:val="0"/>
          <w:i w:val="0"/>
          <w:sz w:val="24"/>
        </w:rPr>
        <w:t xml:space="preserve"> means a frozen, version-controlled document fixed the hypothesis, the primary metric, the decision thresholds and the stopping rule before any model of that route was trained; only Track E (Chapter VIII) meets this bar, and its amendments are logged, dated and never edited in place (Appendix D). </w:t>
      </w:r>
      <w:r>
        <w:rPr>
          <w:rFonts w:ascii="Times New Roman" w:hAnsi="Times New Roman" w:eastAsia="Times New Roman"/>
          <w:b w:val="0"/>
          <w:i/>
          <w:sz w:val="24"/>
        </w:rPr>
        <w:t>Planned, not pre-registered</w:t>
      </w:r>
      <w:r>
        <w:rPr>
          <w:rFonts w:ascii="Times New Roman" w:hAnsi="Times New Roman" w:eastAsia="Times New Roman"/>
          <w:b w:val="0"/>
          <w:i w:val="0"/>
          <w:sz w:val="24"/>
        </w:rPr>
        <w:t xml:space="preserve"> means the decision bands, correction procedure and quality-degradation checks were declared in the project's working log before the results of that specific checkpoint were inspected, following the shared protocol of this chapter, but without a frozen external document; Tracks A, B, C and D, the baseline ablation of Chapter IV, and the gradient diagnostic of Section V.4 are of this kind. </w:t>
      </w:r>
      <w:r>
        <w:rPr>
          <w:rFonts w:ascii="Times New Roman" w:hAnsi="Times New Roman" w:eastAsia="Times New Roman"/>
          <w:b w:val="0"/>
          <w:i/>
          <w:sz w:val="24"/>
        </w:rPr>
        <w:t>Post hoc</w:t>
      </w:r>
      <w:r>
        <w:rPr>
          <w:rFonts w:ascii="Times New Roman" w:hAnsi="Times New Roman" w:eastAsia="Times New Roman"/>
          <w:b w:val="0"/>
          <w:i w:val="0"/>
          <w:sz w:val="24"/>
        </w:rPr>
        <w:t xml:space="preserve"> means a question was formed after seeing a result and is reported as exploratory and uncorrected for multiple comparisons unless stated otherwise; this applies to specific, individually flagged analyses, such as the pocket-size correlation of Section VI.3 and the pooled Mann–Whitney check of Chapter IV. </w:t>
      </w:r>
      <w:r>
        <w:rPr>
          <w:rFonts w:ascii="Times New Roman" w:hAnsi="Times New Roman" w:eastAsia="Times New Roman"/>
          <w:b w:val="0"/>
          <w:i/>
          <w:sz w:val="24"/>
        </w:rPr>
        <w:t>Appendix E follow-up</w:t>
      </w:r>
      <w:r>
        <w:rPr>
          <w:rFonts w:ascii="Times New Roman" w:hAnsi="Times New Roman" w:eastAsia="Times New Roman"/>
          <w:b w:val="0"/>
          <w:i w:val="0"/>
          <w:sz w:val="24"/>
        </w:rPr>
        <w:t xml:space="preserve"> means the analysis was conducted after Chapter IX's synthesis had been written and frozen, outside the decision sequence of Tracks A to E described below; it follows this project's general exploratory-then-confirmatory discipline (the two-tier protocol of Section III.1) but was not pre-registered, and it is reported in full as Appendix E with its own, explicitly dated chronology (Section E.1).</w:t>
      </w:r>
    </w:p>
    <w:p>
      <w:pPr>
        <w:keepNext w:val="0"/>
        <w:keepLines w:val="0"/>
        <w:widowControl/>
        <w:spacing w:line="480" w:lineRule="auto" w:before="0" w:after="0"/>
        <w:ind w:firstLine="720"/>
        <w:jc w:val="both"/>
      </w:pPr>
      <w:r>
        <w:rPr>
          <w:rFonts w:ascii="Times New Roman" w:hAnsi="Times New Roman" w:eastAsia="Times New Roman"/>
          <w:b w:val="0"/>
          <w:i w:val="0"/>
          <w:sz w:val="24"/>
        </w:rPr>
        <w:t>Table 3.1 makes explicit where a pass/fail gate was actually applied, since not every route had one. Tracks A to D were stopped or extended by the shared decision bands of Section III.6.3 (no comparison may be called a clear signal without surviving correction and the degradation checks), applied after each tier; no route was permitted to continue to a more expensive tier without first clearing this check. Track E additionally carried its own, pre-registered numerical gates, frozen before training (Appendix D). Appendix E's follow-up phase used the same confirm-before-reporting discipline as a working practice (no encouraging small-sample result was reported before a larger, confirmatory run) but applied no frozen stopping rule, because it was not pre-registered.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Where a decision gate was applied,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Gate type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Condition to continue or to declare a positive result</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Consequence if not met</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No significant Mann–Whitney/Wilcoxon shift; no PoseBusters/LE degradation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Verdict recorded as no signal; motivated Tracks A–D</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tier's cost of the full tier was justified by its yellow-flag result; full tier itself gated by the same bands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Full tier was run; its own null stopped the route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Same as above, applied per variant (B1–B3)</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Each variant's null closed that variant; no further variants of the same kind were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 + negative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Scrambled-filter control must agree with the random-subset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Disagreement would have been read as an implementation bug, not a result; it did not occur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at the exploratory scale must be resolved before the multi-pocket confirmation (step D.4) was run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persisted only partially; D.4 was explicitly skipped by this pre-declared rule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Pre-registered numerical gate (C1a, then C4)</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Point estimate and interval of the primary comparison must clear a stated margin; the gradient-distance gate C4 applies only if C1a passes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C1a's upper bounds excluded the required margin; E1 declared falsified at this scale; C4 and E2 were not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(post-synthesis)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Working discipline, not a frozen gate</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 (n≈8) must be confirmed at larger n before being reported as a finding</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Applied uniformly (e.g. the ESM2 and PLIP exploratory signals); no frozen pass/fail threshold existed to stop the phase itself</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every route at a glance, including the follow-up investigation of Appendix E, with the predictor used, what was intervened on, the scale of evidence, the primary outcome metric, the correction applied, and the verdict. It is a map for the chapters that follow, not a substitute for them.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Master summary of every experimental route, including the Appendix E follow-up</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cantSplit/>
          <w:tblHeader/>
        </w:trPr>
        <w:tc>
          <w:tcPr>
            <w:tcW w:type="dxa" w:w="772"/>
            <w:shd w:val="clear" w:fill="E7E9EE"/>
          </w:tcPr>
          <w:p>
            <w:pPr>
              <w:keepNext w:val="0"/>
              <w:keepLines w:val="0"/>
              <w:widowControl/>
              <w:spacing w:line="240" w:lineRule="auto" w:before="20" w:after="20"/>
              <w:jc w:val="center"/>
            </w:pPr>
            <w:r>
              <w:rPr>
                <w:rFonts w:ascii="Times New Roman" w:hAnsi="Times New Roman" w:eastAsia="Times New Roman"/>
                <w:b/>
                <w:i w:val="0"/>
                <w:sz w:val="16"/>
              </w:rPr>
              <w:t>Route</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Predictor</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Intervention</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Pockets / targets</w:t>
            </w:r>
          </w:p>
        </w:tc>
        <w:tc>
          <w:tcPr>
            <w:tcW w:type="dxa" w:w="816"/>
            <w:shd w:val="clear" w:fill="E7E9EE"/>
          </w:tcPr>
          <w:p>
            <w:pPr>
              <w:keepNext w:val="0"/>
              <w:keepLines w:val="0"/>
              <w:widowControl/>
              <w:spacing w:line="240" w:lineRule="auto" w:before="20" w:after="20"/>
              <w:jc w:val="center"/>
            </w:pPr>
            <w:r>
              <w:rPr>
                <w:rFonts w:ascii="Times New Roman" w:hAnsi="Times New Roman" w:eastAsia="Times New Roman"/>
                <w:b/>
                <w:i w:val="0"/>
                <w:sz w:val="16"/>
              </w:rPr>
              <w:t>Units per condition</w:t>
            </w:r>
          </w:p>
        </w:tc>
        <w:tc>
          <w:tcPr>
            <w:tcW w:type="dxa" w:w="1099"/>
            <w:shd w:val="clear" w:fill="E7E9EE"/>
          </w:tcPr>
          <w:p>
            <w:pPr>
              <w:keepNext w:val="0"/>
              <w:keepLines w:val="0"/>
              <w:widowControl/>
              <w:spacing w:line="240" w:lineRule="auto" w:before="20" w:after="20"/>
              <w:jc w:val="center"/>
            </w:pPr>
            <w:r>
              <w:rPr>
                <w:rFonts w:ascii="Times New Roman" w:hAnsi="Times New Roman" w:eastAsia="Times New Roman"/>
                <w:b/>
                <w:i w:val="0"/>
                <w:sz w:val="16"/>
              </w:rPr>
              <w:t>Primary metric</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Correction</w:t>
            </w:r>
          </w:p>
        </w:tc>
        <w:tc>
          <w:tcPr>
            <w:tcW w:type="dxa" w:w="848"/>
            <w:shd w:val="clear" w:fill="E7E9EE"/>
          </w:tcPr>
          <w:p>
            <w:pPr>
              <w:keepNext w:val="0"/>
              <w:keepLines w:val="0"/>
              <w:widowControl/>
              <w:spacing w:line="240" w:lineRule="auto" w:before="20" w:after="20"/>
              <w:jc w:val="center"/>
            </w:pPr>
            <w:r>
              <w:rPr>
                <w:rFonts w:ascii="Times New Roman" w:hAnsi="Times New Roman" w:eastAsia="Times New Roman"/>
                <w:b/>
                <w:i w:val="0"/>
                <w:sz w:val="16"/>
              </w:rPr>
              <w:t>Verdict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Baseline (IV)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Guidance strength λ</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20 pockets; 8 pockets × 3 λ</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8–10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(Mann–Whitney, Wilcoxon)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Not explicitly corrected (pre-dates the KS/BH protocol below)</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No effect at any tested λ</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A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 PIGNet2</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Predictor architecture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pockets (full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29–30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24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B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Gradient scale (B1), objective (B2), timing (B3)</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2–3 pockets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23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0/23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Diagnostic (V.4)</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None (read-only probe)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3 pockets, 144 states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n/a</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Gradient–distance correlation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Bootstrap CI only; no gate</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+0.240, wrong direction</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C (VI)</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Stage 0 EGNN (as ranker)</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Post-hoc top-10% selection</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15 pockets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~590 molecules/pocket pool</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LE, PoseBusters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15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Raw gain confounded by size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D (VII)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SynthPredNet</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Synthesizability guidance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pocket (powered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30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Independently computed RAscore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5 tests</w:t>
            </w:r>
          </w:p>
        </w:tc>
        <w:tc>
          <w:tcPr>
            <w:tcW w:type="dxa" w:w="848"/>
          </w:tcPr>
          <w:p>
            <w:pPr>
              <w:keepNext w:val="0"/>
              <w:keepLines w:val="0"/>
              <w:widowControl/>
              <w:spacing w:line="240" w:lineRule="auto" w:before="20" w:after="20"/>
              <w:jc w:val="center"/>
            </w:pPr>
            <w:r>
              <w:rPr>
                <w:rFonts w:ascii="Times New Roman" w:hAnsi="Times New Roman" w:eastAsia="Times New Roman"/>
                <w:b w:val="0"/>
                <w:i w:val="0"/>
                <w:sz w:val="16"/>
              </w:rPr>
              <w:t>0/5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E (VIII)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delta head</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Training target (residual vs. Vina)</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127 test targets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n/a (predictor comparison)</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Target-clustered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Pre-registered gate (bootstrap CI)</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Falsified at this scale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Follow-up (App. 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further checkpoints (EGNN / GIGN variants)</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4 mechanism-level fixes, alone and combined, plus validation and a mechanistic trace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fixed pocket + CDK6 (unseen family) + 835 (AlphaFold side-check)</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8–24 molecules per λ</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PLIP interactions,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Pooled BH, 48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0/48 significant</w:t>
            </w:r>
          </w:p>
        </w:tc>
      </w:tr>
    </w:tbl>
    <w:p>
      <w:pPr>
        <w:keepNext w:val="0"/>
        <w:keepLines w:val="0"/>
        <w:widowControl/>
        <w:spacing w:line="240" w:lineRule="auto" w:before="80" w:after="0"/>
        <w:jc w:val="both"/>
      </w:pPr>
      <w:r>
        <w:rPr>
          <w:rFonts w:ascii="Times New Roman" w:hAnsi="Times New Roman" w:eastAsia="Times New Roman"/>
          <w:b w:val="0"/>
          <w:i w:val="0"/>
          <w:sz w:val="20"/>
        </w:rPr>
        <w:t>"n/a" marks routes that compare trained predictors on a held-out test set rather than generated molecules under guidance. The diagnostic of row 4 is not a guidance checkpoint and carried no pass/fail gate (Section V.4).</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verified directly against the file. The official split of that release assigns only 99,990 of these pocket instances to training (1,905 unique targets) and 100 to testing (93 unique targets), with no target overlap between the two; the remaining 66,410 LMDB entries are outside both official partitions and were not used directly, except where the affinity-labelled subset of Section III.2.2 and the leakage-safe split of Section III.2.3 draw on them by target identity.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[32]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pool entering this construction, restricted to entries with a non-zero pK and an RMSD below 2 Å, held 1,041 targets and 76,803 entries. Of these, 1,002 targets had a UniProt accession that could be resolved and assigned to a family; the remaining 39 targets were dropped at this step for an unresolvable identifier, before the family-based assignment and contamination checks described above were applied. The resulting split, after the 31 further targets discarded for contamination (Section IV.4.1), is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[45]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[23].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3.4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3.4</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[41]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[54], in which covalent (or covalent-proxy) and non-covalent edges share one message pass and are differentiated by separate MLPs, with the physics-decomposed readout of PIGNet [36]: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3.5.</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3.5</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model [45]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[52];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What is shared and what is independent across a comparison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different designs are used in this thesis, and they are not interchangeable. In the </w:t>
      </w:r>
      <w:r>
        <w:rPr>
          <w:rFonts w:ascii="Times New Roman" w:hAnsi="Times New Roman" w:eastAsia="Times New Roman"/>
          <w:b w:val="0"/>
          <w:i/>
          <w:sz w:val="24"/>
        </w:rPr>
        <w:t>independent-sample</w:t>
      </w:r>
      <w:r>
        <w:rPr>
          <w:rFonts w:ascii="Times New Roman" w:hAnsi="Times New Roman" w:eastAsia="Times New Roman"/>
          <w:b w:val="0"/>
          <w:i w:val="0"/>
          <w:sz w:val="24"/>
        </w:rPr>
        <w:t xml:space="preserve"> design, used for the KS tests above, each molecule of the guided condition and each molecule of the unguided condition is sampled from its own, separately drawn initial noise; nothing is shared between the two groups beyond the pocket and the model, and the two samples are treated as independent draws from their respective distributions. In the </w:t>
      </w:r>
      <w:r>
        <w:rPr>
          <w:rFonts w:ascii="Times New Roman" w:hAnsi="Times New Roman" w:eastAsia="Times New Roman"/>
          <w:b w:val="0"/>
          <w:i/>
          <w:sz w:val="24"/>
        </w:rPr>
        <w:t>paired</w:t>
      </w:r>
      <w:r>
        <w:rPr>
          <w:rFonts w:ascii="Times New Roman" w:hAnsi="Times New Roman" w:eastAsia="Times New Roman"/>
          <w:b w:val="0"/>
          <w:i w:val="0"/>
          <w:sz w:val="24"/>
        </w:rPr>
        <w:t xml:space="preserve"> design, used for the Wilcoxon signed-rank tests of Track B, the gradient-alignment trace of Section E.5, and several of the n = 8 exploratory tiers of Appendix E, the same initial noise (the same random seed, consumed in the same order) is reused across every λ value of a given pocket, so that a guided and an unguided molecule at that position in the sequence begin from bit-identical noise and encounter the same per-step stochastic draws up to the first point at which guidance is applied; only the guidance intervention itself then differs between the paired molecules. This is why the two trajectories of the mechanistic trace (Appendix E.5) are described as diverging "only through the guidance nudge": nothing else differs between them by construction. Pairing is appropriate here because it removes the between-sample noise contributed by independently drawn initial positions and step noise, which is the dominant source of variance at the small n of the exploratory tiers, leaving the guidance effect as the main remaining source of a paired difference; it is reported as a Wilcoxon signed-rank test, not a paired t-test, because the shift is not assumed to be normally distributed. Different pockets, and different seeds within the same pocket in a multi-seed design (Track C, Track E), are independent of one another; pairing is never used across pockets or across seeds, only across λ within one seed of one pocket.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III.6.4</w:t>
        <w:tab/>
      </w:r>
      <w:r>
        <w:rPr>
          <w:rFonts w:ascii="Times New Roman" w:hAnsi="Times New Roman" w:eastAsia="Times New Roman"/>
          <w:b w:val="0"/>
          <w:i/>
          <w:sz w:val="24"/>
        </w:rPr>
        <w:t>A note on the wording of null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uses five distinct phrases for a comparison that did not support a positive claim, and they are not interchangeable. </w:t>
      </w:r>
      <w:r>
        <w:rPr>
          <w:rFonts w:ascii="Times New Roman" w:hAnsi="Times New Roman" w:eastAsia="Times New Roman"/>
          <w:b w:val="0"/>
          <w:i/>
          <w:sz w:val="24"/>
        </w:rPr>
        <w:t>No significant effect</w:t>
      </w:r>
      <w:r>
        <w:rPr>
          <w:rFonts w:ascii="Times New Roman" w:hAnsi="Times New Roman" w:eastAsia="Times New Roman"/>
          <w:b w:val="0"/>
          <w:i w:val="0"/>
          <w:sz w:val="24"/>
        </w:rPr>
        <w:t xml:space="preserve"> is the narrowest and most frequent: a specific test did not survive the stated correction at the stated sample size, and nothing is implied about effects of a different size or at a different scale. </w:t>
      </w:r>
      <w:r>
        <w:rPr>
          <w:rFonts w:ascii="Times New Roman" w:hAnsi="Times New Roman" w:eastAsia="Times New Roman"/>
          <w:b w:val="0"/>
          <w:i/>
          <w:sz w:val="24"/>
        </w:rPr>
        <w:t>No evidence of an effect</w:t>
      </w:r>
      <w:r>
        <w:rPr>
          <w:rFonts w:ascii="Times New Roman" w:hAnsi="Times New Roman" w:eastAsia="Times New Roman"/>
          <w:b w:val="0"/>
          <w:i w:val="0"/>
          <w:sz w:val="24"/>
        </w:rPr>
        <w:t xml:space="preserve"> is used when several such tests are taken together (for example, across an entire checkpoint or phase) and none of them individually or in combination supports a positive claim. </w:t>
      </w:r>
      <w:r>
        <w:rPr>
          <w:rFonts w:ascii="Times New Roman" w:hAnsi="Times New Roman" w:eastAsia="Times New Roman"/>
          <w:b w:val="0"/>
          <w:i/>
          <w:sz w:val="24"/>
        </w:rPr>
        <w:t>No effect of practical size</w:t>
      </w:r>
      <w:r>
        <w:rPr>
          <w:rFonts w:ascii="Times New Roman" w:hAnsi="Times New Roman" w:eastAsia="Times New Roman"/>
          <w:b w:val="0"/>
          <w:i w:val="0"/>
          <w:sz w:val="24"/>
        </w:rPr>
        <w:t xml:space="preserve"> is reserved for cases in which a power calculation (Section V.1, Figure 9.2) bounds the effect that could have been missed, so the claim is about magnitude and not only about significance. </w:t>
      </w:r>
      <w:r>
        <w:rPr>
          <w:rFonts w:ascii="Times New Roman" w:hAnsi="Times New Roman" w:eastAsia="Times New Roman"/>
          <w:b w:val="0"/>
          <w:i/>
          <w:sz w:val="24"/>
        </w:rPr>
        <w:t>Failed criterion</w:t>
      </w:r>
      <w:r>
        <w:rPr>
          <w:rFonts w:ascii="Times New Roman" w:hAnsi="Times New Roman" w:eastAsia="Times New Roman"/>
          <w:b w:val="0"/>
          <w:i w:val="0"/>
          <w:sz w:val="24"/>
        </w:rPr>
        <w:t xml:space="preserve"> or </w:t>
      </w:r>
      <w:r>
        <w:rPr>
          <w:rFonts w:ascii="Times New Roman" w:hAnsi="Times New Roman" w:eastAsia="Times New Roman"/>
          <w:b w:val="0"/>
          <w:i/>
          <w:sz w:val="24"/>
        </w:rPr>
        <w:t>failed its pre-declared criterion</w:t>
      </w:r>
      <w:r>
        <w:rPr>
          <w:rFonts w:ascii="Times New Roman" w:hAnsi="Times New Roman" w:eastAsia="Times New Roman"/>
          <w:b w:val="0"/>
          <w:i w:val="0"/>
          <w:sz w:val="24"/>
        </w:rPr>
        <w:t xml:space="preserve"> is used for a route governed by explicit decision bands (Section III.1.1) that did not clear them, independently of whether a numerical test was involved. </w:t>
      </w:r>
      <w:r>
        <w:rPr>
          <w:rFonts w:ascii="Times New Roman" w:hAnsi="Times New Roman" w:eastAsia="Times New Roman"/>
          <w:b w:val="0"/>
          <w:i/>
          <w:sz w:val="24"/>
        </w:rPr>
        <w:t>Falsified at this scale</w:t>
      </w:r>
      <w:r>
        <w:rPr>
          <w:rFonts w:ascii="Times New Roman" w:hAnsi="Times New Roman" w:eastAsia="Times New Roman"/>
          <w:b w:val="0"/>
          <w:i w:val="0"/>
          <w:sz w:val="24"/>
        </w:rPr>
        <w:t xml:space="preserve"> is reserved for Track E, the one route with a pre-registered numerical margin (Appendix D): it means the pre-declared rule was applied exactly as written and returned a negative verdict, not merely that a result failed to reach significance. None of these phrases is used to claim that no effect exists under conditions that were not tested; that distinction is kept explicit throughout and restated in Chapter 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III.6.5</w:t>
        <w:tab/>
      </w:r>
      <w:r>
        <w:rPr>
          <w:rFonts w:ascii="Times New Roman" w:hAnsi="Times New Roman" w:eastAsia="Times New Roman"/>
          <w:b w:val="0"/>
          <w:i/>
          <w:sz w:val="24"/>
        </w:rPr>
        <w:t>Units of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reports counts at several different levels, and conflating them would misstate the amount of independent evidence behind a number. From smallest to largest: an </w:t>
      </w:r>
      <w:r>
        <w:rPr>
          <w:rFonts w:ascii="Times New Roman" w:hAnsi="Times New Roman" w:eastAsia="Times New Roman"/>
          <w:b w:val="0"/>
          <w:i/>
          <w:sz w:val="24"/>
        </w:rPr>
        <w:t>atom</w:t>
      </w:r>
      <w:r>
        <w:rPr>
          <w:rFonts w:ascii="Times New Roman" w:hAnsi="Times New Roman" w:eastAsia="Times New Roman"/>
          <w:b w:val="0"/>
          <w:i w:val="0"/>
          <w:sz w:val="24"/>
        </w:rPr>
        <w:t xml:space="preserve"> is one position in one molecule, the unit of the gradient diagnostics (Section V.4, Section VII.4) and of the mechanistic trace (Appendix E.5); a </w:t>
      </w:r>
      <w:r>
        <w:rPr>
          <w:rFonts w:ascii="Times New Roman" w:hAnsi="Times New Roman" w:eastAsia="Times New Roman"/>
          <w:b w:val="0"/>
          <w:i/>
          <w:sz w:val="24"/>
        </w:rPr>
        <w:t>molecule</w:t>
      </w:r>
      <w:r>
        <w:rPr>
          <w:rFonts w:ascii="Times New Roman" w:hAnsi="Times New Roman" w:eastAsia="Times New Roman"/>
          <w:b w:val="0"/>
          <w:i w:val="0"/>
          <w:sz w:val="24"/>
        </w:rPr>
        <w:t xml:space="preserve"> is one sampled, reconstructed ligand, the unit that a per-condition count such as "n = 30 molecules" refers to, and molecules from the same condition and pocket are not independent of one another in the strict sense when they share initial noise under the paired design of Section III.6.2, only across conditions; a </w:t>
      </w:r>
      <w:r>
        <w:rPr>
          <w:rFonts w:ascii="Times New Roman" w:hAnsi="Times New Roman" w:eastAsia="Times New Roman"/>
          <w:b w:val="0"/>
          <w:i/>
          <w:sz w:val="24"/>
        </w:rPr>
        <w:t>complex</w:t>
      </w:r>
      <w:r>
        <w:rPr>
          <w:rFonts w:ascii="Times New Roman" w:hAnsi="Times New Roman" w:eastAsia="Times New Roman"/>
          <w:b w:val="0"/>
          <w:i w:val="0"/>
          <w:sz w:val="24"/>
        </w:rPr>
        <w:t xml:space="preserve"> is one protein-ligand pair in a training or test set, the unit of Table 3.3 and of the predictor-quality tables of Chapters IV, V and VIII; a </w:t>
      </w:r>
      <w:r>
        <w:rPr>
          <w:rFonts w:ascii="Times New Roman" w:hAnsi="Times New Roman" w:eastAsia="Times New Roman"/>
          <w:b w:val="0"/>
          <w:i/>
          <w:sz w:val="24"/>
        </w:rPr>
        <w:t>pocket</w:t>
      </w:r>
      <w:r>
        <w:rPr>
          <w:rFonts w:ascii="Times New Roman" w:hAnsi="Times New Roman" w:eastAsia="Times New Roman"/>
          <w:b w:val="0"/>
          <w:i w:val="0"/>
          <w:sz w:val="24"/>
        </w:rPr>
        <w:t xml:space="preserve"> or </w:t>
      </w:r>
      <w:r>
        <w:rPr>
          <w:rFonts w:ascii="Times New Roman" w:hAnsi="Times New Roman" w:eastAsia="Times New Roman"/>
          <w:b w:val="0"/>
          <w:i/>
          <w:sz w:val="24"/>
        </w:rPr>
        <w:t>target</w:t>
      </w:r>
      <w:r>
        <w:rPr>
          <w:rFonts w:ascii="Times New Roman" w:hAnsi="Times New Roman" w:eastAsia="Times New Roman"/>
          <w:b w:val="0"/>
          <w:i w:val="0"/>
          <w:sz w:val="24"/>
        </w:rPr>
        <w:t xml:space="preserve"> is one protein binding site, the unit that a KS test or a target-clustered bootstrap resamples, and is the appropriate independent unit whenever several complexes or molecules of the same pocket are compared, because within-pocket observations share the receptor and are not independent; a </w:t>
      </w:r>
      <w:r>
        <w:rPr>
          <w:rFonts w:ascii="Times New Roman" w:hAnsi="Times New Roman" w:eastAsia="Times New Roman"/>
          <w:b w:val="0"/>
          <w:i/>
          <w:sz w:val="24"/>
        </w:rPr>
        <w:t>seed</w:t>
      </w:r>
      <w:r>
        <w:rPr>
          <w:rFonts w:ascii="Times New Roman" w:hAnsi="Times New Roman" w:eastAsia="Times New Roman"/>
          <w:b w:val="0"/>
          <w:i w:val="0"/>
          <w:sz w:val="24"/>
        </w:rPr>
        <w:t xml:space="preserve"> indexes one full, independent repetition of a stochastic procedure (sampling, or training) with different random initialisation, and is the unit that bounds the variance not captured by resampling a fixed set of results; and a </w:t>
      </w:r>
      <w:r>
        <w:rPr>
          <w:rFonts w:ascii="Times New Roman" w:hAnsi="Times New Roman" w:eastAsia="Times New Roman"/>
          <w:b w:val="0"/>
          <w:i/>
          <w:sz w:val="24"/>
        </w:rPr>
        <w:t>statistical comparison</w:t>
      </w:r>
      <w:r>
        <w:rPr>
          <w:rFonts w:ascii="Times New Roman" w:hAnsi="Times New Roman" w:eastAsia="Times New Roman"/>
          <w:b w:val="0"/>
          <w:i w:val="0"/>
          <w:sz w:val="24"/>
        </w:rPr>
        <w:t xml:space="preserve"> (a row of Table C.1, for example) is one test, the unit that a multiple-comparison correction is applied across. Table 3.6 states, for every route, which of these levels was treated as the independent replication unit for its primary test, and how many seeds were used.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3.6</w:t>
        <w:tab/>
        <w:t>Unit of analysis and seed count,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Statistical / replication unit</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Molecules or complexes per unit</w:t>
            </w:r>
          </w:p>
        </w:tc>
        <w:tc>
          <w:tcPr>
            <w:tcW w:type="dxa" w:w="2170"/>
            <w:shd w:val="clear" w:fill="E7E9EE"/>
          </w:tcPr>
          <w:p>
            <w:pPr>
              <w:keepNext w:val="0"/>
              <w:keepLines w:val="0"/>
              <w:widowControl/>
              <w:spacing w:line="240" w:lineRule="auto" w:before="20" w:after="20"/>
              <w:jc w:val="center"/>
            </w:pPr>
            <w:r>
              <w:rPr>
                <w:rFonts w:ascii="Times New Roman" w:hAnsi="Times New Roman" w:eastAsia="Times New Roman"/>
                <w:b/>
                <w:i w:val="0"/>
                <w:sz w:val="20"/>
              </w:rPr>
              <w:t>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8–10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(strength sweeps); 3 (Task F)</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20 (exploratory); 29–30 (full tier)</w:t>
            </w:r>
          </w:p>
        </w:tc>
        <w:tc>
          <w:tcPr>
            <w:tcW w:type="dxa" w:w="2170"/>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20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Diagnostic (V.4, VII.4)</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Captured state (pocket × timestep × sample)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(144 states total)</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n/a (read-only probe, no training)</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~590 pool members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2 (combined per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(original); 30 (leakage-safe)</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Target (127 test targets; complexes within a target are not independent)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(predictor comparison, not generated molecules)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3 per arm (plus 2 extra EGNN 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Follow-up (App. 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Pocket (1 fixed); target (CDK6 unseen family; 835 for the AlphaFold side-check)</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(exploratory); 16–24 (confirmatory)</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tier)</w:t>
            </w:r>
          </w:p>
        </w:tc>
      </w:tr>
    </w:tbl>
    <w:p>
      <w:pPr>
        <w:keepNext w:val="0"/>
        <w:keepLines w:val="0"/>
        <w:widowControl/>
        <w:spacing w:line="240" w:lineRule="auto" w:before="80" w:after="0"/>
        <w:jc w:val="both"/>
      </w:pPr>
      <w:r>
        <w:rPr>
          <w:rFonts w:ascii="Times New Roman" w:hAnsi="Times New Roman" w:eastAsia="Times New Roman"/>
          <w:b w:val="0"/>
          <w:i w:val="0"/>
          <w:sz w:val="20"/>
        </w:rPr>
        <w:t>"n/a" marks a row for which the concept does not apply (the diagnostic captures states, not molecules; Track E compares predictors on an existing test set rather than molecules it generated). A single seed per λ-sweep does not mean a single molecule: it means the molecules within that sweep share one initial-noise draw per the paired design of Section III.6.2, while the sweep itself is not independently repeated. The baseline ablation's 3-seed Task F run used 10 molecules per pocket per seed; pooled across its three seeds this is about 30 molecules per pocket, the figure Section IX.2.4 compares against Track A's full tier.</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III.6.6</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3.4,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This 507-target figure is itself a consequence of two compounded subsampling steps and not of the instance-level 90/10 division alone: the 90/10 split was drawn across the full training partition (99,990 instances, 1,905 targets), after which only a 6,000-instance subsample of the resulting 90% portion was used for training because of the 4-GB GPU's training time (Section IV.1.1); it is this second, smaller subsample that yields 507 covered targets and, with the independently subsampled validation portion, the 74% figure, rather than the near-complete target overlap that a single clean instance-level split of a 52-poses-per-target pool would otherwise be expected to produce.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[52].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Of the 1,002 targets carried forward into this assignment (Section III.2.3), 31 were discarded for ligand contamination: 10 on the training side and 21 where a validation target remained contaminated against the already-finalised test set, leaving 971 kept targets (779 + 65 + 127), with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a distinct protein by gene symbol (the coarse family proxy available at this stage of the project; Section III.8),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independent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independent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independent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Three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ligand-only baseline (0.20). Both statements rest on complex-level resampling, and Chapter VIII shows that target-level resampling widens the interval about eight times and makes the network indistinguishable from a two-feature linear baseline. Second, the size shortcut remained (correlation 0.72 with heavy-atom count). Third, and decisive for the rest of the thesis, repairing the predictor was necessary but not sufficient: with the repaired predictor as with the original one, guidance produced no detectable change in the independently computed docking score at any tested strength (a span of three orders of magnitude for the repaired predictor). Guidance also changed the predictor's own score only marginally, by 1 to 2%. Two questions followed: whether a differently constructed predictor or a differently constructed guidance mechanism could recover a signal (Chapter V), and whether the same predictor used without a gradient, as a ranker of finished molecules, would do better (Chapter VI).</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independent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[54] with hidden size 256, which produce an embedding for each protein and ligand atom. The output is the sum of pairwise energy terms between all ligand and protein atoms, as in PIGNet2 [36]: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to the independently computed docking score.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[23].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independently computed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val="0"/>
        <w:keepLines w:val="0"/>
        <w:widowControl/>
        <w:spacing w:line="480" w:lineRule="auto" w:before="0" w:after="0"/>
        <w:ind w:firstLine="720"/>
        <w:jc w:val="both"/>
      </w:pPr>
      <w:r>
        <w:rPr>
          <w:rFonts w:ascii="Times New Roman" w:hAnsi="Times New Roman" w:eastAsia="Times New Roman"/>
          <w:b w:val="0"/>
          <w:i w:val="0"/>
          <w:sz w:val="24"/>
        </w:rPr>
        <w:t>The comparison of (iv) and (v) is the selected subset against the pool it was drawn from, not against an independent sample or against the unselected remainder; the two groups therefore overlap by construction (every selected molecule is also a member of the full pool), which is a deliberate choice and not an oversight. It answers the practical question this chapter asks: does applying this ranker to a pool of otherwise identically generated molecules change what a practitioner ends up using, relative to not selecting at all. A two-sample test is not strictly valid on overlapping groups, so these p-values should be read as a description of how far the selected subset's distribution sits from the pool's, not as a textbook-exact significance level. This does not by itself explain the pattern reported below, because the random-subset and scrambled-filter controls of (ii) and (iii) are built from the identical pool-versus-subset structure and show no comparable shift; any bias contributed by the overlap alone would be expected to appear equally in those controls, and it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of the full selected-versus-pool distribution was significant after the correction. This is a different quantity from the bootstrap confidence interval of the mean shift reported alongside it in Table 6.1, and the two need not agree for every pocket: SQHC is the one case where they do not, with a KS test significant after correction but a mean-shift interval that crosses zero (−0.13, 95% CI −1.22 to +4.66), because a distributional test can detect a shift in shape or spread that a single point estimate of the mean does not resolve; its per-seed shifts (+0.78 and −1.07) were also opposite in sign, which is the more direct evidence that this particular pocket's effect is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9" name="Picture 9"/>
            <wp:cNvGraphicFramePr>
              <a:graphicFrameLocks noChangeAspect="1"/>
            </wp:cNvGraphicFramePr>
            <a:graphic>
              <a:graphicData uri="http://schemas.openxmlformats.org/drawingml/2006/picture">
                <pic:pic>
                  <pic:nvPicPr>
                    <pic:cNvPr id="0" name="composite_binding_poses.png"/>
                    <pic:cNvPicPr/>
                  </pic:nvPicPr>
                  <pic:blipFill>
                    <a:blip r:embed="rId49"/>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independently computed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[45],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Independently Computed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independently computed RAscore of the finished molecules decreased (Table 7.1 and Figure 7.1A). At λ = 0.03 the own score was 29% higher and the independently computed score 53% lower than in the unguided run. Per molecule, 6 of 8 independently computed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187"/>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1978"/>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3066"/>
            <w:shd w:val="clear" w:fill="E7E9EE"/>
          </w:tcPr>
          <w:p>
            <w:pPr>
              <w:keepNext w:val="0"/>
              <w:keepLines w:val="0"/>
              <w:widowControl/>
              <w:spacing w:line="240" w:lineRule="auto" w:before="20" w:after="20"/>
              <w:jc w:val="center"/>
            </w:pPr>
            <w:r>
              <w:rPr>
                <w:rFonts w:ascii="Times New Roman" w:hAnsi="Times New Roman" w:eastAsia="Times New Roman"/>
                <w:b/>
                <w:i w:val="0"/>
                <w:sz w:val="20"/>
              </w:rPr>
              <w:t>Independently computed RA-score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306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independently computed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independently computed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with the same single-pocket design as Section VII.2, now on pocket BSD_ASPTE rather than the bundled example pocket used there, with 30 molecules per value, the full 1,000 steps and a grid from 0 to 30 (Table 7.3). A KS test of the independently computed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189"/>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843"/>
            <w:shd w:val="clear" w:fill="E7E9EE"/>
          </w:tcPr>
          <w:p>
            <w:pPr>
              <w:keepNext w:val="0"/>
              <w:keepLines w:val="0"/>
              <w:widowControl/>
              <w:spacing w:line="240" w:lineRule="auto" w:before="20" w:after="20"/>
              <w:jc w:val="center"/>
            </w:pPr>
            <w:r>
              <w:rPr>
                <w:rFonts w:ascii="Times New Roman" w:hAnsi="Times New Roman" w:eastAsia="Times New Roman"/>
                <w:b/>
                <w:i w:val="0"/>
                <w:sz w:val="18"/>
              </w:rPr>
              <w:t>Independently computed RA-score</w:t>
            </w:r>
          </w:p>
        </w:tc>
        <w:tc>
          <w:tcPr>
            <w:tcW w:type="dxa" w:w="2259"/>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independently computed score (95% CI)</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0" name="Picture 10"/>
            <wp:cNvGraphicFramePr>
              <a:graphicFrameLocks noChangeAspect="1"/>
            </wp:cNvGraphicFramePr>
            <a:graphic>
              <a:graphicData uri="http://schemas.openxmlformats.org/drawingml/2006/picture">
                <pic:pic>
                  <pic:nvPicPr>
                    <pic:cNvPr id="0" name="fig_trackD.png"/>
                    <pic:cNvPicPr/>
                  </pic:nvPicPr>
                  <pic:blipFill>
                    <a:blip r:embed="rId54"/>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independently computed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an independently computed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independently computed RAscore was observed (the only higher mean, +1% at λ = 0.01 in the original design, was within the run-to-run noise); the guidance destroyed the connectivity of the molecules at λ ≥ 0.3; and in the exploratory design, a divergence of the own score and the independently computed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independently computed RAscore in the single pocket that was examined at adequate sample size, destroyed the connectivity of the molecules at strengths of 0.3 or more, and produced, in the exploratory design, a divergence of the predictor's own score from the independently computed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0"/>
          <w:headerReference w:type="first" r:id="rId51"/>
          <w:footerReference w:type="default" r:id="rId52"/>
          <w:footerReference w:type="first" r:id="rId5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[38], [49], [53].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[40],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1" name="Picture 11"/>
            <wp:cNvGraphicFramePr>
              <a:graphicFrameLocks noChangeAspect="1"/>
            </wp:cNvGraphicFramePr>
            <a:graphic>
              <a:graphicData uri="http://schemas.openxmlformats.org/drawingml/2006/picture">
                <pic:pic>
                  <pic:nvPicPr>
                    <pic:cNvPr id="0" name="fig_trackE_design.png"/>
                    <pic:cNvPicPr/>
                  </pic:nvPicPr>
                  <pic:blipFill>
                    <a:blip r:embed="rId59"/>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2" name="Picture 12"/>
            <wp:cNvGraphicFramePr>
              <a:graphicFrameLocks noChangeAspect="1"/>
            </wp:cNvGraphicFramePr>
            <a:graphic>
              <a:graphicData uri="http://schemas.openxmlformats.org/drawingml/2006/picture">
                <pic:pic>
                  <pic:nvPicPr>
                    <pic:cNvPr id="0" name="fig_vina_semantics.png"/>
                    <pic:cNvPicPr/>
                  </pic:nvPicPr>
                  <pic:blipFill>
                    <a:blip r:embed="rId60"/>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3" name="Picture 13"/>
            <wp:cNvGraphicFramePr>
              <a:graphicFrameLocks noChangeAspect="1"/>
            </wp:cNvGraphicFramePr>
            <a:graphic>
              <a:graphicData uri="http://schemas.openxmlformats.org/drawingml/2006/picture">
                <pic:pic>
                  <pic:nvPicPr>
                    <pic:cNvPr id="0" name="fig_plip_jitter.png"/>
                    <pic:cNvPicPr/>
                  </pic:nvPicPr>
                  <pic:blipFill>
                    <a:blip r:embed="rId61"/>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4" name="Picture 14"/>
            <wp:cNvGraphicFramePr>
              <a:graphicFrameLocks noChangeAspect="1"/>
            </wp:cNvGraphicFramePr>
            <a:graphic>
              <a:graphicData uri="http://schemas.openxmlformats.org/drawingml/2006/picture">
                <pic:pic>
                  <pic:nvPicPr>
                    <pic:cNvPr id="0" name="fig_trackE_r2.png"/>
                    <pic:cNvPicPr/>
                  </pic:nvPicPr>
                  <pic:blipFill>
                    <a:blip r:embed="rId6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5" name="Picture 15"/>
            <wp:cNvGraphicFramePr>
              <a:graphicFrameLocks noChangeAspect="1"/>
            </wp:cNvGraphicFramePr>
            <a:graphic>
              <a:graphicData uri="http://schemas.openxmlformats.org/drawingml/2006/picture">
                <pic:pic>
                  <pic:nvPicPr>
                    <pic:cNvPr id="0" name="fig_trackE_within_target.png"/>
                    <pic:cNvPicPr/>
                  </pic:nvPicPr>
                  <pic:blipFill>
                    <a:blip r:embed="rId6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tested delta-learning configuration (this backbone, this anchor, this loss, three seeds, the 127-target leakage-safe test set) was falsified against its pre-registered criterion at the evaluated scale, not delta-learning as a general methodology, which other backbones and feature sets have been reported to use successfully elsewhere (Section II.6) and which Section VIII.7 returns to explicitly.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6" name="Picture 16"/>
            <wp:cNvGraphicFramePr>
              <a:graphicFrameLocks noChangeAspect="1"/>
            </wp:cNvGraphicFramePr>
            <a:graphic>
              <a:graphicData uri="http://schemas.openxmlformats.org/drawingml/2006/picture">
                <pic:pic>
                  <pic:nvPicPr>
                    <pic:cNvPr id="0" name="fig_trackE_learnability.png"/>
                    <pic:cNvPicPr/>
                  </pic:nvPicPr>
                  <pic:blipFill>
                    <a:blip r:embed="rId6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[49], [53],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[59]), as co-generated diffusion outputs (BInD [30]), and as an auxiliary classification loss inside the generator's own denoiser (InterDiff [51]).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5"/>
          <w:headerReference w:type="first" r:id="rId56"/>
          <w:footerReference w:type="default" r:id="rId57"/>
          <w:footerReference w:type="first" r:id="rId5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Every route either failed its pre-declared correction (Tracks A, B and D; the baseline ablation) or produced an apparent gain that a size- or validity-normalised re-analysis invalidated (Track C) or a result significantly worse than a simple baseline (Track 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44"/>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effect on independent Vina Dock at any tested strength (20 pockets; 8 pockets, 3 strengths); fragmentation at large λ</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independently computed score in the exploratory design, not confirmed statistically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raw-score gain did not survive the size-normalised re-analysis of Chapter VI. A high fraction of significant comparisons is, in this one case, a measure of a confound surviving the correction, not a measure of successful molecular design; Figure 9.1's own caption states this explicitly for the same reason.</w:t>
      </w:r>
    </w:p>
    <w:p>
      <w:pPr>
        <w:keepNext w:val="0"/>
        <w:keepLines w:val="0"/>
        <w:widowControl/>
        <w:spacing w:line="480" w:lineRule="auto" w:before="0" w:after="0"/>
        <w:ind w:firstLine="720"/>
        <w:jc w:val="both"/>
      </w:pPr>
      <w:r>
        <w:rPr>
          <w:rFonts w:ascii="Times New Roman" w:hAnsi="Times New Roman" w:eastAsia="Times New Roman"/>
          <w:b w:val="0"/>
          <w:i w:val="0"/>
          <w:sz w:val="24"/>
        </w:rPr>
        <w:t>Table 9.2 restates the five main-thesis routes as a claim, its measured evidence, and the exact scope within which the claim holds, so that no claim in this thesis is read more broadly than its evidence supports.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9.2</w:t>
        <w:tab/>
        <w:t>Claim, evidence and scope, Tracks A to 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909"/>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Claim</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Measured evidence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Scope of the claim</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physics-anchored predictor of comparable quality does not rescue gradient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0/24 KS tests significant after BH correction; direction consistency fell from 89% to 67% between tiers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this predictor, this pocket set (8 pockets, n=29–30) and λ up to the validity ceiling; does not exclude a smaller effect below the ~1–1.4 kcal/mol detectable shift (Section V.1, Figure 9.2)</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Rescaling, reformulating or time-windowing the gradient on a fixed representation does not rescue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0/23 KS tests significant; one variant (B2) worse by median in 6/6 comparisons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the Stage 0 EGNN representation, 2–3 pockets, n=20; does not test a representation change (that is Track A)</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Non-gradient, post-hoc top-k selection does not produce a defensible improvement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Raw Vina Dock gain in 12/15 pockets; ligand efficiency worse in 14/15; PoseBusters pass rate down 29 points on average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top-10% selection from unguided pools by this ranker, 15 pockets; sensitivity analysis shows the raw effect weakens further at larger k; a size-controlled ranker was not tested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Gradient guidance toward synthesizability gives no supported gain</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0/5 KS tests significant at the powered scale; own-score/independent-score divergence reproduced in sign but not confirmed statistically</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Rests on one pocket at adequate power (the powered tier); the exploratory-design divergence is suggestive, not established, and the mechanism of the divergence is undiagnosed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residual (delta) training target, reconstructed against a Vina anchor, is worse than simple baselines on this backbone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E1 R²=0.117 (95% CI −0.197, 0.316), significantly below the Stage 0 EGNN, the linear baseline and the absolute-target control on the same backbone, by a pre-registered test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Bounded to this architecture, training budget, three seeds, the 127-target leakage-safe test set and the cross-docked label regime (Section VIII.7); does not generalise to delta-learning with other backbones or hand-built features</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7" name="Picture 17"/>
            <wp:cNvGraphicFramePr>
              <a:graphicFrameLocks noChangeAspect="1"/>
            </wp:cNvGraphicFramePr>
            <a:graphic>
              <a:graphicData uri="http://schemas.openxmlformats.org/drawingml/2006/picture">
                <pic:pic>
                  <pic:nvPicPr>
                    <pic:cNvPr id="0" name="fig_overview_significance.png"/>
                    <pic:cNvPicPr/>
                  </pic:nvPicPr>
                  <pic:blipFill>
                    <a:blip r:embed="rId6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Predictor quality is not guidance usefulness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conceptual point runs through every route of this thesis and is stated here explicitly because it is easy to miss when each result is read on its own: a predictor that is accurate on a held-out test set does not thereby imply that its gradient, or its score, is useful for steering a generator. The two quantities were measured separately throughout, and they dissociate. The clearest demonstration is post-synthesis: of the eight further checkpoints of Appendix E, the one with the best predictive quality of any variant tried (ESM2-augmented EGNN, Pearson 0.731, Appendix E.2.3) and the one trained with the entire target protein family held out of training (R² = 0.507 on that unseen family, Appendix E.3.2) both still show a null, independently computed docking effect under the same correction as every other checkpoint. Within the main thesis, the same dissociation is visible in the other direction: the two-feature linear baseline and the repaired EGNN were statistically indistinguishable on the LP test set (Chapter IV), yet neither produced a detectable gradient effect, and the ranker of Chapter VI produced its one large, statistically decisive effect precisely because its moderately accurate predictor's score was dominated by a ligand-side property (size) that a generator can trivially exploit, which is a case of a predictor being </w:t>
      </w:r>
      <w:r>
        <w:rPr>
          <w:rFonts w:ascii="Times New Roman" w:hAnsi="Times New Roman" w:eastAsia="Times New Roman"/>
          <w:b w:val="0"/>
          <w:i/>
          <w:sz w:val="24"/>
        </w:rPr>
        <w:t>too</w:t>
      </w:r>
      <w:r>
        <w:rPr>
          <w:rFonts w:ascii="Times New Roman" w:hAnsi="Times New Roman" w:eastAsia="Times New Roman"/>
          <w:b w:val="0"/>
          <w:i w:val="0"/>
          <w:sz w:val="24"/>
        </w:rPr>
        <w:t xml:space="preserve"> usable for the wrong reason. Accuracy on the held-out prediction task and usefulness as a steering signal are different properties, tested by different protocols (Section III.6.1 and III.6.3), and this thesis finds them uncorrelated across every architecture, training recipe and representation tried.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(ii) Selection by the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ranker route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is, however, indirect: the two failures have different measured signatures, and the earlier project summaries that stated that the size confound was the root cause of both were not supported by the data. The gradient is not correlated with heaviness in the direction that a size shortcut would predict (Section V.4); the ranker's selection is dominated by size (Chapter VI).</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[23].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IX.2.4</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8" name="Picture 18"/>
            <wp:cNvGraphicFramePr>
              <a:graphicFrameLocks noChangeAspect="1"/>
            </wp:cNvGraphicFramePr>
            <a:graphic>
              <a:graphicData uri="http://schemas.openxmlformats.org/drawingml/2006/picture">
                <pic:pic>
                  <pic:nvPicPr>
                    <pic:cNvPr id="0" name="fig_power_curve.png"/>
                    <pic:cNvPicPr/>
                  </pic:nvPicPr>
                  <pic:blipFill>
                    <a:blip r:embed="rId7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(30); the Task F ablation used 10 molecules per pocket per seed, which pools to about 30 per pocket across its three seeds and is shown at the same mark.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9" name="Picture 19"/>
            <wp:cNvGraphicFramePr>
              <a:graphicFrameLocks noChangeAspect="1"/>
            </wp:cNvGraphicFramePr>
            <a:graphic>
              <a:graphicData uri="http://schemas.openxmlformats.org/drawingml/2006/picture">
                <pic:pic>
                  <pic:nvPicPr>
                    <pic:cNvPr id="0" name="fig_scale_by_track.png"/>
                    <pic:cNvPicPr/>
                  </pic:nvPicPr>
                  <pic:blipFill>
                    <a:blip r:embed="rId7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[52];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[52]; Chapter VI shows the mechanism in an isolated setting, a ranker whose selection is dominated by size, although the observation of that study concerned evaluation and not gradient guidance. Second, learned affinity predictors are sensitive to leakage and to ligand-only shortcuts [19], [32], [48]; the size correlation of 0.64 to 0.72 of the predictors and the match between a ligand-only baseline and the network on the old split are instances. Third, the mismatch between clean training inputs and noisy intermediate inputs has been reported to degrade guidance-like priors [23].</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[30], [51], [59],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val="0"/>
        <w:keepLines w:val="0"/>
        <w:widowControl/>
        <w:spacing w:line="480" w:lineRule="auto" w:before="0" w:after="0"/>
        <w:ind w:firstLine="720"/>
        <w:jc w:val="both"/>
      </w:pPr>
      <w:r>
        <w:rPr>
          <w:rFonts w:ascii="Times New Roman" w:hAnsi="Times New Roman" w:eastAsia="Times New Roman"/>
          <w:b w:val="0"/>
          <w:i w:val="0"/>
          <w:sz w:val="24"/>
        </w:rPr>
        <w:t>One result does sit in direct tension with this thesis's null finding and is reported as such rather than explained away. BADGER's classifier-guidance variant applies the gradient of a separately trained affinity predictor to a frozen diffusion SBDD generator, essentially the same arrangement as Chapters IV to VI, and reports up to a 60% improvement in binding affinity [24]. This thesis's own Chapter IV to VI results offer three candidate, untested explanations for the discrepancy, stated as hypotheses and not as findings about that paper, since its full methods were not read for this thesis (Appendix B). First, an apparent improvement measured on a predictor's own score, on a single model or seed, or without target-level resampling and multiple-comparison correction, has in this thesis repeatedly looked larger than the same comparison does once these checks are applied (Section IX.3); whether BADGER's evaluation includes a leakage-safe split, corrected significance testing or a negative control was not stated in the materials reviewed. Second, a different base generator, predictor architecture or training-data regime could plausibly produce a gradient with a different relationship to the pocket than the one diagnosed in Section V.4, which was specific to the predictors trained in this project. Third, the two works report different quantities: a 60% improvement is a relative figure of an unstated baseline and metric, whereas this thesis reports absolute shifts in kcal/mol together with their confidence intervals and a validity check, and the two are not directly comparable without access to BADGER's raw results. The discrepancy is not resolved here; it is a motivated direction for a focused follow-up (Section IX.6) and a reason the conclusions of this thesis are bounded to the generator, predictors and evaluation protocol actually tested (Section X.1), not extended to gradient-guidance methods in general.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four checks that can be made cheaply before a costly sampling study: (i) evaluate the predictor with a target-disjoint split and target-clustered intervals; (ii) test its output against ligand size and against ligand-only baselines; (iii) measure the direction of its gradient against pocket-contact proximity on captured mid-trajectory states, a diagnostic that took about 20 minutes in this work; and (iv) evaluate any docking gain after normalising by size and with a validity check, since both the raw gain and the loss of validity were visible in the same data.</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 A direct priority follows from Section IX.5's unresolved discrepancy with BADGER [24]: reading that paper's full methods, and, where feasible, applying this thesis's leakage-safe split, target-clustered statistics and negative controls to its reported setting, would establish whether the two results disagree because of evaluation rigor or because of a genuine difference in what the two guidance predictors learned.</w:t>
      </w:r>
    </w:p>
    <w:p>
      <w:pPr>
        <w:sectPr>
          <w:headerReference w:type="default" r:id="rId65"/>
          <w:headerReference w:type="first" r:id="rId66"/>
          <w:footerReference w:type="default" r:id="rId67"/>
          <w:footerReference w:type="first" r:id="rId6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independently computed evaluation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independently computed RAscore, with corrected statistics,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what follows should be stated before the individual conclusions are: this thesis does not establish that learned guidance fails in general. It establishes that the tested configurations did not produce defensible improvements under the specified generator, data regime, guidance mechanism, predictors, evaluation proxies and computational budget. A different generator, a noise-aware predictor, a gradient that is propagated through the denoiser, or a larger compute budget are all outside what was tested, and Appendix E reports which of these untested directions were in fact pursued afterward and what they changed (none of the eight further checkpoints altered the conclusion below, which is additional evidence for it, not a revision of it).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failures were not attributable to low predictor accuracy: the predictors reached Pearson correlations of 0.58 to 0.65 on leakage-safe test sets.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were artefacts.</w:t>
      </w:r>
      <w:r>
        <w:rPr>
          <w:rFonts w:ascii="Times New Roman" w:hAnsi="Times New Roman" w:eastAsia="Times New Roman"/>
          <w:b w:val="0"/>
          <w:i w:val="0"/>
          <w:sz w:val="24"/>
        </w:rPr>
        <w:t xml:space="preserve"> The only large and consistent effect,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Two measured properties of the predictors and their gradients were consistent with the failures.</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gradient magnitude increased, on average, with distance from the atoms most likely to form binding contacts. The synthesizability gradient was not explained by three simple proxies. These are correlational findings, and their explanatory role is a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ligand-only baseline (R² 0.20) that was not tested pairwise with target-level resampling.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(iii)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(iv)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Q. Hu, C. Sun, H. He, J. Xu, D. Liu, W. Zhang, S. Shi, K. Zhang, and H. Li, “Target-aware 3D molecular generation based on guided equivariant diffusion,” </w:t>
      </w:r>
      <w:r>
        <w:rPr>
          <w:rFonts w:ascii="Times New Roman" w:hAnsi="Times New Roman" w:eastAsia="Times New Roman"/>
          <w:b w:val="0"/>
          <w:i/>
          <w:sz w:val="24"/>
        </w:rPr>
        <w:t>Nat. Commun.</w:t>
      </w:r>
      <w:r>
        <w:rPr>
          <w:rFonts w:ascii="Times New Roman" w:hAnsi="Times New Roman" w:eastAsia="Times New Roman"/>
          <w:b w:val="0"/>
          <w:i w:val="0"/>
          <w:sz w:val="24"/>
        </w:rPr>
        <w:t>, vol. 16, art. 7928, 2025, doi: 10.1038/s41467-025-63245-0.</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Y. Jian, C. Wu, D. Reidenbach, and A. S. Krishnapriyan, “General binding affinity guidance for diffusion models in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66, no. 3, pp. 1342–1352, 2026, doi: 10.1021/acs.jcim.5c01166.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[58]</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[59]</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Laptop GPU (4,096 MiB; driver 595.91.07), a 20-thread CPU and 31 GB of RAM, under Linux. The guidance experiments were run in a separate conda environment (`drugdisc`), pinned in Table A.1. The actual guidance environment is captured in `guidance/thesis/environment_actual.yml` (a full `conda env export`, 166 conda-level packages) and `guidance/thesis/requirements-lock.txt` (`pip freeze`, 130 pip-installed packages, including the 119 third-party packages conda cannot itself lock); both were generated directly from the running `drugdisc` environment during this audit (2026-10-03T16:33:24Z UTC) and are tracked in the repository alongside this document. This supersedes the originally tracked `environment.yaml`, which documents the original TargetDiff repository's own setup (Python 3.8, PyTorch 1.13.1) and does not reproduce the environment the guidance code actually ran in; that file is retained for provenance, not as a build instruction for the guidance code. No environment specification was captured at the time any individual experiment was run, so `environment_actual.yml` and `requirements-lock.txt` document the environment retrospectively, as of the audit date above, rather than at each experiment's own run time; the version pins in Table A.1 were, however, stable across this project's working period and no dependency was knowingly upgraded between experiments.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Exact package versions of the `drugdisc` environment, as actually installed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568"/>
            <w:shd w:val="clear" w:fill="E7E9EE"/>
          </w:tcPr>
          <w:p>
            <w:pPr>
              <w:keepNext w:val="0"/>
              <w:keepLines w:val="0"/>
              <w:widowControl/>
              <w:spacing w:line="240" w:lineRule="auto" w:before="20" w:after="20"/>
              <w:jc w:val="center"/>
            </w:pPr>
            <w:r>
              <w:rPr>
                <w:rFonts w:ascii="Times New Roman" w:hAnsi="Times New Roman" w:eastAsia="Times New Roman"/>
                <w:b/>
                <w:i w:val="0"/>
                <w:sz w:val="20"/>
              </w:rPr>
              <w:t>Package</w:t>
            </w:r>
          </w:p>
        </w:tc>
        <w:tc>
          <w:tcPr>
            <w:tcW w:type="dxa" w:w="5741"/>
            <w:shd w:val="clear" w:fill="E7E9EE"/>
          </w:tcPr>
          <w:p>
            <w:pPr>
              <w:keepNext w:val="0"/>
              <w:keepLines w:val="0"/>
              <w:widowControl/>
              <w:spacing w:line="240" w:lineRule="auto" w:before="20" w:after="20"/>
              <w:jc w:val="center"/>
            </w:pPr>
            <w:r>
              <w:rPr>
                <w:rFonts w:ascii="Times New Roman" w:hAnsi="Times New Roman" w:eastAsia="Times New Roman"/>
                <w:b/>
                <w:i w:val="0"/>
                <w:sz w:val="20"/>
              </w:rPr>
              <w:t>Version</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Python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3.10.21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2.5.1 (CUDA 12.1)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 Geometric</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2.8.0.post1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RDKit</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2026.03.5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NumPy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2.2.6</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1.15.3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scikit-learn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1.7.2</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pandas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LMDB</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2.3.0</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PoseBusters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AutoDock Vina</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1.2.6 (binary reports "7ac2999-mod"; the Python module attribute reports 1.2.5)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Meeko</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0.1.dev3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PLIP</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3.0.1</w:t>
            </w:r>
          </w:p>
        </w:tc>
      </w:tr>
    </w:tbl>
    <w:p>
      <w:pPr>
        <w:keepNext w:val="0"/>
        <w:keepLines w:val="0"/>
        <w:widowControl/>
        <w:spacing w:line="240" w:lineRule="auto" w:before="80" w:after="0"/>
        <w:jc w:val="both"/>
      </w:pPr>
      <w:r>
        <w:rPr>
          <w:rFonts w:ascii="Times New Roman" w:hAnsi="Times New Roman" w:eastAsia="Times New Roman"/>
          <w:b w:val="0"/>
          <w:i w:val="0"/>
          <w:sz w:val="20"/>
        </w:rPr>
        <w:t>Captured by directly querying the installed packages (`import x; x.__version__`) in the running environment at the time of this audit, not transcribed from documentation or memory.</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Exact Identifiers for Reproduction</w:t>
      </w:r>
    </w:p>
    <w:p>
      <w:pPr>
        <w:keepNext w:val="0"/>
        <w:keepLines w:val="0"/>
        <w:widowControl/>
        <w:spacing w:line="480" w:lineRule="auto" w:before="0" w:after="0"/>
        <w:ind w:firstLine="720"/>
        <w:jc w:val="both"/>
      </w:pPr>
      <w:r>
        <w:rPr>
          <w:rFonts w:ascii="Times New Roman" w:hAnsi="Times New Roman" w:eastAsia="Times New Roman"/>
          <w:b w:val="0"/>
          <w:i w:val="0"/>
          <w:sz w:val="24"/>
        </w:rPr>
        <w:t>Table A.2 records the identifiers needed to recover the exact code, data and frozen model used, as SHA-256 checksums computed directly from the files on disk. The checkpoint-selection timestamps embedded in each training run's directory name (for example `crossdocked_affinity_egnn_2026_10_01__23_54_19_vinatarget`) serve as the identifier for the 8 further checkpoints of Appendix E and are not repeated individually here; they are listed in full in each checkpoint's own finding document (Appendix E's artefact lists).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A.2</w:t>
        <w:tab/>
        <w:t>Checksums and identifiers of the principal frozen artefacts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Identifier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Repository commit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Frozen TargetDiff diffusion checkpoint (`pretrained_models/pretrained_diffusion.pt`)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`8977821339ba31b7103b46835ef4ddbf7f15f3f2efc5cb1f2a405e7905b09db6`</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Reference EGNN checkpoint, PDBBind v2016 (`pretrained_models/egnn_pdbbind_v2016.pt`)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`1cd74eb55043bf788ac29186e56905b6a645a9d4722b03b97482ffb6f36970df`</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original split (`guidance_models/affinity_egnn.pt`)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`006808e6461f72156e2021cbbe034ac1cb9568942b857d8e9d1c414530753447`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leakage-safe split (`guidance_models/affinity_egnn_lpsplit.pt`)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`a76d254a921c9e00d0a6409cad5006952e2308059ce3a0a602bd86ec1bb297a7`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Classifier head, B2 (`guidance_models/classifier_head.pt`)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`46caa0d864b99e8e7968baec50293638ee447d69e9279c5b6d31502b26aa9fd9`</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SynthPredNet (`guidance_models/synth_ra_score.pt`)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`e79c12fa2696a5e99df835e35f11ab59407338ef2d94f521ecddb591f7fa844a`</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 (`data/crossdocked_v1.1_rmsd1.0_pocket10_processed_final.lmdb`, 3.8 GB)</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`376679dd1516e855f1cdd89bef2e25995958b77695cd63a88a26ec02a1d3b591`</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Affinity annotation file (`data/affinity_info.pkl`)</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`2f99f361f77f41a6e0252aa2692470a4d433eeef169aac5ff129caf79e050cf9`</w:t>
            </w:r>
          </w:p>
        </w:tc>
      </w:tr>
    </w:tbl>
    <w:p>
      <w:pPr>
        <w:keepNext w:val="0"/>
        <w:keepLines w:val="0"/>
        <w:widowControl/>
        <w:spacing w:line="240" w:lineRule="auto" w:before="80" w:after="0"/>
        <w:jc w:val="both"/>
      </w:pPr>
      <w:r>
        <w:rPr>
          <w:rFonts w:ascii="Times New Roman" w:hAnsi="Times New Roman" w:eastAsia="Times New Roman"/>
          <w:b w:val="0"/>
          <w:i w:val="0"/>
          <w:sz w:val="20"/>
        </w:rPr>
        <w:t>All checksums were computed directly from the files on disk at the time of this audit (`sha256sum`), not copied from an external record.</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Reproducibility Checklist</w:t>
      </w:r>
    </w:p>
    <w:p>
      <w:pPr>
        <w:keepNext w:val="0"/>
        <w:keepLines w:val="0"/>
        <w:widowControl/>
        <w:spacing w:line="480" w:lineRule="auto" w:before="0" w:after="0"/>
        <w:ind w:firstLine="720"/>
        <w:jc w:val="both"/>
      </w:pPr>
      <w:r>
        <w:rPr>
          <w:rFonts w:ascii="Times New Roman" w:hAnsi="Times New Roman" w:eastAsia="Times New Roman"/>
          <w:b w:val="0"/>
          <w:i w:val="0"/>
          <w:sz w:val="24"/>
        </w:rPr>
        <w:t>Table A.3 is a status checklist, not a promise: an item is marked verified only where this project actually checked it, in the sense stated in its own row, and unverified items are disclosed rather than assumed.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A.3</w:t>
        <w:tab/>
        <w:t>Reproducibility checklist, marked only where actually verified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Item</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Status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Package versions pinned and recorded (Table A.1)</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read directly from the running environment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Git commit of the code that produced the results in this document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Dataset and checkpoint identifiers (Table A.2)</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SHA-256 of the files actually used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Random seeds recorded per run</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sampling/docking jobs (one result directory per condition/pocket/seed) and per-seed training runs (Appendix D, Section VIII.7); not every exploratory-tier ablation logged its seed individually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Headline numbers re-derivable from raw result files by a saved analysis script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the checkpoints and results re-derived during this thesis-revision audit (Section A.5); not independently re-run for every number in Chapters IV to VIII</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Full pipeline (data preparation → training → sampling → docking → statistics) re-executable from a clean checkout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Not verified in this pass: this would require re-running multi-hour training and sampling jobs on the project's single 4 GB GPU, which was not repeated for this audit. The code paths and commands are documented (Table A.4, Section A.5) but an independent clean-room run was not performed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Environment specification file matching the actual guidance environment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`guidance/thesis/environment_actual.yml` and `guidance/thesis/requirements-lock.txt`, generated directly from the running environment (Section A.1); captured retrospectively during this audit, not at each experiment's own run time</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A.4</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A.4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A.4</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A.5</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independent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POST-SYNTHESIS FOLLOW-UP: TESTING THE DIAGNOSED MECHANISM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appendix is, in the terms of Section III.1.1, an </w:t>
      </w:r>
      <w:r>
        <w:rPr>
          <w:rFonts w:ascii="Times New Roman" w:hAnsi="Times New Roman" w:eastAsia="Times New Roman"/>
          <w:b w:val="0"/>
          <w:i/>
          <w:sz w:val="24"/>
        </w:rPr>
        <w:t>Appendix E follow-up</w:t>
      </w:r>
      <w:r>
        <w:rPr>
          <w:rFonts w:ascii="Times New Roman" w:hAnsi="Times New Roman" w:eastAsia="Times New Roman"/>
          <w:b w:val="0"/>
          <w:i w:val="0"/>
          <w:sz w:val="24"/>
        </w:rPr>
        <w:t>: every analysis below was conducted after Chapter IX's synthesis had already been written and frozen, and none of it was pre-registered. It is not part of the decision sequence of Tracks A to E (Chapters IV to VIII), it was not subject to the standing two-independent-routes rule or to any frozen stopping rule, and no verdict here revises a verdict already reached in Chapters IV to X. It follows this project's general exploratory-then-confirmatory working discipline (Section III.6.1) and the same corrected-statistics standard as the rest of the thesis, but its status is additional evidence for the main synthesis, not a continuation of the main synthesis's own pre-declared design.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IX.2.3)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independently computed docking comparison of this appendix with the pool of Chapter IX into a single correction. All checkpoints were trained on the same leakage-safe split as Chapter IV (Section III.3), and every independently computed 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20" name="Picture 20"/>
            <wp:cNvGraphicFramePr>
              <a:graphicFrameLocks noChangeAspect="1"/>
            </wp:cNvGraphicFramePr>
            <a:graphic>
              <a:graphicData uri="http://schemas.openxmlformats.org/drawingml/2006/picture">
                <pic:pic>
                  <pic:nvPicPr>
                    <pic:cNvPr id="0" name="meta_summary_all_routes.png"/>
                    <pic:cNvPicPr/>
                  </pic:nvPicPr>
                  <pic:blipFill>
                    <a:blip r:embed="rId100"/>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independent Vina Dock and PoseBusters) gave 0/16 comparisons significant after Benjamini–Hochberg correction [4] (minimum raw p = 0.031, minimum corrected p = 0.489), a result reported in full in Table E.7.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the independently computed docking score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independently computed 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[33] to the Stage 0 EGNN, trained on the Vina-target recipe. This produced the best predictive quality and the best diagnostic of any variant that was not told, by construction, to optimise that diagnostic (Table E.1, Figure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21" name="Picture 21"/>
            <wp:cNvGraphicFramePr>
              <a:graphicFrameLocks noChangeAspect="1"/>
            </wp:cNvGraphicFramePr>
            <a:graphic>
              <a:graphicData uri="http://schemas.openxmlformats.org/drawingml/2006/picture">
                <pic:pic>
                  <pic:nvPicPr>
                    <pic:cNvPr id="0" name="fig1_predictive_quality.png"/>
                    <pic:cNvPicPr/>
                  </pic:nvPicPr>
                  <pic:blipFill>
                    <a:blip r:embed="rId101"/>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independently computed 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E.3</w:t>
        <w:tab/>
        <w:t>ESM2 checkpoint, exploratory (n=8) versus confirmatory (n=24) independently computed 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22" name="Picture 22"/>
            <wp:cNvGraphicFramePr>
              <a:graphicFrameLocks noChangeAspect="1"/>
            </wp:cNvGraphicFramePr>
            <a:graphic>
              <a:graphicData uri="http://schemas.openxmlformats.org/drawingml/2006/picture">
                <pic:pic>
                  <pic:nvPicPr>
                    <pic:cNvPr id="0" name="fig4_dose_response.png"/>
                    <pic:cNvPicPr/>
                  </pic:nvPicPr>
                  <pic:blipFill>
                    <a:blip r:embed="rId102"/>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23" name="Picture 23"/>
            <wp:cNvGraphicFramePr>
              <a:graphicFrameLocks noChangeAspect="1"/>
            </wp:cNvGraphicFramePr>
            <a:graphic>
              <a:graphicData uri="http://schemas.openxmlformats.org/drawingml/2006/picture">
                <pic:pic>
                  <pic:nvPicPr>
                    <pic:cNvPr id="0" name="fig2_diag1_dissociation.png"/>
                    <pic:cNvPicPr/>
                  </pic:nvPicPr>
                  <pic:blipFill>
                    <a:blip r:embed="rId103"/>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among Phase 1's own four interventions stacks all of them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independently computed 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an independently computed docking effect that survives correction. Figure E.4 shows this dissociation between diagnostic quality and docking outcome across every checkpoint of Phase 1 at once.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chemically meaningful interactions,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docking test to this point asks whether the raw Vina Dock score moves. A different, closely related question is whether guidance changes the number of geometrically detected, chemically meaningful protein–ligand interactions a pose actually forms — hydrogen bonds, hydrophobic contacts, π-stacking and salt bridges, counted by the Protein–Ligand Interaction Profiler (PLIP) [1], [40] on the same Vina-docked poses used throughout this appendix. This matters specifically against one alternative explanation for the overall null pattern: that Vina Dock is a misleading proxy hiding an interaction-level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independently computed docking result) showed the same null at both the score and the interaction level (n = 8, λ ∈ {1.0, 10.0}, no comparison significant in either direction). Neither checkpoint tested — the one that came closest to a defensible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24" name="Picture 24"/>
            <wp:cNvGraphicFramePr>
              <a:graphicFrameLocks noChangeAspect="1"/>
            </wp:cNvGraphicFramePr>
            <a:graphic>
              <a:graphicData uri="http://schemas.openxmlformats.org/drawingml/2006/picture">
                <pic:pic>
                  <pic:nvPicPr>
                    <pic:cNvPr id="0" name="fig9_plip_signal_reversal.png"/>
                    <pic:cNvPicPr/>
                  </pic:nvPicPr>
                  <pic:blipFill>
                    <a:blip r:embed="rId104"/>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[35], was removed entirely — 53 targets (8,880 entries) moved to test, with no kinase-family target appearing anywhere in training or validation.</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Figure E.6). The diagnostic was healthier too, and for the first time on a non-forced checkpoint reached significance in the correct direction without any auxiliary loss asking it to: −0.086 (95% CI [−0.136, −0.037]), against the familiar-distribution checkpoint's wrongly signed +0.047 (Table E.2). The independently computed 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25" name="Picture 25"/>
            <wp:cNvGraphicFramePr>
              <a:graphicFrameLocks noChangeAspect="1"/>
            </wp:cNvGraphicFramePr>
            <a:graphic>
              <a:graphicData uri="http://schemas.openxmlformats.org/drawingml/2006/picture">
                <pic:pic>
                  <pic:nvPicPr>
                    <pic:cNvPr id="0" name="fig7_family_holdout_quality.png"/>
                    <pic:cNvPicPr/>
                  </pic:nvPicPr>
                  <pic:blipFill>
                    <a:blip r:embed="rId105"/>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[26], [47]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 Pocket-local confidence is, on average, higher than whole-protein confidence (+7.4 pLDDT points; Figure E.8), consistent with binding pockets lying in generally well-ordered regions of the structure, but this average gap does not itself distinguish the overconfident minority identified above.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26" name="Picture 26"/>
            <wp:cNvGraphicFramePr>
              <a:graphicFrameLocks noChangeAspect="1"/>
            </wp:cNvGraphicFramePr>
            <a:graphic>
              <a:graphicData uri="http://schemas.openxmlformats.org/drawingml/2006/picture">
                <pic:pic>
                  <pic:nvPicPr>
                    <pic:cNvPr id="0" name="fig5_alphafold_plddt_rmsd.png"/>
                    <pic:cNvPicPr/>
                  </pic:nvPicPr>
                  <pic:blipFill>
                    <a:blip r:embed="rId106"/>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27" name="Picture 27"/>
            <wp:cNvGraphicFramePr>
              <a:graphicFrameLocks noChangeAspect="1"/>
            </wp:cNvGraphicFramePr>
            <a:graphic>
              <a:graphicData uri="http://schemas.openxmlformats.org/drawingml/2006/picture">
                <pic:pic>
                  <pic:nvPicPr>
                    <pic:cNvPr id="0" name="fig6_pocket_vs_global_plddt.png"/>
                    <pic:cNvPicPr/>
                  </pic:nvPicPr>
                  <pic:blipFill>
                    <a:blip r:embed="rId107"/>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independently computed 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The diagnostic was healthy but did not improve on the whole-protein version: the distance correlation kept the correct sign but lost significance (−0.026, 95% CI [−0.069, 0.017], against the whole-protein version's significant −0.072; Table E.2). The independently computed 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[56],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independently computed 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28" name="Picture 28"/>
            <wp:cNvGraphicFramePr>
              <a:graphicFrameLocks noChangeAspect="1"/>
            </wp:cNvGraphicFramePr>
            <a:graphic>
              <a:graphicData uri="http://schemas.openxmlformats.org/drawingml/2006/picture">
                <pic:pic>
                  <pic:nvPicPr>
                    <pic:cNvPr id="0" name="fig8_chembl_crossvalidation.png"/>
                    <pic:cNvPicPr/>
                  </pic:nvPicPr>
                  <pic:blipFill>
                    <a:blip r:embed="rId108"/>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independently computed 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IX.2.3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ends two orders of magnitude below the raw nudge sum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E.6</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E.6, Figure E.10).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29" name="Picture 29"/>
            <wp:cNvGraphicFramePr>
              <a:graphicFrameLocks noChangeAspect="1"/>
            </wp:cNvGraphicFramePr>
            <a:graphic>
              <a:graphicData uri="http://schemas.openxmlformats.org/drawingml/2006/picture">
                <pic:pic>
                  <pic:nvPicPr>
                    <pic:cNvPr id="0" name="trace_gap_plot.png"/>
                    <pic:cNvPicPr/>
                  </pic:nvPicPr>
                  <pic:blipFill>
                    <a:blip r:embed="rId109"/>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E.6. Only as the schedule's posterior variance shrinks toward the end does the same-sized nudge's relative contribution grow enough to produce a measurable, compounding effect — consistent with the late-trajectory acceleration observed. The observed trajectory is consistent with the guidance nudge being largely overwhelmed by the sampler's stochastic noise during most of the trajectory, rather than being systematically cancelled by an opposing correction. This directly supports hypothesis (c) of Section IX.2.3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(at most 0.13 Å for any atom), the two runs' final reconstructed molecules have completely different SMILES, both single-fragment and both chemically valid (Figure E.11).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E.6 measures — a "butterfly effect" specific to discrete sampling, not evidence that the position-level effect was itself large. The specific step at which the type-sampling decision flips was not isolated, and this detail is flagged as open rather than claimed as settled. Figure E.12 and Figure E.13 render the two molecules of this pair in their docked 3D binding context, the same pair whose 2D structures and position trajectory are given in Figure E.11 and Table E.6.</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30" name="Picture 30"/>
            <wp:cNvGraphicFramePr>
              <a:graphicFrameLocks noChangeAspect="1"/>
            </wp:cNvGraphicFramePr>
            <a:graphic>
              <a:graphicData uri="http://schemas.openxmlformats.org/drawingml/2006/picture">
                <pic:pic>
                  <pic:nvPicPr>
                    <pic:cNvPr id="0" name="trace_molecules_2d.png"/>
                    <pic:cNvPicPr/>
                  </pic:nvPicPr>
                  <pic:blipFill>
                    <a:blip r:embed="rId110"/>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1" name="Picture 31"/>
            <wp:cNvGraphicFramePr>
              <a:graphicFrameLocks noChangeAspect="1"/>
            </wp:cNvGraphicFramePr>
            <a:graphic>
              <a:graphicData uri="http://schemas.openxmlformats.org/drawingml/2006/picture">
                <pic:pic>
                  <pic:nvPicPr>
                    <pic:cNvPr id="0" name="trace_unguided.png"/>
                    <pic:cNvPicPr/>
                  </pic:nvPicPr>
                  <pic:blipFill>
                    <a:blip r:embed="rId111"/>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The unguided (λ=0) molecule of the paired trace, docked into its pocket (PDB 1h36) and rendered with its hydrogen-bond partners. Renders the same molecule referenced in Figure E.11 and Table E.6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2" name="Picture 32"/>
            <wp:cNvGraphicFramePr>
              <a:graphicFrameLocks noChangeAspect="1"/>
            </wp:cNvGraphicFramePr>
            <a:graphic>
              <a:graphicData uri="http://schemas.openxmlformats.org/drawingml/2006/picture">
                <pic:pic>
                  <pic:nvPicPr>
                    <pic:cNvPr id="0" name="trace_guided.png"/>
                    <pic:cNvPicPr/>
                  </pic:nvPicPr>
                  <pic:blipFill>
                    <a:blip r:embed="rId112"/>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Vina Dock comparison of this appendix was pooled with the comparisons already reported (one outcome variable per pool; the PLIP interaction-count tests of Section E.3.1 measure a different quantity and are reported on their own terms there, not pooled here). Table E.7 lists every source.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E.7</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independent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E.14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33" name="Picture 33"/>
            <wp:cNvGraphicFramePr>
              <a:graphicFrameLocks noChangeAspect="1"/>
            </wp:cNvGraphicFramePr>
            <a:graphic>
              <a:graphicData uri="http://schemas.openxmlformats.org/drawingml/2006/picture">
                <pic:pic>
                  <pic:nvPicPr>
                    <pic:cNvPr id="0" name="fig3_pooled_forest.png"/>
                    <pic:cNvPicPr/>
                  </pic:nvPicPr>
                  <pic:blipFill>
                    <a:blip r:embed="rId113"/>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Effect size and 95% confidence interval of every one of the 48 pooled comparisons of Table E.7,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an interaction-level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sectPr w:rsidR="00FC693F" w:rsidRPr="0006063C" w:rsidSect="00034616">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7.xml"/><Relationship Id="rId53" Type="http://schemas.openxmlformats.org/officeDocument/2006/relationships/footer" Target="footer18.xml"/><Relationship Id="rId54" Type="http://schemas.openxmlformats.org/officeDocument/2006/relationships/image" Target="media/image10.png"/><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19.xml"/><Relationship Id="rId58" Type="http://schemas.openxmlformats.org/officeDocument/2006/relationships/footer" Target="footer20.xml"/><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header" Target="header22.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image" Target="media/image19.png"/><Relationship Id="rId72" Type="http://schemas.openxmlformats.org/officeDocument/2006/relationships/header" Target="header23.xml"/><Relationship Id="rId73" Type="http://schemas.openxmlformats.org/officeDocument/2006/relationships/header" Target="header24.xml"/><Relationship Id="rId74" Type="http://schemas.openxmlformats.org/officeDocument/2006/relationships/footer" Target="footer23.xml"/><Relationship Id="rId75" Type="http://schemas.openxmlformats.org/officeDocument/2006/relationships/footer" Target="footer24.xml"/><Relationship Id="rId76" Type="http://schemas.openxmlformats.org/officeDocument/2006/relationships/header" Target="header25.xml"/><Relationship Id="rId77" Type="http://schemas.openxmlformats.org/officeDocument/2006/relationships/header" Target="header26.xml"/><Relationship Id="rId78" Type="http://schemas.openxmlformats.org/officeDocument/2006/relationships/footer" Target="footer25.xml"/><Relationship Id="rId79" Type="http://schemas.openxmlformats.org/officeDocument/2006/relationships/footer" Target="footer26.xml"/><Relationship Id="rId80" Type="http://schemas.openxmlformats.org/officeDocument/2006/relationships/header" Target="header27.xml"/><Relationship Id="rId81" Type="http://schemas.openxmlformats.org/officeDocument/2006/relationships/header" Target="header28.xml"/><Relationship Id="rId82" Type="http://schemas.openxmlformats.org/officeDocument/2006/relationships/footer" Target="footer27.xml"/><Relationship Id="rId83" Type="http://schemas.openxmlformats.org/officeDocument/2006/relationships/footer" Target="footer28.xml"/><Relationship Id="rId84" Type="http://schemas.openxmlformats.org/officeDocument/2006/relationships/header" Target="header29.xml"/><Relationship Id="rId85" Type="http://schemas.openxmlformats.org/officeDocument/2006/relationships/header" Target="header30.xml"/><Relationship Id="rId86" Type="http://schemas.openxmlformats.org/officeDocument/2006/relationships/footer" Target="footer29.xml"/><Relationship Id="rId87" Type="http://schemas.openxmlformats.org/officeDocument/2006/relationships/footer" Target="footer30.xml"/><Relationship Id="rId88" Type="http://schemas.openxmlformats.org/officeDocument/2006/relationships/header" Target="header31.xml"/><Relationship Id="rId89" Type="http://schemas.openxmlformats.org/officeDocument/2006/relationships/header" Target="header32.xml"/><Relationship Id="rId90" Type="http://schemas.openxmlformats.org/officeDocument/2006/relationships/footer" Target="footer31.xml"/><Relationship Id="rId91" Type="http://schemas.openxmlformats.org/officeDocument/2006/relationships/footer" Target="footer32.xml"/><Relationship Id="rId92" Type="http://schemas.openxmlformats.org/officeDocument/2006/relationships/header" Target="header33.xml"/><Relationship Id="rId93" Type="http://schemas.openxmlformats.org/officeDocument/2006/relationships/header" Target="header34.xml"/><Relationship Id="rId94" Type="http://schemas.openxmlformats.org/officeDocument/2006/relationships/footer" Target="footer33.xml"/><Relationship Id="rId95" Type="http://schemas.openxmlformats.org/officeDocument/2006/relationships/footer" Target="footer34.xml"/><Relationship Id="rId96" Type="http://schemas.openxmlformats.org/officeDocument/2006/relationships/header" Target="header35.xml"/><Relationship Id="rId97" Type="http://schemas.openxmlformats.org/officeDocument/2006/relationships/header" Target="header36.xml"/><Relationship Id="rId98" Type="http://schemas.openxmlformats.org/officeDocument/2006/relationships/footer" Target="footer35.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image" Target="media/image21.png"/><Relationship Id="rId102" Type="http://schemas.openxmlformats.org/officeDocument/2006/relationships/image" Target="media/image22.png"/><Relationship Id="rId103" Type="http://schemas.openxmlformats.org/officeDocument/2006/relationships/image" Target="media/image23.png"/><Relationship Id="rId104" Type="http://schemas.openxmlformats.org/officeDocument/2006/relationships/image" Target="media/image24.png"/><Relationship Id="rId105" Type="http://schemas.openxmlformats.org/officeDocument/2006/relationships/image" Target="media/image25.png"/><Relationship Id="rId106" Type="http://schemas.openxmlformats.org/officeDocument/2006/relationships/image" Target="media/image26.png"/><Relationship Id="rId107" Type="http://schemas.openxmlformats.org/officeDocument/2006/relationships/image" Target="media/image27.png"/><Relationship Id="rId108" Type="http://schemas.openxmlformats.org/officeDocument/2006/relationships/image" Target="media/image28.png"/><Relationship Id="rId109" Type="http://schemas.openxmlformats.org/officeDocument/2006/relationships/image" Target="media/image29.png"/><Relationship Id="rId110" Type="http://schemas.openxmlformats.org/officeDocument/2006/relationships/image" Target="media/image30.png"/><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Coupled Affinity-Synthesizability Guidance for Target-Conditional Molecular Diffusion in Structure-Based Drug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