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 real outcomes rather than by the predictor's own score. A frozen TargetDiff model was guided by affinity and synthesizability predictors, and results were evaluated with AutoDock Vina docking, PoseBusters validity, ligand efficiency and the real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real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17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18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Decision bands and negative controls</w:t>
        <w:tab/>
        <w:t>29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A note on the wording of null results</w:t>
        <w:tab/>
        <w:t>30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Target-clustered statistics for predictor comparisons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32</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37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38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39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44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53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59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63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66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67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68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Real Score</w:t>
        <w:tab/>
        <w:t>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73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76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77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78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78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81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82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83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85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86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88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94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95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96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96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98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98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99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105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106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107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108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109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111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113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114</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Repository Layout</w:t>
        <w:tab/>
        <w:t>120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Reproducing the Results and This Document</w:t>
        <w:tab/>
        <w:t>121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123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125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125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127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127</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131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real chemistry, not just the raw score? (PLIP)</w:t>
        <w:tab/>
        <w:t>140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141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146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147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152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156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158</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19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73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74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76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96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Principal elements of the repository</w:t>
        <w:tab/>
        <w:t>120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125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132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real-docking test, paired by seed</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156</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18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39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tab/>
        <w:t>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57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63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65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81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92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tab/>
        <w:t>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130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tab/>
        <w:t>138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140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157</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[44].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central question of this thesis is whether learned guidance signals improve generated molecules on </w:t>
      </w:r>
      <w:r>
        <w:rPr>
          <w:rFonts w:ascii="Times New Roman" w:hAnsi="Times New Roman" w:eastAsia="Times New Roman"/>
          <w:b w:val="0"/>
          <w:i/>
          <w:sz w:val="24"/>
        </w:rPr>
        <w:t>real</w:t>
      </w:r>
      <w:r>
        <w:rPr>
          <w:rFonts w:ascii="Times New Roman" w:hAnsi="Times New Roman" w:eastAsia="Times New Roman"/>
          <w:b w:val="0"/>
          <w:i w:val="0"/>
          <w:sz w:val="24"/>
        </w:rPr>
        <w:t xml:space="preserve"> outcomes, that is, on quantities that are computed independently of the guidance model and that a medicinal chemist would recognise as meaningful.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[50]. A guidance signal that raises such a score is therefore not automatically a success. Second, learned affinity predictors are known to be sensitive to data leakage between training and test sets, and to exploit ligand-only shortcuts [19], [30], [46];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measured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interaction information: interaction-conditioned generators [28], [49], [57] and diffusion models that inject priors derived from affinity networks [22]. The second concerns learned scoring functions and the reliability of their evaluation, including physics-informed and interaction-explicit architectures [34], [52], leakage-controlled benchmarks [19], [30] and critiques of shortcut learning [40], [46].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study has evaluated learned guidance for a frozen 3D diffusion generator against independently computed real outcomes under a leakage-safe, statistically corrected protocol that includes negative controls.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real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real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real docking?</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pull acts on atoms farthest from the pocket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Apparent success is a molecular-size artefact, not a selection benefit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Real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own-score/real-score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0/32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nudge is mostly drowned out by the sampler's own step noise, not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[39]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[57]. InterDiff conditions a diffusion model on interaction "prompts" detected with BINANA, uses cross-attention to inject them, and adds a cross-entropy loss that classifies protein-atom features into interaction types inside the denoiser [49]. BInD treats non-covalent interactions extracted with PLIP as an additional categorical channel that is generated jointly with atoms and bonds under its own loss, and applies knowledge-based guidance terms after the network prediction [28]. An earlier recurrent generator was constrained by an interaction fingerprint computed on docking poses [55]. DPDiff, a diffusion model on CrossDocked2020, extracts "interaction priors" from two pretrained affinity-prediction networks during sampling, using intermediate diffusion predictions as input [22]. Its ablation reports that a geometry-based prior that was pretrained on accurate poses degraded generation when queried on noisy intermediate structures, because of the mismatch between training and sampling inputs [22].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[44].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[50]. Re-parameterisations of the function, such as Vinardo, were introduced because the conventional approach of fitting empirical terms by linear regression to experimental affinities does not yield a function with optimal docking capabilities [35].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[52]. PIGNet predicts atom–atom pairwise interaction terms with physics-informed equations whose parameters are produced by a neural network and sums them to obtain the affinity, and augments the training data with additional poses and ligands to improve generalisation [34]. Interformer combines a graph-transformer with an interaction-aware mixture density network for docking and affinity prediction [27], and PLANET is trained with three objectives (affinity, protein–ligand contact map and ligand distance matrix) [56]. A framework that adds an adjustable affinity term to the training of a mixture density network was proposed to balance scoring, docking, ranking and screening powers, which the authors note are rarely achieved simultaneously by a single machine-learned function [42].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[46].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[30].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[40].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[37].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[43].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[36], and it remains in use, for example for correcting a semiempirical method in the prediction of reaction barrier heights [25].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[47]. Related work re-scored Vina poses with random forests [29], and a delta model built on a linear empirical baseline and gradient boosting reported Pearson correlations of 0.853, 0.839 and 0.813 on locally optimised, redocked and ensemble-docked poses of the CASF-2016 core set [51].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[26]; gradient normalisation equalises gradient magnitudes at a shared layer [7]; gradient surgery projects a task gradient off the gradient of a conflicting task [53]; and dual balancing acts on both loss scales and gradient magnitudes [32]. Auxiliary tasks can also cause negative transfer, for which dedicated remedies have been proposed [23],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[38], [41]. Alternative encodings include the interaction fingerprints of ProLIF [5] and of related tools [14], [48].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[22], [28], [57], and, in one case, as an auxiliary classification loss inside the generator's own denoiser [49]. Residual learning has been applied to scoring with tree ensembles [47], [51]. Multi-objective affinity networks with structural auxiliary targets exist [56]. What was not found, within the limits of the searches described in Appendix B, is a study that (i) evaluates learned affinity or synthesizability guidance for a frozen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Work</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Interaction information</w:t>
            </w:r>
          </w:p>
        </w:tc>
        <w:tc>
          <w:tcPr>
            <w:tcW w:type="dxa" w:w="1395"/>
            <w:shd w:val="clear" w:fill="E7E9EE"/>
          </w:tcPr>
          <w:p>
            <w:pPr>
              <w:keepNext w:val="0"/>
              <w:keepLines w:val="0"/>
              <w:widowControl/>
              <w:spacing w:line="240" w:lineRule="auto" w:before="20" w:after="20"/>
              <w:jc w:val="center"/>
            </w:pPr>
            <w:r>
              <w:rPr>
                <w:rFonts w:ascii="Times New Roman" w:hAnsi="Times New Roman" w:eastAsia="Times New Roman"/>
                <w:b/>
                <w:i w:val="0"/>
                <w:sz w:val="20"/>
              </w:rPr>
              <w:t>Residual (delta) target</w:t>
            </w:r>
          </w:p>
        </w:tc>
        <w:tc>
          <w:tcPr>
            <w:tcW w:type="dxa" w:w="2305"/>
            <w:shd w:val="clear" w:fill="E7E9EE"/>
          </w:tcPr>
          <w:p>
            <w:pPr>
              <w:keepNext w:val="0"/>
              <w:keepLines w:val="0"/>
              <w:widowControl/>
              <w:spacing w:line="240" w:lineRule="auto" w:before="20" w:after="20"/>
              <w:jc w:val="center"/>
            </w:pPr>
            <w:r>
              <w:rPr>
                <w:rFonts w:ascii="Times New Roman" w:hAnsi="Times New Roman" w:eastAsia="Times New Roman"/>
                <w:b/>
                <w:i w:val="0"/>
                <w:sz w:val="20"/>
              </w:rPr>
              <w:t>Role in a 3D diffusion generator</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DeepICL [57]</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as conditioning</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Autoregressive generator (not diffusion)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InterDiff [49]</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BINANA types; classification loss in denoiser</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cross-attention conditioning</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BInD [28]</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interactions co-generated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joint generation</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DPDiff [22]</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Latent priors from affinity networks</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Diffusion; priors from intermediate predictions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PLANET [56]</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Contact map (not typed)</w:t>
            </w:r>
          </w:p>
        </w:tc>
        <w:tc>
          <w:tcPr>
            <w:tcW w:type="dxa" w:w="139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model)</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ΔVinaRF20 [47]; Δ-XGBoost [51]</w:t>
            </w:r>
          </w:p>
        </w:tc>
        <w:tc>
          <w:tcPr>
            <w:tcW w:type="dxa" w:w="2305"/>
          </w:tcPr>
          <w:p>
            <w:pPr>
              <w:keepNext w:val="0"/>
              <w:keepLines w:val="0"/>
              <w:widowControl/>
              <w:spacing w:line="240" w:lineRule="auto" w:before="20" w:after="20"/>
              <w:jc w:val="center"/>
            </w:pPr>
            <w:r>
              <w:rPr>
                <w:rFonts w:ascii="Times New Roman" w:hAnsi="Times New Roman" w:eastAsia="Times New Roman"/>
                <w:b w:val="0"/>
                <w:i w:val="0"/>
                <w:sz w:val="20"/>
              </w:rPr>
              <w:t>No</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(tree ensembles)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None (scoring functions)</w:t>
            </w:r>
          </w:p>
        </w:tc>
      </w:tr>
      <w:tr>
        <w:trPr>
          <w:cantSplit/>
        </w:trPr>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This thesis</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PLIP labels (designed, not tested)</w:t>
            </w:r>
          </w:p>
        </w:tc>
        <w:tc>
          <w:tcPr>
            <w:tcW w:type="dxa" w:w="1395"/>
          </w:tcPr>
          <w:p>
            <w:pPr>
              <w:keepNext w:val="0"/>
              <w:keepLines w:val="0"/>
              <w:widowControl/>
              <w:spacing w:line="240" w:lineRule="auto" w:before="20" w:after="20"/>
              <w:jc w:val="left"/>
            </w:pPr>
            <w:r>
              <w:rPr>
                <w:rFonts w:ascii="Times New Roman" w:hAnsi="Times New Roman" w:eastAsia="Times New Roman"/>
                <w:b w:val="0"/>
                <w:i w:val="0"/>
                <w:sz w:val="20"/>
              </w:rPr>
              <w:t>Yes (graph network)</w:t>
            </w:r>
          </w:p>
        </w:tc>
        <w:tc>
          <w:tcPr>
            <w:tcW w:type="dxa" w:w="2305"/>
          </w:tcPr>
          <w:p>
            <w:pPr>
              <w:keepNext w:val="0"/>
              <w:keepLines w:val="0"/>
              <w:widowControl/>
              <w:spacing w:line="240" w:lineRule="auto" w:before="20" w:after="20"/>
              <w:jc w:val="left"/>
            </w:pPr>
            <w:r>
              <w:rPr>
                <w:rFonts w:ascii="Times New Roman" w:hAnsi="Times New Roman" w:eastAsia="Times New Roman"/>
                <w:b w:val="0"/>
                <w:i w:val="0"/>
                <w:sz w:val="20"/>
              </w:rPr>
              <w:t>Guidance predictor for a frozen diffusion model</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it does not claim that no other work exists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real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 real, independently computed outcome.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(Section III.6.1)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III.6.2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20"/>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72"/>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8"/>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51"/>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72"/>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72"/>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20"/>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20"/>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Real RAscore (KS)</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51"/>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8"/>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20"/>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20"/>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72"/>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8"/>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51"/>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The official split of that release assigns 99,990 pocket instances to training (1,905 unique targets) and 100 to testing (93 unique targets), with no target overlap between the two.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[30]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resulting split, restricted to entries with a non-zero pK and an RMSD below 2 Å (1,041 targets, 76,803 entries),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[43]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[22].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[39]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[52], in which covalent (or covalent-proxy) and non-covalent edges share one message pass and are differentiated by separate MLPs, with the physics-decomposed readout of PIGNet [34]: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Real RAscore model [43]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[50];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[50].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with 31 targets discarded for ligand contamination and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from a distinct protein family,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real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real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real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real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real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[52] with hidden size 256, which produce an embedding for each protein and ligand atom. The output is the sum of pairwise energy terms between all ligand and protein atoms, as in PIGNet2 [34]: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real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for real docking.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real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[22].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real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was significant after the correction. The seeds agreed in direction for 14 of 15 pockets; the exception was SQHC (per-seed shifts +0.78 and −1.07), whose raw effect (−0.13, 95% CI −1.22 to +4.66) was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real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[43],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Real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real RAscore of the finished molecules decreased (Table 7.1 and Figure 7.1A). At λ = 0.03 the own score was 29% higher and the real score 53% lower than in the unguided run. Per molecule, 6 of 8 real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04"/>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2341"/>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458"/>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2106"/>
            <w:shd w:val="clear" w:fill="E7E9EE"/>
          </w:tcPr>
          <w:p>
            <w:pPr>
              <w:keepNext w:val="0"/>
              <w:keepLines w:val="0"/>
              <w:widowControl/>
              <w:spacing w:line="240" w:lineRule="auto" w:before="20" w:after="20"/>
              <w:jc w:val="center"/>
            </w:pPr>
            <w:r>
              <w:rPr>
                <w:rFonts w:ascii="Times New Roman" w:hAnsi="Times New Roman" w:eastAsia="Times New Roman"/>
                <w:b/>
                <w:i w:val="0"/>
                <w:sz w:val="20"/>
              </w:rPr>
              <w:t>Real RA-score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210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404"/>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2341"/>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458"/>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10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real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real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on the same single pocket (BSD_ASPTE) with 30 molecules per value, the full 1,000 steps and a grid from 0 to 30 (Table 7.3). A KS test of the real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942"/>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570"/>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021"/>
            <w:shd w:val="clear" w:fill="E7E9EE"/>
          </w:tcPr>
          <w:p>
            <w:pPr>
              <w:keepNext w:val="0"/>
              <w:keepLines w:val="0"/>
              <w:widowControl/>
              <w:spacing w:line="240" w:lineRule="auto" w:before="20" w:after="20"/>
              <w:jc w:val="center"/>
            </w:pPr>
            <w:r>
              <w:rPr>
                <w:rFonts w:ascii="Times New Roman" w:hAnsi="Times New Roman" w:eastAsia="Times New Roman"/>
                <w:b/>
                <w:i w:val="0"/>
                <w:sz w:val="18"/>
              </w:rPr>
              <w:t>Real RA-score</w:t>
            </w:r>
          </w:p>
        </w:tc>
        <w:tc>
          <w:tcPr>
            <w:tcW w:type="dxa" w:w="2198"/>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real score (95% CI)</w:t>
            </w:r>
          </w:p>
        </w:tc>
        <w:tc>
          <w:tcPr>
            <w:tcW w:type="dxa" w:w="77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198"/>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942"/>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570"/>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021"/>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19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real RA-score as a function of guidance strength. (B) Leakage-safe predictor with bond-aware features (n = 30, same pocket): shift of the real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real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 real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real RAscore was observed (the only higher mean, +1% at λ = 0.01 in the original design, was within the run-to-run noise); the guidance destroyed the connectivity of the molecules at λ ≥ 0.3; and in the exploratory design, a divergence of the own score and the real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real RAscore in the single pocket that was examined at adequate sample size, destroyed the connectivity of the molecules at strengths of 0.3 or more, and produced, in the exploratory design, a divergence of the predictor's own score from the real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[36], [47], [51].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[38],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[47], [51],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[57]), as co-generated diffusion outputs (BInD [28]), and as an auxiliary classification loss inside the generator's own denoiser (InterDiff [49]).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real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real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signal was traced to a molecular-size artefact.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The one large fraction (Track C) is the ranker result that Chapter VI shows to be confounded by ligand size, not a genuine affinity signal.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real-docking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[22].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18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and the Task F ablation (30).</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[50];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[50]; Chapter VI shows the mechanism in an isolated setting, a ranker whose selection is dominated by size, although the observation of that study concerned evaluation and not gradient guidance. Second, learned affinity predictors are sensitive to leakage and to ligand-only shortcuts [19], [30], [46]; the size correlation of 0.64 to 0.72 of the predictors and the match between a ligand-only baseline and the network on the old split are instances. Third, the mismatch between clean training inputs and noisy intermediate inputs has been reported to degrade guidance-like priors [22].</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[28], [49], [57],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real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real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the strongest pull acted on atoms least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(4,096 MiB), a 20-thread CPU and 31 GB of RAM, under Linux. The guidance experiments were run in a separate conda environment (`drugdisc`, Python 3.10.21) that used PyTorch 2.5.1 (CUDA 12.1), PyTorch Geometric 2.8.0, RDKit 2026.03.5, NumPy 2.2.6, SciPy 1.15.3, scikit-learn 1.7.2, pandas 2.3.3, LMDB 2.3.0, PoseBusters 0.6.5, Meeko and AutoDock Vina 1.2.6 (the installed distribution is 1.2.6, although the module attribute of the Python package reports 1.2.5). This environment has no tracked specification file in the repository and is disclosed here as the closest available record of it; the `environment.yaml` file that is tracked documents the original TargetDiff repository's own setup (Python 3.8, PyTorch 1.13.1), which was superseded for the reasons above and does not reproduce the environment the guidance code actually ran in.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A.1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real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IX.3.2)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real-docking comparison of this appendix with the pool of Chapter IX into a single correction. All checkpoints were trained on the same leakage-safe split as Chapter IV (Section III.3), and every real-docking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real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real docking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real-docking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[31] to the Stage 0 EGNN, trained on the Vina-target recipe. This produced the best predictive quality and the best diagnostic of any variant that was not told, by construction, to optimise that diagnostic (Table E.1, Table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real-docking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real-docking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real-docking outcome, for every checkpoint of this appendix. The checkpoint with the strongest, most directly optimised diagnostic fix (gradient-alignment) has the flattest real-docking result; the checkpoint with the best incidental diagnostic (ESM2) has the closest approach to a corrected effect, which still does not survive correction. Diagnostic quality and real-docking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after eleven independently-trained checkpoints showed the same null pattern stacks all four interventions above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real-docking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 real-docking effect that survives correction.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real chemistry,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test to this point asks whether the raw Vina Dock score moves. A different, closely related question is whether guidance changes the number of real, geometrically detected protein–ligand interactions a pose actually forms — hydrogen bonds, hydrophobic contacts, π-stacking and salt bridges, counted by the Protein–Ligand Interaction Profiler (PLIP) [1], [38] on the same Vina-docked poses used throughout this appendix. This matters specifically against one alternative explanation for the overall null pattern: that Vina Dock is a misleading proxy hiding a real, chemistry-level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real-docking result) showed the same null at both the score and the interaction level (n = 8, λ ∈ {1.0, 10.0}, no comparison significant in either direction). Neither checkpoint tested — the one that came closest to a real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[33],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The diagnostic was healthier too, and for the first time on a non-forced checkpoint reached significance in the correct direction without any auxiliary loss asking it to: −0.086 (95% CI [−0.136, −0.037]), against the familiar-distribution checkpoint's wrongly signed +0.047 (Table E.2). The real-docking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[24], [45]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real-docking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real-docking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[54],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real-docking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real-docking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IX.3.2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nudge is not actively cancelled by a corrective force at each step; it is mostly drowned out by noise the model would add regardless of guidance, with only a small residual surviving to compound. This directly supports hypothesis (c) of Section IX.3.2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real-docking, Vina-Dock-based comparison of this appendix was pooled with the real-docking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real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real-docking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 real chemistry-level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