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“Coupled Affinity-Synthesizability Guidance for Target-Conditional Molecular Diffusion in Structure-Based Drug Design”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“Coupled Affinity-Synthesizability Guidance for Target-Conditional Molecular Diffusion in Structure-Based Drug Design”.</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Coupled Affinity-Synthesizability Guidance for Target-Conditional Molecular Diffusion in Structure-Based Drug Design</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 real outcomes rather than by the predictor's own score. A frozen TargetDiff model was guided by affinity and synthesizability predictors, and results were evaluated with AutoDock Vina docking, PoseBusters validity, ligand efficiency and the real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Five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Rejection sampling improved the raw docking score in 12 of 15 pockets but worsened ligand efficiency in 14 of 15 (on average 12 more heavy atoms, and 29 percentage points lower PoseBusters validity). Synthesizability guidance gave no supported gain; in an exploratory design it raised the predictor's own score while lowering the real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an audited methodology, and a documented negative result that locates where learned guidance signals fail.</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ix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xi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xv</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Research Objectives and Experimental Map</w:t>
        <w:tab/>
        <w:t>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I.7</w:t>
        <w:tab/>
        <w:t>Organization of the Thesis</w:t>
        <w:tab/>
        <w:t>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Positioning and Research Gap</w:t>
        <w:tab/>
        <w:t>15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17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III.1.1</w:t>
        <w:tab/>
        <w:t>Pre-registration status of each route</w:t>
        <w:tab/>
        <w:t>18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22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22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22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23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24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25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27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28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28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Decision bands and negative controls</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A note on the wording of null results</w:t>
        <w:tab/>
        <w:t>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III.6.4</w:t>
        <w:tab/>
        <w:t>Target-clustered statistics for predictor comparisons</w:t>
        <w:tab/>
        <w:t>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32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34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36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37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37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38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39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39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39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Strength re-sweep with the repaired predictor</w:t>
        <w:tab/>
        <w:t>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Summary of the Chapter</w:t>
        <w:tab/>
        <w:t>44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46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46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51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53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53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55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58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59</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61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63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63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63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66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66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67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68</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70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70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Real Score</w:t>
        <w:tab/>
        <w:t>71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72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73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76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77</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78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78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78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79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81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81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82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83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85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85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86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86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88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88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90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92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94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94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95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96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96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98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98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Predictor quality is not guidance usefulness</w:t>
        <w:tab/>
        <w:t>99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Grading the explanations</w:t>
        <w:tab/>
        <w:t>99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IX.2.4</w:t>
        <w:tab/>
        <w:t>The role of statistical power</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103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105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105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106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107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107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108</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109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109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111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113</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114</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Repository Layout</w:t>
        <w:tab/>
        <w:t>120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Reproducing the Results and This Document</w:t>
        <w:tab/>
        <w:t>121</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123</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125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125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127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127</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E. POST-SYNTHESIS FOLLOW-UP: TESTING THE DIAGNOSED MECHANISM DIRECTLY</w:t>
        <w:tab/>
        <w:t>129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E.1</w:t>
        <w:tab/>
        <w:t>Scope and Relation to the Main Synthesis</w:t>
        <w:tab/>
        <w:t>129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E.2</w:t>
        <w:tab/>
        <w:t>Phase 1: Deepening the Pattern on the Predictor Itself</w:t>
        <w:tab/>
        <w:t>131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E.2.1</w:t>
        <w:tab/>
        <w:t>Noise-matched and Vina-derived training recipes</w:t>
        <w:tab/>
        <w:t>132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E.2.2</w:t>
        <w:tab/>
        <w:t>Gradient-alignment: optimising the diagnosed correlation directly</w:t>
        <w:tab/>
        <w:t>133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E.2.3</w:t>
        <w:tab/>
        <w:t>A global protein-language-model feature (ESM2)</w:t>
        <w:tab/>
        <w:t>135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E.2.4</w:t>
        <w:tab/>
        <w:t>Kitchen-sink: all four interventions combined</w:t>
        <w:tab/>
        <w:t>139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E.3</w:t>
        <w:tab/>
        <w:t>Phase 2: Independent Validation and the Hardest Generalisation Test</w:t>
        <w:tab/>
        <w:t>140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E.3.1</w:t>
        <w:tab/>
        <w:t>Does guidance change real chemistry, not just the raw score? (PLIP)</w:t>
        <w:tab/>
        <w:t>140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E.3.2</w:t>
        <w:tab/>
        <w:t>Generalisation to a protein family never seen in training</w:t>
        <w:tab/>
        <w:t>141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E.3.3</w:t>
        <w:tab/>
        <w:t>A side-finding: AlphaFold-predicted pockets as a robustness check</w:t>
        <w:tab/>
        <w:t>143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E.4</w:t>
        <w:tab/>
        <w:t>Phase 3: Sharpening the Representation and an Independent Label Check</w:t>
        <w:tab/>
        <w:t>146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E.4.1</w:t>
        <w:tab/>
        <w:t>A pocket-restricted protein-language-model feature</w:t>
        <w:tab/>
        <w:t>146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E.4.2</w:t>
        <w:tab/>
        <w:t>Independent cross-validation against ChEMBL</w:t>
        <w:tab/>
        <w:t>147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E.5</w:t>
        <w:tab/>
        <w:t>Direct Mechanistic Trace of the Guidance Nudge</w:t>
        <w:tab/>
        <w:t>149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E.5.1</w:t>
        <w:tab/>
        <w:t>Method</w:t>
        <w:tab/>
        <w:t>150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E.5.2</w:t>
        <w:tab/>
        <w:t>Result: the gap grows smoothly and ends two orders of magnitude below the raw nudge sum</w:t>
        <w:tab/>
        <w:t>151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E.5.3</w:t>
        <w:tab/>
        <w:t>A puzzle checked, not glossed over</w:t>
        <w:tab/>
        <w:t>152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E.5.4</w:t>
        <w:tab/>
        <w:t>Scope and what would have rejected this hypothesis</w:t>
        <w:tab/>
        <w:t>155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E.6</w:t>
        <w:tab/>
        <w:t>Pooled Statistical Correction Across the Entire Follow-up Phase</w:t>
        <w:tab/>
        <w:t>156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E.7</w:t>
        <w:tab/>
        <w:t>What This Appendix Adds to the Thesis's Central Claim</w:t>
        <w:tab/>
        <w:t>158</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1.1</w:t>
        <w:tab/>
        <w:t>Research objective, experiment, metric, result and conclusion</w:t>
        <w:tab/>
        <w:t>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15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Where a decision gate was applied, by route</w:t>
        <w:tab/>
        <w:t>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Master summary of every experimental route, including the Appendix E follow-up</w:t>
        <w:tab/>
        <w:t>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Data splits used for affinity predictors</w:t>
        <w:tab/>
        <w:t>23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3.4</w:t>
        <w:tab/>
        <w:t>Predictors used as guidance signals or ranking functions</w:t>
        <w:tab/>
        <w:t>26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3.5</w:t>
        <w:tab/>
        <w:t>Independent evaluation metrics</w:t>
        <w:tab/>
        <w:t>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37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39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49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53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63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71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73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74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76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79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88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90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96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Principal elements of the repository</w:t>
        <w:tab/>
        <w:t>120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125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127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Test-set predictive quality (leakage-safe split, Section III.3) of every checkpoint trained in the follow-up investigation</w:t>
        <w:tab/>
        <w:t>132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DIAG1 diagnostic (Section V.4 protocol) across every checkpoint of the follow-up investigation</w:t>
        <w:tab/>
        <w:t>134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ESM2 checkpoint, exploratory (n=8) versus confirmatory (n=24) real-docking test, paired by seed</w:t>
        <w:tab/>
        <w:t>136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AlphaFold-predicted versus crystal pocket geometry, full-scale result (n=835)</w:t>
        <w:tab/>
        <w:t>144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Independent cross-validation of this project's affinity labels against ChEMBL</w:t>
        <w:tab/>
        <w:t>148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Mean all-atom position gap between the guided and unguided trajectory, by diffusion step</w:t>
        <w:tab/>
        <w:t>151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Sources pooled into the single Benjamini–Hochberg correction across the follow-up phase</w:t>
        <w:tab/>
        <w:t>156</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18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39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41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(A) Mean shift of the real Vina Dock score for each pocket and guidance strength (negative is better; no shift was significant after correction). (B) PoseBusters pass rate of the unguided samples (λ = 0) and of the guided samples, for each pocket (grey) and on average (red).</w:t>
        <w:tab/>
        <w:t>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real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53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63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tab/>
        <w:t>65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real RA-score as a function of guidance strength. (B) Leakage-safe predictor with bond-aware features (n = 30, same pocket): shift of the real RA-score with 95% bootstrap intervals; grey points rest on 6 and 2 scoreable molecules.</w:t>
        <w:tab/>
        <w:t>71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81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82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84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Test R² of the Track E arms and the reference predictors on 127 held-out targets. Bars: target-clustered 95% confidence intervals; ticks: individual seeds; dotted and dashed vertical lines: the Stage 0 EGNN and the linear Vina + heavy-atom baseline.</w:t>
        <w:tab/>
        <w:t>88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Mean within-target Spearman correlation over the 73 test targets with at least 10 complexes (95% bootstrap intervals). All arms overlap with raw Vina.</w:t>
        <w:tab/>
        <w:t>88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Best validation error (standardised units; 1.0 corresponds to the variance of the target) of the three arms for each seed. Dashed lines: error of a constant predictor. The absolute target is learnt; the delta target is not learnt better than by a constant.</w:t>
        <w:tab/>
        <w:t>92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The one large fraction (Track C) is the ranker result that Chapter VI shows to be confounded by ligand size, not a genuine affinity signal.</w:t>
        <w:tab/>
        <w:t>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tab/>
        <w:t>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105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tab/>
        <w:t>130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tab/>
        <w:t>136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tab/>
        <w:t>137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The diagnostic (distance-to-pocket gradient correlation, Table E.2) against the real-docking outcome, for every checkpoint of this appendix. The checkpoint with the strongest, most directly optimised diagnostic fix (gradient-alignment) has the flattest real-docking result; the checkpoint with the best incidental diagnostic (ESM2) has the closest approach to a corrected effect, which still does not survive correction. Diagnostic quality and real-docking outcome dissociate across the full range tested.</w:t>
        <w:tab/>
        <w:t>138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PLIP-detected interaction-count shift under guidance on the ESM2 checkpoint, exploratory tier (n=8) against confirmatory tier (n=16, new seed). The sign of the effect reverses, not merely weakens, between the two tiers.</w:t>
        <w:tab/>
        <w:t>140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Test-set predictive quality of the Vina-target recipe evaluated on its ordinary, same-distribution test set against the same recipe trained with the entire kinase (PF00069) family held out and evaluated only on that family. Quality does not collapse on the unseen family.</w:t>
        <w:tab/>
        <w:t>143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tab/>
        <w:t>144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tab/>
        <w:t>146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This project's affinity-label range against the independently curated ChEMBL Ki range, for the four targets used repeatedly throughout this appendix. Three of four targets overlap; CD38 does not.</w:t>
        <w:tab/>
        <w:t>148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tab/>
        <w:t>151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tab/>
        <w:t>152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E.12</w:t>
        <w:tab/>
        <w:t>The unguided (λ=0) molecule of the paired trace, docked into its pocket (PDB 1h36) and rendered with its hydrogen-bond partners. Renders the same molecule referenced in Figure E.11 and Table E.6 in its 3D binding context.</w:t>
        <w:tab/>
        <w:t>154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tab/>
        <w:t>155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E.14</w:t>
        <w:tab/>
        <w:t>Effect size and 95% confidence interval of every one of the 48 pooled comparisons of Table E.7, ordered by checkpoint. No interval is both significant after correction and in the beneficial direction.</w:t>
        <w:tab/>
        <w:t>157</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[44].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central question of this thesis is whether learned guidance signals improve generated molecules on </w:t>
      </w:r>
      <w:r>
        <w:rPr>
          <w:rFonts w:ascii="Times New Roman" w:hAnsi="Times New Roman" w:eastAsia="Times New Roman"/>
          <w:b w:val="0"/>
          <w:i/>
          <w:sz w:val="24"/>
        </w:rPr>
        <w:t>real</w:t>
      </w:r>
      <w:r>
        <w:rPr>
          <w:rFonts w:ascii="Times New Roman" w:hAnsi="Times New Roman" w:eastAsia="Times New Roman"/>
          <w:b w:val="0"/>
          <w:i w:val="0"/>
          <w:sz w:val="24"/>
        </w:rPr>
        <w:t xml:space="preserve"> outcomes, that is, on quantities that are computed independently of the guidance model and that a medicinal chemist would recognise as meaningful.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[50]. A guidance signal that raises such a score is therefore not automatically a success. Second, learned affinity predictors are known to be sensitive to data leakage between training and test sets, and to exploit ligand-only shortcuts [19], [30], [46];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measured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Three bodies of work are most closely related. The first concerns diffusion models for SBDD and their guidance or conditioning by interaction information: interaction-conditioned generators [28], [49], [57] and diffusion models that inject priors derived from affinity networks [22]. The second concerns learned scoring functions and the reliability of their evaluation, including physics-informed and interaction-explicit architectures [34], [52], leakage-controlled benchmarks [19], [30] and critiques of shortcut learning [40], [46]. The third concerns the evaluation of generative SBDD methods themselves, where independent work has questioned the reliability of docking scores as a success criterion and the practice of selecting checkpoints on test data [18]. Chapter II reviews these areas in detail and identifies the specific gap addressed here: to the best of the author's knowledge, no study has evaluated learned guidance for a frozen 3D diffusion generator against independently computed real outcomes under a leakage-safe, statistically corrected protocol that includes negative controls.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The novelty of the work lies in (i) the leakage-safe, target-level evaluation of predictors used for guidance; (ii) the systematic, statistically disciplined mapping of where gradient guidance and rejection sampling fail; (iii) the mechanistic diagnostics; and (iv) the methodological audits that accompany the results, including the recognition that an earlier generalisation gap was largely a split artefact.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None of the five routes produced a defensible improvement. Affinity guidance produced no detectable effect on the real docking score at any tested strength, and the magnitude of the predictor's gradient was positively correlated with the distance of an atom from the pocket, not with proximity to binding contacts. Rejection sampling improved raw docking scores in 12 of 15 pockets, but ligand efficiency worsened significantly in 14 of 15, the selected molecules were on average 12 heavy atoms larger, and PoseBusters validity fell by 29 percentage points. Synthesizability guidance gave no supported gain: in the exploratory design the guidance model's own score rose while the real RA-score fell, and after two fixes this divergence was still present in sign but was not statistically confirmed. Finally, the delta-target predictor was significantly worse than simple baselines, because the residual was not learnt better than by a constant.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Research Objectives and Experimental Map</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statement of Section I.2 is one question; Table 1.1 unpacks it into the specific sub-objective that each route was designed to answer, the metric that decided it, and the conclusion actually drawn. Every row maps to exactly one chapter, so this table also serves as a map of the 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1.1</w:t>
        <w:tab/>
        <w:t>Research objective, experiment, metric, result and conclusion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Research objective</w:t>
            </w:r>
          </w:p>
        </w:tc>
        <w:tc>
          <w:tcPr>
            <w:tcW w:type="dxa" w:w="1092"/>
            <w:shd w:val="clear" w:fill="E7E9EE"/>
          </w:tcPr>
          <w:p>
            <w:pPr>
              <w:keepNext w:val="0"/>
              <w:keepLines w:val="0"/>
              <w:widowControl/>
              <w:spacing w:line="240" w:lineRule="auto" w:before="20" w:after="20"/>
              <w:jc w:val="center"/>
            </w:pPr>
            <w:r>
              <w:rPr>
                <w:rFonts w:ascii="Times New Roman" w:hAnsi="Times New Roman" w:eastAsia="Times New Roman"/>
                <w:b/>
                <w:i w:val="0"/>
                <w:sz w:val="20"/>
              </w:rPr>
              <w:t>Experiment / Track</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Primary metric</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Conclusion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gradient guidance with the original predictor affect real docking?</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effect at any of 3 orders of magnitude of λ</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Predictor repair alone does not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predictor's architecture limit gradient guidance?</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A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 significant; direction consistency weakened with more data</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Architecture is not the limiting factor at the scale tested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guidance mechanism (scale, objective, timing) limit it?</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B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0/23 significant; one variant worse by median in 6/6</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Mechanism variants do not rescue guidance on a fixed representation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does the affinity gradient actually encode?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Diagnostic (V.4)</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Gradient-magnitude/distance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+0.240 (wrong direction), not explained by atom heaviness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Strongest pull acts on atoms farthest from the pocket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Can non-gradient, post-hoc selection succeed where gradient guidance failed?</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C (VI)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ligand efficiency, PoseBusters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Raw gain in 12/15 pockets, confounded by size in 14/15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Apparent success is a molecular-size artefact, not a selection benefit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same guidance mechanism work for synthesizability?</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D (VII)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Real RAscore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0/5 significant at the powered scale; own-score/real-score divergence not confirmed</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supported gain; the mechanism of the divergence is undiagnosed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a residual (delta) training target improve the predictor?</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E (VIII)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Target-clustered R²</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R² = 0.117, worse than a linear baseline (0.362) and an EGNN (0.34–0.41)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Falsified at this scale; the auxiliary arm (E2) was not run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directly repairing the diagnosed gradient mechanism produce an effect?</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(Wilcoxon); DIAG1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Strongest diagnostic fix of any checkpoint (−0.78); still 0/32 pooled tests significant</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Repairing the diagnosed mechanism does not, by itself,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null survive independent, non-docking validation and the hardest generalisation split available?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2</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PLIP interaction counts; R² on an unseen protein family</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Interaction-count signal reverses sign on confirmation; predictive quality holds (R² = 0.507) on an unseen kinase family, docking effect still null</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null is not an artefact of a docking-only metric or of family-level leakage</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happens, mechanistically, to a single molecule when the gradient is applied?</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Section E.5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Per-step, per-atom position gap</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Gap ≈ 0.05 Å mean after 1,000 steps, ≈1% of the raw cumulative nudge</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nudge is mostly drowned out by the sampler's own step noise, not actively cancelled</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I.7</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and the baseline guidance ablations. Chapter V reports the architecture and mechanism routes (Tracks A and B) and the gradient diagnostic. Chapter VI reports rejection sampling (Track C), Chapter VII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[39]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[57]. InterDiff conditions a diffusion model on interaction "prompts" detected with BINANA, uses cross-attention to inject them, and adds a cross-entropy loss that classifies protein-atom features into interaction types inside the denoiser [49]. BInD treats non-covalent interactions extracted with PLIP as an additional categorical channel that is generated jointly with atoms and bonds under its own loss, and applies knowledge-based guidance terms after the network prediction [28]. An earlier recurrent generator was constrained by an interaction fingerprint computed on docking poses [55]. DPDiff, a diffusion model on CrossDocked2020, extracts "interaction priors" from two pretrained affinity-prediction networks during sampling, using intermediate diffusion predictions as input [22]. Its ablation reports that a geometry-based prior that was pretrained on accurate poses degraded generation when queried on noisy intermediate structures, because of the mismatch between training and sampling inputs [22].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[44].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[50]. Re-parameterisations of the function, such as Vinardo, were introduced because the conventional approach of fitting empirical terms by linear regression to experimental affinities does not yield a function with optimal docking capabilities [35].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[52]. PIGNet predicts atom–atom pairwise interaction terms with physics-informed equations whose parameters are produced by a neural network and sums them to obtain the affinity, and augments the training data with additional poses and ligands to improve generalisation [34]. Interformer combines a graph-transformer with an interaction-aware mixture density network for docking and affinity prediction [27], and PLANET is trained with three objectives (affinity, protein–ligand contact map and ligand distance matrix) [56]. A framework that adds an adjustable affinity term to the training of a mixture density network was proposed to balance scoring, docking, ranking and screening powers, which the authors note are rarely achieved simultaneously by a single machine-learned function [42].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[46].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[30].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[40].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[37].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[43].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[36], and it remains in use, for example for correcting a semiempirical method in the prediction of reaction barrier heights [25].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[47]. Related work re-scored Vina poses with random forests [29], and a delta model built on a linear empirical baseline and gradient boosting reported Pearson correlations of 0.853, 0.839 and 0.813 on locally optimised, redocked and ensemble-docked poses of the CASF-2016 core set [51].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[26]; gradient normalisation equalises gradient magnitudes at a shared layer [7]; gradient surgery projects a task gradient off the gradient of a conflicting task [53]; and dual balancing acts on both loss scales and gradient magnitudes [32]. Auxiliary tasks can also cause negative transfer, for which dedicated remedies have been proposed [23],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[38], [41]. Alternative encodings include the interaction fingerprints of ProLIF [5] and of related tools [14], [48].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[22], [28], [57], and, in one case, as an auxiliary classification loss inside the generator's own denoiser [49]. Residual learning has been applied to scoring with tree ensembles [47], [51]. Multi-objective affinity networks with structural auxiliary targets exist [56]. What was not found, within the limits of the searches described in Appendix B, is a study that (i) evaluates learned affinity or synthesizability guidance for a frozen 3D diffusion generator against independently computed outcomes under a leakage-safe, statistically corrected protocol with negative controls,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Work</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Interaction information</w:t>
            </w:r>
          </w:p>
        </w:tc>
        <w:tc>
          <w:tcPr>
            <w:tcW w:type="dxa" w:w="1395"/>
            <w:shd w:val="clear" w:fill="E7E9EE"/>
          </w:tcPr>
          <w:p>
            <w:pPr>
              <w:keepNext w:val="0"/>
              <w:keepLines w:val="0"/>
              <w:widowControl/>
              <w:spacing w:line="240" w:lineRule="auto" w:before="20" w:after="20"/>
              <w:jc w:val="center"/>
            </w:pPr>
            <w:r>
              <w:rPr>
                <w:rFonts w:ascii="Times New Roman" w:hAnsi="Times New Roman" w:eastAsia="Times New Roman"/>
                <w:b/>
                <w:i w:val="0"/>
                <w:sz w:val="20"/>
              </w:rPr>
              <w:t>Residual (delta) target</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Role in a 3D diffusion generator</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DeepICL [57]</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labels as conditioning</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Autoregressive generator (not diffusion)</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InterDiff [49]</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BINANA types; classification loss in denoiser</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cross-attention conditioning</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BInD [28]</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interactions co-generated</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joint generation</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DPDiff [22]</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Latent priors from affinity networks</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priors from intermediate predictions</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PLANET [56]</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Contact map (not typed)</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None (scoring model)</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ΔVinaRF20 [47]; Δ-XGBoost [51]</w:t>
            </w:r>
          </w:p>
        </w:tc>
        <w:tc>
          <w:tcPr>
            <w:tcW w:type="dxa" w:w="230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Yes (tree ensembles)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None (scoring functions)</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This thesis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labels (designed, not tested)</w:t>
            </w:r>
          </w:p>
        </w:tc>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Yes (graph network)</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Guidance predictor for a frozen diffusion model</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it does not claim that no other work exists (see Appendix B for the limits of the search).</w:t>
      </w:r>
    </w:p>
    <w:p>
      <w:pPr>
        <w:keepNext w:val="0"/>
        <w:keepLines w:val="0"/>
        <w:widowControl/>
        <w:spacing w:line="240" w:lineRule="auto" w:before="0" w:after="240"/>
        <w:jc w:val="both"/>
      </w:pPr>
    </w:p>
    <w:p>
      <w:pPr>
        <w:sectPr>
          <w:headerReference w:type="default" r:id="rId21"/>
          <w:headerReference w:type="first" r:id="rId22"/>
          <w:footerReference w:type="default" r:id="rId23"/>
          <w:footerReference w:type="first" r:id="rId2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real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 real, independently computed outcome.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_pipeline.png"/>
                    <pic:cNvPicPr/>
                  </pic:nvPicPr>
                  <pic:blipFill>
                    <a:blip r:embed="rId29"/>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III.1.1</w:t>
        <w:tab/>
      </w:r>
      <w:r>
        <w:rPr>
          <w:rFonts w:ascii="Times New Roman" w:hAnsi="Times New Roman" w:eastAsia="Times New Roman"/>
          <w:b w:val="0"/>
          <w:i/>
          <w:sz w:val="24"/>
        </w:rPr>
        <w:t>Pre-registration status of each route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Not every route in this thesis carries the same evidentiary status, and the distinction matters for how its result should be read. Four categories are used throughout, and every analysis in this thesis belongs to exactly one of them. </w:t>
      </w:r>
      <w:r>
        <w:rPr>
          <w:rFonts w:ascii="Times New Roman" w:hAnsi="Times New Roman" w:eastAsia="Times New Roman"/>
          <w:b w:val="0"/>
          <w:i/>
          <w:sz w:val="24"/>
        </w:rPr>
        <w:t>Pre-registered</w:t>
      </w:r>
      <w:r>
        <w:rPr>
          <w:rFonts w:ascii="Times New Roman" w:hAnsi="Times New Roman" w:eastAsia="Times New Roman"/>
          <w:b w:val="0"/>
          <w:i w:val="0"/>
          <w:sz w:val="24"/>
        </w:rPr>
        <w:t xml:space="preserve"> means a frozen, version-controlled document fixed the hypothesis, the primary metric, the decision thresholds and the stopping rule before any model of that route was trained; only Track E (Chapter VIII) meets this bar, and its amendments are logged, dated and never edited in place (Appendix D). </w:t>
      </w:r>
      <w:r>
        <w:rPr>
          <w:rFonts w:ascii="Times New Roman" w:hAnsi="Times New Roman" w:eastAsia="Times New Roman"/>
          <w:b w:val="0"/>
          <w:i/>
          <w:sz w:val="24"/>
        </w:rPr>
        <w:t>Planned, not pre-registered</w:t>
      </w:r>
      <w:r>
        <w:rPr>
          <w:rFonts w:ascii="Times New Roman" w:hAnsi="Times New Roman" w:eastAsia="Times New Roman"/>
          <w:b w:val="0"/>
          <w:i w:val="0"/>
          <w:sz w:val="24"/>
        </w:rPr>
        <w:t xml:space="preserve"> means the decision bands, correction procedure and quality-degradation checks were declared in the project's working log before the results of that specific checkpoint were inspected, following the shared protocol of this chapter, but without a frozen external document; Tracks A, B, C and D, the baseline ablation of Chapter IV, and the gradient diagnostic of Section V.4 are of this kind. </w:t>
      </w:r>
      <w:r>
        <w:rPr>
          <w:rFonts w:ascii="Times New Roman" w:hAnsi="Times New Roman" w:eastAsia="Times New Roman"/>
          <w:b w:val="0"/>
          <w:i/>
          <w:sz w:val="24"/>
        </w:rPr>
        <w:t>Post hoc</w:t>
      </w:r>
      <w:r>
        <w:rPr>
          <w:rFonts w:ascii="Times New Roman" w:hAnsi="Times New Roman" w:eastAsia="Times New Roman"/>
          <w:b w:val="0"/>
          <w:i w:val="0"/>
          <w:sz w:val="24"/>
        </w:rPr>
        <w:t xml:space="preserve"> means a question was formed after seeing a result and is reported as exploratory and uncorrected for multiple comparisons unless stated otherwise; this applies to specific, individually flagged analyses, such as the pocket-size correlation of Section VI.3 and the pooled Mann–Whitney check of Chapter IV. </w:t>
      </w:r>
      <w:r>
        <w:rPr>
          <w:rFonts w:ascii="Times New Roman" w:hAnsi="Times New Roman" w:eastAsia="Times New Roman"/>
          <w:b w:val="0"/>
          <w:i/>
          <w:sz w:val="24"/>
        </w:rPr>
        <w:t>Appendix E follow-up</w:t>
      </w:r>
      <w:r>
        <w:rPr>
          <w:rFonts w:ascii="Times New Roman" w:hAnsi="Times New Roman" w:eastAsia="Times New Roman"/>
          <w:b w:val="0"/>
          <w:i w:val="0"/>
          <w:sz w:val="24"/>
        </w:rPr>
        <w:t xml:space="preserve"> means the analysis was conducted after Chapter IX's synthesis had been written and frozen, outside the decision sequence of Tracks A to E described below; it follows this project's general exploratory-then-confirmatory discipline (Section III.6.1) but was not pre-registered, and it is reported in full as Appendix E with its own, explicitly dated chronology (Section E.1).</w:t>
      </w:r>
    </w:p>
    <w:p>
      <w:pPr>
        <w:keepNext w:val="0"/>
        <w:keepLines w:val="0"/>
        <w:widowControl/>
        <w:spacing w:line="480" w:lineRule="auto" w:before="0" w:after="0"/>
        <w:ind w:firstLine="720"/>
        <w:jc w:val="both"/>
      </w:pPr>
      <w:r>
        <w:rPr>
          <w:rFonts w:ascii="Times New Roman" w:hAnsi="Times New Roman" w:eastAsia="Times New Roman"/>
          <w:b w:val="0"/>
          <w:i w:val="0"/>
          <w:sz w:val="24"/>
        </w:rPr>
        <w:t>Table 3.1 makes explicit where a pass/fail gate was actually applied, since not every route had one. Tracks A to D were stopped or extended by the shared decision bands of Section III.6.2 (no comparison may be called a clear signal without surviving correction and the degradation checks), applied after each tier; no route was permitted to continue to a more expensive tier without first clearing this check. Track E additionally carried its own, pre-registered numerical gates, frozen before training (Appendix D). Appendix E's follow-up phase used the same confirm-before-reporting discipline as a working practice (no encouraging small-sample result was reported before a larger, confirmatory run) but applied no frozen stopping rule, because it was not pre-registered.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3.1</w:t>
        <w:tab/>
        <w:t>Where a decision gate was applied,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Gate type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Condition to continue or to declare a positive result</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Consequence if not met</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Survive BH correction; no PoseBusters/LE degradation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Verdict recorded as no signal; no further tier</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tier's cost of the full tier was justified by its yellow-flag result; full tier itself gated by the same bands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Full tier was run; its own null stopped the route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Same as above, applied per variant (B1–B3)</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Each variant's null closed that variant; no further variants of the same kind were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 + negative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Scrambled-filter control must agree with the random-subset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Disagreement would have been read as an implementation bug, not a result; it did not occur</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at the exploratory scale must be resolved before the multi-pocket confirmation (step D.4) was run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persisted only partially; D.4 was explicitly skipped by this pre-declared rule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Pre-registered numerical gate (C1a, then C4)</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Point estimate and interval of the primary comparison must clear a stated margin; the gradient-distance gate C4 applies only if C1a passes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C1a's upper bounds excluded the required margin; E1 declared falsified at this scale; C4 and E2 were not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(post-synthesis)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Working discipline, not a frozen gate</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 (n≈8) must be confirmed at larger n before being reported as a finding</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Applied uniformly (e.g. the ESM2 and PLIP exploratory signals); no frozen pass/fail threshold existed to stop the phase itself</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every route at a glance, including the follow-up investigation of Appendix E, with the predictor used, what was intervened on, the scale of evidence, the primary outcome metric, the correction applied, and the verdict. It is a map for the chapters that follow, not a substitute for them.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3.2</w:t>
        <w:tab/>
        <w:t>Master summary of every experimental route, including the Appendix E follow-up</w:t>
      </w:r>
    </w:p>
    <w:tbl>
      <w:tblPr>
        <w:tblStyle w:val="TableGrid"/>
        <w:tblW w:type="auto" w:w="0"/>
        <w:jc w:val="center"/>
        <w:tblLayout w:type="fixed"/>
        <w:tblLook w:firstColumn="1" w:firstRow="1" w:lastColumn="0" w:lastRow="0" w:noHBand="0" w:noVBand="1" w:val="04A0"/>
      </w:tblPr>
      <w:tblGrid>
        <w:gridCol w:w="1039"/>
        <w:gridCol w:w="1039"/>
        <w:gridCol w:w="1039"/>
        <w:gridCol w:w="1039"/>
        <w:gridCol w:w="1039"/>
        <w:gridCol w:w="1039"/>
        <w:gridCol w:w="1039"/>
        <w:gridCol w:w="1039"/>
      </w:tblGrid>
      <w:tr>
        <w:trPr>
          <w:cantSplit/>
          <w:tblHeader/>
        </w:trPr>
        <w:tc>
          <w:tcPr>
            <w:tcW w:type="dxa" w:w="774"/>
            <w:shd w:val="clear" w:fill="E7E9EE"/>
          </w:tcPr>
          <w:p>
            <w:pPr>
              <w:keepNext w:val="0"/>
              <w:keepLines w:val="0"/>
              <w:widowControl/>
              <w:spacing w:line="240" w:lineRule="auto" w:before="20" w:after="20"/>
              <w:jc w:val="center"/>
            </w:pPr>
            <w:r>
              <w:rPr>
                <w:rFonts w:ascii="Times New Roman" w:hAnsi="Times New Roman" w:eastAsia="Times New Roman"/>
                <w:b/>
                <w:i w:val="0"/>
                <w:sz w:val="16"/>
              </w:rPr>
              <w:t>Route</w:t>
            </w:r>
          </w:p>
        </w:tc>
        <w:tc>
          <w:tcPr>
            <w:tcW w:type="dxa" w:w="1229"/>
            <w:shd w:val="clear" w:fill="E7E9EE"/>
          </w:tcPr>
          <w:p>
            <w:pPr>
              <w:keepNext w:val="0"/>
              <w:keepLines w:val="0"/>
              <w:widowControl/>
              <w:spacing w:line="240" w:lineRule="auto" w:before="20" w:after="20"/>
              <w:jc w:val="center"/>
            </w:pPr>
            <w:r>
              <w:rPr>
                <w:rFonts w:ascii="Times New Roman" w:hAnsi="Times New Roman" w:eastAsia="Times New Roman"/>
                <w:b/>
                <w:i w:val="0"/>
                <w:sz w:val="16"/>
              </w:rPr>
              <w:t>Predictor</w:t>
            </w:r>
          </w:p>
        </w:tc>
        <w:tc>
          <w:tcPr>
            <w:tcW w:type="dxa" w:w="1229"/>
            <w:shd w:val="clear" w:fill="E7E9EE"/>
          </w:tcPr>
          <w:p>
            <w:pPr>
              <w:keepNext w:val="0"/>
              <w:keepLines w:val="0"/>
              <w:widowControl/>
              <w:spacing w:line="240" w:lineRule="auto" w:before="20" w:after="20"/>
              <w:jc w:val="center"/>
            </w:pPr>
            <w:r>
              <w:rPr>
                <w:rFonts w:ascii="Times New Roman" w:hAnsi="Times New Roman" w:eastAsia="Times New Roman"/>
                <w:b/>
                <w:i w:val="0"/>
                <w:sz w:val="16"/>
              </w:rPr>
              <w:t>Intervention</w:t>
            </w:r>
          </w:p>
        </w:tc>
        <w:tc>
          <w:tcPr>
            <w:tcW w:type="dxa" w:w="1229"/>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Pockets / targets</w:t>
            </w:r>
          </w:p>
        </w:tc>
        <w:tc>
          <w:tcPr>
            <w:tcW w:type="dxa" w:w="841"/>
            <w:shd w:val="clear" w:fill="E7E9EE"/>
          </w:tcPr>
          <w:p>
            <w:pPr>
              <w:keepNext w:val="0"/>
              <w:keepLines w:val="0"/>
              <w:widowControl/>
              <w:spacing w:line="240" w:lineRule="auto" w:before="20" w:after="20"/>
              <w:jc w:val="center"/>
            </w:pPr>
            <w:r>
              <w:rPr>
                <w:rFonts w:ascii="Times New Roman" w:hAnsi="Times New Roman" w:eastAsia="Times New Roman"/>
                <w:b/>
                <w:i w:val="0"/>
                <w:sz w:val="16"/>
              </w:rPr>
              <w:t>Units per condition</w:t>
            </w:r>
          </w:p>
        </w:tc>
        <w:tc>
          <w:tcPr>
            <w:tcW w:type="dxa" w:w="1035"/>
            <w:shd w:val="clear" w:fill="E7E9EE"/>
          </w:tcPr>
          <w:p>
            <w:pPr>
              <w:keepNext w:val="0"/>
              <w:keepLines w:val="0"/>
              <w:widowControl/>
              <w:spacing w:line="240" w:lineRule="auto" w:before="20" w:after="20"/>
              <w:jc w:val="center"/>
            </w:pPr>
            <w:r>
              <w:rPr>
                <w:rFonts w:ascii="Times New Roman" w:hAnsi="Times New Roman" w:eastAsia="Times New Roman"/>
                <w:b/>
                <w:i w:val="0"/>
                <w:sz w:val="16"/>
              </w:rPr>
              <w:t>Primary metric</w:t>
            </w:r>
          </w:p>
        </w:tc>
        <w:tc>
          <w:tcPr>
            <w:tcW w:type="dxa" w:w="1100"/>
            <w:shd w:val="clear" w:fill="E7E9EE"/>
          </w:tcPr>
          <w:p>
            <w:pPr>
              <w:keepNext w:val="0"/>
              <w:keepLines w:val="0"/>
              <w:widowControl/>
              <w:spacing w:line="240" w:lineRule="auto" w:before="20" w:after="20"/>
              <w:jc w:val="center"/>
            </w:pPr>
            <w:r>
              <w:rPr>
                <w:rFonts w:ascii="Times New Roman" w:hAnsi="Times New Roman" w:eastAsia="Times New Roman"/>
                <w:b/>
                <w:i w:val="0"/>
                <w:sz w:val="16"/>
              </w:rPr>
              <w:t>Correction</w:t>
            </w:r>
          </w:p>
        </w:tc>
        <w:tc>
          <w:tcPr>
            <w:tcW w:type="dxa" w:w="873"/>
            <w:shd w:val="clear" w:fill="E7E9EE"/>
          </w:tcPr>
          <w:p>
            <w:pPr>
              <w:keepNext w:val="0"/>
              <w:keepLines w:val="0"/>
              <w:widowControl/>
              <w:spacing w:line="240" w:lineRule="auto" w:before="20" w:after="20"/>
              <w:jc w:val="center"/>
            </w:pPr>
            <w:r>
              <w:rPr>
                <w:rFonts w:ascii="Times New Roman" w:hAnsi="Times New Roman" w:eastAsia="Times New Roman"/>
                <w:b/>
                <w:i w:val="0"/>
                <w:sz w:val="16"/>
              </w:rPr>
              <w:t>Verdict</w:t>
            </w:r>
          </w:p>
        </w:tc>
      </w:tr>
      <w:tr>
        <w:trPr>
          <w:cantSplit/>
        </w:trPr>
        <w:tc>
          <w:tcPr>
            <w:tcW w:type="dxa" w:w="774"/>
          </w:tcPr>
          <w:p>
            <w:pPr>
              <w:keepNext w:val="0"/>
              <w:keepLines w:val="0"/>
              <w:widowControl/>
              <w:spacing w:line="240" w:lineRule="auto" w:before="20" w:after="20"/>
              <w:jc w:val="left"/>
            </w:pPr>
            <w:r>
              <w:rPr>
                <w:rFonts w:ascii="Times New Roman" w:hAnsi="Times New Roman" w:eastAsia="Times New Roman"/>
                <w:b w:val="0"/>
                <w:i w:val="0"/>
                <w:sz w:val="16"/>
              </w:rPr>
              <w:t>Baseline (IV)</w:t>
            </w:r>
          </w:p>
        </w:tc>
        <w:tc>
          <w:tcPr>
            <w:tcW w:type="dxa" w:w="1229"/>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229"/>
          </w:tcPr>
          <w:p>
            <w:pPr>
              <w:keepNext w:val="0"/>
              <w:keepLines w:val="0"/>
              <w:widowControl/>
              <w:spacing w:line="240" w:lineRule="auto" w:before="20" w:after="20"/>
              <w:jc w:val="left"/>
            </w:pPr>
            <w:r>
              <w:rPr>
                <w:rFonts w:ascii="Times New Roman" w:hAnsi="Times New Roman" w:eastAsia="Times New Roman"/>
                <w:b w:val="0"/>
                <w:i w:val="0"/>
                <w:sz w:val="16"/>
              </w:rPr>
              <w:t>Guidance strength λ</w:t>
            </w:r>
          </w:p>
        </w:tc>
        <w:tc>
          <w:tcPr>
            <w:tcW w:type="dxa" w:w="1229"/>
          </w:tcPr>
          <w:p>
            <w:pPr>
              <w:keepNext w:val="0"/>
              <w:keepLines w:val="0"/>
              <w:widowControl/>
              <w:spacing w:line="240" w:lineRule="auto" w:before="20" w:after="20"/>
              <w:jc w:val="left"/>
            </w:pPr>
            <w:r>
              <w:rPr>
                <w:rFonts w:ascii="Times New Roman" w:hAnsi="Times New Roman" w:eastAsia="Times New Roman"/>
                <w:b w:val="0"/>
                <w:i w:val="0"/>
                <w:sz w:val="16"/>
              </w:rPr>
              <w:t>20 pockets; 8 pockets × 3 λ</w:t>
            </w:r>
          </w:p>
        </w:tc>
        <w:tc>
          <w:tcPr>
            <w:tcW w:type="dxa" w:w="841"/>
          </w:tcPr>
          <w:p>
            <w:pPr>
              <w:keepNext w:val="0"/>
              <w:keepLines w:val="0"/>
              <w:widowControl/>
              <w:spacing w:line="240" w:lineRule="auto" w:before="20" w:after="20"/>
              <w:jc w:val="center"/>
            </w:pPr>
            <w:r>
              <w:rPr>
                <w:rFonts w:ascii="Times New Roman" w:hAnsi="Times New Roman" w:eastAsia="Times New Roman"/>
                <w:b w:val="0"/>
                <w:i w:val="0"/>
                <w:sz w:val="16"/>
              </w:rPr>
              <w:t>20–30 molecules</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00"/>
          </w:tcPr>
          <w:p>
            <w:pPr>
              <w:keepNext w:val="0"/>
              <w:keepLines w:val="0"/>
              <w:widowControl/>
              <w:spacing w:line="240" w:lineRule="auto" w:before="20" w:after="20"/>
              <w:jc w:val="left"/>
            </w:pPr>
            <w:r>
              <w:rPr>
                <w:rFonts w:ascii="Times New Roman" w:hAnsi="Times New Roman" w:eastAsia="Times New Roman"/>
                <w:b w:val="0"/>
                <w:i w:val="0"/>
                <w:sz w:val="16"/>
              </w:rPr>
              <w:t>BH within checkpoint</w:t>
            </w:r>
          </w:p>
        </w:tc>
        <w:tc>
          <w:tcPr>
            <w:tcW w:type="dxa" w:w="873"/>
          </w:tcPr>
          <w:p>
            <w:pPr>
              <w:keepNext w:val="0"/>
              <w:keepLines w:val="0"/>
              <w:widowControl/>
              <w:spacing w:line="240" w:lineRule="auto" w:before="20" w:after="20"/>
              <w:jc w:val="left"/>
            </w:pPr>
            <w:r>
              <w:rPr>
                <w:rFonts w:ascii="Times New Roman" w:hAnsi="Times New Roman" w:eastAsia="Times New Roman"/>
                <w:b w:val="0"/>
                <w:i w:val="0"/>
                <w:sz w:val="16"/>
              </w:rPr>
              <w:t>No effect at any tested λ</w:t>
            </w:r>
          </w:p>
        </w:tc>
      </w:tr>
      <w:tr>
        <w:trPr>
          <w:cantSplit/>
        </w:trPr>
        <w:tc>
          <w:tcPr>
            <w:tcW w:type="dxa" w:w="774"/>
          </w:tcPr>
          <w:p>
            <w:pPr>
              <w:keepNext w:val="0"/>
              <w:keepLines w:val="0"/>
              <w:widowControl/>
              <w:spacing w:line="240" w:lineRule="auto" w:before="20" w:after="20"/>
              <w:jc w:val="left"/>
            </w:pPr>
            <w:r>
              <w:rPr>
                <w:rFonts w:ascii="Times New Roman" w:hAnsi="Times New Roman" w:eastAsia="Times New Roman"/>
                <w:b w:val="0"/>
                <w:i w:val="0"/>
                <w:sz w:val="16"/>
              </w:rPr>
              <w:t>Track A (V)</w:t>
            </w:r>
          </w:p>
        </w:tc>
        <w:tc>
          <w:tcPr>
            <w:tcW w:type="dxa" w:w="1229"/>
          </w:tcPr>
          <w:p>
            <w:pPr>
              <w:keepNext w:val="0"/>
              <w:keepLines w:val="0"/>
              <w:widowControl/>
              <w:spacing w:line="240" w:lineRule="auto" w:before="20" w:after="20"/>
              <w:jc w:val="center"/>
            </w:pPr>
            <w:r>
              <w:rPr>
                <w:rFonts w:ascii="Times New Roman" w:hAnsi="Times New Roman" w:eastAsia="Times New Roman"/>
                <w:b w:val="0"/>
                <w:i w:val="0"/>
                <w:sz w:val="16"/>
              </w:rPr>
              <w:t>GIGN + PIGNet2</w:t>
            </w:r>
          </w:p>
        </w:tc>
        <w:tc>
          <w:tcPr>
            <w:tcW w:type="dxa" w:w="1229"/>
          </w:tcPr>
          <w:p>
            <w:pPr>
              <w:keepNext w:val="0"/>
              <w:keepLines w:val="0"/>
              <w:widowControl/>
              <w:spacing w:line="240" w:lineRule="auto" w:before="20" w:after="20"/>
              <w:jc w:val="left"/>
            </w:pPr>
            <w:r>
              <w:rPr>
                <w:rFonts w:ascii="Times New Roman" w:hAnsi="Times New Roman" w:eastAsia="Times New Roman"/>
                <w:b w:val="0"/>
                <w:i w:val="0"/>
                <w:sz w:val="16"/>
              </w:rPr>
              <w:t>Predictor architecture</w:t>
            </w:r>
          </w:p>
        </w:tc>
        <w:tc>
          <w:tcPr>
            <w:tcW w:type="dxa" w:w="1229"/>
          </w:tcPr>
          <w:p>
            <w:pPr>
              <w:keepNext w:val="0"/>
              <w:keepLines w:val="0"/>
              <w:widowControl/>
              <w:spacing w:line="240" w:lineRule="auto" w:before="20" w:after="20"/>
              <w:jc w:val="left"/>
            </w:pPr>
            <w:r>
              <w:rPr>
                <w:rFonts w:ascii="Times New Roman" w:hAnsi="Times New Roman" w:eastAsia="Times New Roman"/>
                <w:b w:val="0"/>
                <w:i w:val="0"/>
                <w:sz w:val="16"/>
              </w:rPr>
              <w:t>8 pockets (full tier)</w:t>
            </w:r>
          </w:p>
        </w:tc>
        <w:tc>
          <w:tcPr>
            <w:tcW w:type="dxa" w:w="841"/>
          </w:tcPr>
          <w:p>
            <w:pPr>
              <w:keepNext w:val="0"/>
              <w:keepLines w:val="0"/>
              <w:widowControl/>
              <w:spacing w:line="240" w:lineRule="auto" w:before="20" w:after="20"/>
              <w:jc w:val="center"/>
            </w:pPr>
            <w:r>
              <w:rPr>
                <w:rFonts w:ascii="Times New Roman" w:hAnsi="Times New Roman" w:eastAsia="Times New Roman"/>
                <w:b w:val="0"/>
                <w:i w:val="0"/>
                <w:sz w:val="16"/>
              </w:rPr>
              <w:t>29–30 molecules</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00"/>
          </w:tcPr>
          <w:p>
            <w:pPr>
              <w:keepNext w:val="0"/>
              <w:keepLines w:val="0"/>
              <w:widowControl/>
              <w:spacing w:line="240" w:lineRule="auto" w:before="20" w:after="20"/>
              <w:jc w:val="center"/>
            </w:pPr>
            <w:r>
              <w:rPr>
                <w:rFonts w:ascii="Times New Roman" w:hAnsi="Times New Roman" w:eastAsia="Times New Roman"/>
                <w:b w:val="0"/>
                <w:i w:val="0"/>
                <w:sz w:val="16"/>
              </w:rPr>
              <w:t>BH, 24 tests</w:t>
            </w:r>
          </w:p>
        </w:tc>
        <w:tc>
          <w:tcPr>
            <w:tcW w:type="dxa" w:w="873"/>
          </w:tcPr>
          <w:p>
            <w:pPr>
              <w:keepNext w:val="0"/>
              <w:keepLines w:val="0"/>
              <w:widowControl/>
              <w:spacing w:line="240" w:lineRule="auto" w:before="20" w:after="20"/>
              <w:jc w:val="left"/>
            </w:pPr>
            <w:r>
              <w:rPr>
                <w:rFonts w:ascii="Times New Roman" w:hAnsi="Times New Roman" w:eastAsia="Times New Roman"/>
                <w:b w:val="0"/>
                <w:i w:val="0"/>
                <w:sz w:val="16"/>
              </w:rPr>
              <w:t>0/24 significant</w:t>
            </w:r>
          </w:p>
        </w:tc>
      </w:tr>
      <w:tr>
        <w:trPr>
          <w:cantSplit/>
        </w:trPr>
        <w:tc>
          <w:tcPr>
            <w:tcW w:type="dxa" w:w="774"/>
          </w:tcPr>
          <w:p>
            <w:pPr>
              <w:keepNext w:val="0"/>
              <w:keepLines w:val="0"/>
              <w:widowControl/>
              <w:spacing w:line="240" w:lineRule="auto" w:before="20" w:after="20"/>
              <w:jc w:val="left"/>
            </w:pPr>
            <w:r>
              <w:rPr>
                <w:rFonts w:ascii="Times New Roman" w:hAnsi="Times New Roman" w:eastAsia="Times New Roman"/>
                <w:b w:val="0"/>
                <w:i w:val="0"/>
                <w:sz w:val="16"/>
              </w:rPr>
              <w:t>Track B (V)</w:t>
            </w:r>
          </w:p>
        </w:tc>
        <w:tc>
          <w:tcPr>
            <w:tcW w:type="dxa" w:w="1229"/>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229"/>
          </w:tcPr>
          <w:p>
            <w:pPr>
              <w:keepNext w:val="0"/>
              <w:keepLines w:val="0"/>
              <w:widowControl/>
              <w:spacing w:line="240" w:lineRule="auto" w:before="20" w:after="20"/>
              <w:jc w:val="left"/>
            </w:pPr>
            <w:r>
              <w:rPr>
                <w:rFonts w:ascii="Times New Roman" w:hAnsi="Times New Roman" w:eastAsia="Times New Roman"/>
                <w:b w:val="0"/>
                <w:i w:val="0"/>
                <w:sz w:val="16"/>
              </w:rPr>
              <w:t>Gradient scale (B1), objective (B2), timing (B3)</w:t>
            </w:r>
          </w:p>
        </w:tc>
        <w:tc>
          <w:tcPr>
            <w:tcW w:type="dxa" w:w="1229"/>
          </w:tcPr>
          <w:p>
            <w:pPr>
              <w:keepNext w:val="0"/>
              <w:keepLines w:val="0"/>
              <w:widowControl/>
              <w:spacing w:line="240" w:lineRule="auto" w:before="20" w:after="20"/>
              <w:jc w:val="center"/>
            </w:pPr>
            <w:r>
              <w:rPr>
                <w:rFonts w:ascii="Times New Roman" w:hAnsi="Times New Roman" w:eastAsia="Times New Roman"/>
                <w:b w:val="0"/>
                <w:i w:val="0"/>
                <w:sz w:val="16"/>
              </w:rPr>
              <w:t>2–3 pockets</w:t>
            </w:r>
          </w:p>
        </w:tc>
        <w:tc>
          <w:tcPr>
            <w:tcW w:type="dxa" w:w="841"/>
          </w:tcPr>
          <w:p>
            <w:pPr>
              <w:keepNext w:val="0"/>
              <w:keepLines w:val="0"/>
              <w:widowControl/>
              <w:spacing w:line="240" w:lineRule="auto" w:before="20" w:after="20"/>
              <w:jc w:val="center"/>
            </w:pPr>
            <w:r>
              <w:rPr>
                <w:rFonts w:ascii="Times New Roman" w:hAnsi="Times New Roman" w:eastAsia="Times New Roman"/>
                <w:b w:val="0"/>
                <w:i w:val="0"/>
                <w:sz w:val="16"/>
              </w:rPr>
              <w:t>20 molecules</w:t>
            </w:r>
          </w:p>
        </w:tc>
        <w:tc>
          <w:tcPr>
            <w:tcW w:type="dxa" w:w="1035"/>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00"/>
          </w:tcPr>
          <w:p>
            <w:pPr>
              <w:keepNext w:val="0"/>
              <w:keepLines w:val="0"/>
              <w:widowControl/>
              <w:spacing w:line="240" w:lineRule="auto" w:before="20" w:after="20"/>
              <w:jc w:val="center"/>
            </w:pPr>
            <w:r>
              <w:rPr>
                <w:rFonts w:ascii="Times New Roman" w:hAnsi="Times New Roman" w:eastAsia="Times New Roman"/>
                <w:b w:val="0"/>
                <w:i w:val="0"/>
                <w:sz w:val="16"/>
              </w:rPr>
              <w:t>BH, 23 tests</w:t>
            </w:r>
          </w:p>
        </w:tc>
        <w:tc>
          <w:tcPr>
            <w:tcW w:type="dxa" w:w="873"/>
          </w:tcPr>
          <w:p>
            <w:pPr>
              <w:keepNext w:val="0"/>
              <w:keepLines w:val="0"/>
              <w:widowControl/>
              <w:spacing w:line="240" w:lineRule="auto" w:before="20" w:after="20"/>
              <w:jc w:val="left"/>
            </w:pPr>
            <w:r>
              <w:rPr>
                <w:rFonts w:ascii="Times New Roman" w:hAnsi="Times New Roman" w:eastAsia="Times New Roman"/>
                <w:b w:val="0"/>
                <w:i w:val="0"/>
                <w:sz w:val="16"/>
              </w:rPr>
              <w:t>0/23 significant</w:t>
            </w:r>
          </w:p>
        </w:tc>
      </w:tr>
      <w:tr>
        <w:trPr>
          <w:cantSplit/>
        </w:trPr>
        <w:tc>
          <w:tcPr>
            <w:tcW w:type="dxa" w:w="774"/>
          </w:tcPr>
          <w:p>
            <w:pPr>
              <w:keepNext w:val="0"/>
              <w:keepLines w:val="0"/>
              <w:widowControl/>
              <w:spacing w:line="240" w:lineRule="auto" w:before="20" w:after="20"/>
              <w:jc w:val="left"/>
            </w:pPr>
            <w:r>
              <w:rPr>
                <w:rFonts w:ascii="Times New Roman" w:hAnsi="Times New Roman" w:eastAsia="Times New Roman"/>
                <w:b w:val="0"/>
                <w:i w:val="0"/>
                <w:sz w:val="16"/>
              </w:rPr>
              <w:t>Diagnostic (V.4)</w:t>
            </w:r>
          </w:p>
        </w:tc>
        <w:tc>
          <w:tcPr>
            <w:tcW w:type="dxa" w:w="1229"/>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229"/>
          </w:tcPr>
          <w:p>
            <w:pPr>
              <w:keepNext w:val="0"/>
              <w:keepLines w:val="0"/>
              <w:widowControl/>
              <w:spacing w:line="240" w:lineRule="auto" w:before="20" w:after="20"/>
              <w:jc w:val="left"/>
            </w:pPr>
            <w:r>
              <w:rPr>
                <w:rFonts w:ascii="Times New Roman" w:hAnsi="Times New Roman" w:eastAsia="Times New Roman"/>
                <w:b w:val="0"/>
                <w:i w:val="0"/>
                <w:sz w:val="16"/>
              </w:rPr>
              <w:t>None (read-only probe)</w:t>
            </w:r>
          </w:p>
        </w:tc>
        <w:tc>
          <w:tcPr>
            <w:tcW w:type="dxa" w:w="1229"/>
          </w:tcPr>
          <w:p>
            <w:pPr>
              <w:keepNext w:val="0"/>
              <w:keepLines w:val="0"/>
              <w:widowControl/>
              <w:spacing w:line="240" w:lineRule="auto" w:before="20" w:after="20"/>
              <w:jc w:val="left"/>
            </w:pPr>
            <w:r>
              <w:rPr>
                <w:rFonts w:ascii="Times New Roman" w:hAnsi="Times New Roman" w:eastAsia="Times New Roman"/>
                <w:b w:val="0"/>
                <w:i w:val="0"/>
                <w:sz w:val="16"/>
              </w:rPr>
              <w:t>3 pockets, 144 states</w:t>
            </w:r>
          </w:p>
        </w:tc>
        <w:tc>
          <w:tcPr>
            <w:tcW w:type="dxa" w:w="841"/>
          </w:tcPr>
          <w:p>
            <w:pPr>
              <w:keepNext w:val="0"/>
              <w:keepLines w:val="0"/>
              <w:widowControl/>
              <w:spacing w:line="240" w:lineRule="auto" w:before="20" w:after="20"/>
              <w:jc w:val="center"/>
            </w:pPr>
            <w:r>
              <w:rPr>
                <w:rFonts w:ascii="Times New Roman" w:hAnsi="Times New Roman" w:eastAsia="Times New Roman"/>
                <w:b w:val="0"/>
                <w:i w:val="0"/>
                <w:sz w:val="16"/>
              </w:rPr>
              <w:t>n/a</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Gradient–distance correlation</w:t>
            </w:r>
          </w:p>
        </w:tc>
        <w:tc>
          <w:tcPr>
            <w:tcW w:type="dxa" w:w="1100"/>
          </w:tcPr>
          <w:p>
            <w:pPr>
              <w:keepNext w:val="0"/>
              <w:keepLines w:val="0"/>
              <w:widowControl/>
              <w:spacing w:line="240" w:lineRule="auto" w:before="20" w:after="20"/>
              <w:jc w:val="left"/>
            </w:pPr>
            <w:r>
              <w:rPr>
                <w:rFonts w:ascii="Times New Roman" w:hAnsi="Times New Roman" w:eastAsia="Times New Roman"/>
                <w:b w:val="0"/>
                <w:i w:val="0"/>
                <w:sz w:val="16"/>
              </w:rPr>
              <w:t>Bootstrap CI only; no gate</w:t>
            </w:r>
          </w:p>
        </w:tc>
        <w:tc>
          <w:tcPr>
            <w:tcW w:type="dxa" w:w="873"/>
          </w:tcPr>
          <w:p>
            <w:pPr>
              <w:keepNext w:val="0"/>
              <w:keepLines w:val="0"/>
              <w:widowControl/>
              <w:spacing w:line="240" w:lineRule="auto" w:before="20" w:after="20"/>
              <w:jc w:val="left"/>
            </w:pPr>
            <w:r>
              <w:rPr>
                <w:rFonts w:ascii="Times New Roman" w:hAnsi="Times New Roman" w:eastAsia="Times New Roman"/>
                <w:b w:val="0"/>
                <w:i w:val="0"/>
                <w:sz w:val="16"/>
              </w:rPr>
              <w:t>+0.240, wrong direction</w:t>
            </w:r>
          </w:p>
        </w:tc>
      </w:tr>
      <w:tr>
        <w:trPr>
          <w:cantSplit/>
        </w:trPr>
        <w:tc>
          <w:tcPr>
            <w:tcW w:type="dxa" w:w="774"/>
          </w:tcPr>
          <w:p>
            <w:pPr>
              <w:keepNext w:val="0"/>
              <w:keepLines w:val="0"/>
              <w:widowControl/>
              <w:spacing w:line="240" w:lineRule="auto" w:before="20" w:after="20"/>
              <w:jc w:val="left"/>
            </w:pPr>
            <w:r>
              <w:rPr>
                <w:rFonts w:ascii="Times New Roman" w:hAnsi="Times New Roman" w:eastAsia="Times New Roman"/>
                <w:b w:val="0"/>
                <w:i w:val="0"/>
                <w:sz w:val="16"/>
              </w:rPr>
              <w:t>Track C (VI)</w:t>
            </w:r>
          </w:p>
        </w:tc>
        <w:tc>
          <w:tcPr>
            <w:tcW w:type="dxa" w:w="1229"/>
          </w:tcPr>
          <w:p>
            <w:pPr>
              <w:keepNext w:val="0"/>
              <w:keepLines w:val="0"/>
              <w:widowControl/>
              <w:spacing w:line="240" w:lineRule="auto" w:before="20" w:after="20"/>
              <w:jc w:val="left"/>
            </w:pPr>
            <w:r>
              <w:rPr>
                <w:rFonts w:ascii="Times New Roman" w:hAnsi="Times New Roman" w:eastAsia="Times New Roman"/>
                <w:b w:val="0"/>
                <w:i w:val="0"/>
                <w:sz w:val="16"/>
              </w:rPr>
              <w:t>Stage 0 EGNN (as ranker)</w:t>
            </w:r>
          </w:p>
        </w:tc>
        <w:tc>
          <w:tcPr>
            <w:tcW w:type="dxa" w:w="1229"/>
          </w:tcPr>
          <w:p>
            <w:pPr>
              <w:keepNext w:val="0"/>
              <w:keepLines w:val="0"/>
              <w:widowControl/>
              <w:spacing w:line="240" w:lineRule="auto" w:before="20" w:after="20"/>
              <w:jc w:val="left"/>
            </w:pPr>
            <w:r>
              <w:rPr>
                <w:rFonts w:ascii="Times New Roman" w:hAnsi="Times New Roman" w:eastAsia="Times New Roman"/>
                <w:b w:val="0"/>
                <w:i w:val="0"/>
                <w:sz w:val="16"/>
              </w:rPr>
              <w:t>Post-hoc top-10% selection</w:t>
            </w:r>
          </w:p>
        </w:tc>
        <w:tc>
          <w:tcPr>
            <w:tcW w:type="dxa" w:w="1229"/>
          </w:tcPr>
          <w:p>
            <w:pPr>
              <w:keepNext w:val="0"/>
              <w:keepLines w:val="0"/>
              <w:widowControl/>
              <w:spacing w:line="240" w:lineRule="auto" w:before="20" w:after="20"/>
              <w:jc w:val="center"/>
            </w:pPr>
            <w:r>
              <w:rPr>
                <w:rFonts w:ascii="Times New Roman" w:hAnsi="Times New Roman" w:eastAsia="Times New Roman"/>
                <w:b w:val="0"/>
                <w:i w:val="0"/>
                <w:sz w:val="16"/>
              </w:rPr>
              <w:t>15 pockets</w:t>
            </w:r>
          </w:p>
        </w:tc>
        <w:tc>
          <w:tcPr>
            <w:tcW w:type="dxa" w:w="841"/>
          </w:tcPr>
          <w:p>
            <w:pPr>
              <w:keepNext w:val="0"/>
              <w:keepLines w:val="0"/>
              <w:widowControl/>
              <w:spacing w:line="240" w:lineRule="auto" w:before="20" w:after="20"/>
              <w:jc w:val="left"/>
            </w:pPr>
            <w:r>
              <w:rPr>
                <w:rFonts w:ascii="Times New Roman" w:hAnsi="Times New Roman" w:eastAsia="Times New Roman"/>
                <w:b w:val="0"/>
                <w:i w:val="0"/>
                <w:sz w:val="16"/>
              </w:rPr>
              <w:t>~590 molecules/pocket pool</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Vina Dock, LE, PoseBusters (KS)</w:t>
            </w:r>
          </w:p>
        </w:tc>
        <w:tc>
          <w:tcPr>
            <w:tcW w:type="dxa" w:w="1100"/>
          </w:tcPr>
          <w:p>
            <w:pPr>
              <w:keepNext w:val="0"/>
              <w:keepLines w:val="0"/>
              <w:widowControl/>
              <w:spacing w:line="240" w:lineRule="auto" w:before="20" w:after="20"/>
              <w:jc w:val="center"/>
            </w:pPr>
            <w:r>
              <w:rPr>
                <w:rFonts w:ascii="Times New Roman" w:hAnsi="Times New Roman" w:eastAsia="Times New Roman"/>
                <w:b w:val="0"/>
                <w:i w:val="0"/>
                <w:sz w:val="16"/>
              </w:rPr>
              <w:t>BH, 15 tests</w:t>
            </w:r>
          </w:p>
        </w:tc>
        <w:tc>
          <w:tcPr>
            <w:tcW w:type="dxa" w:w="873"/>
          </w:tcPr>
          <w:p>
            <w:pPr>
              <w:keepNext w:val="0"/>
              <w:keepLines w:val="0"/>
              <w:widowControl/>
              <w:spacing w:line="240" w:lineRule="auto" w:before="20" w:after="20"/>
              <w:jc w:val="left"/>
            </w:pPr>
            <w:r>
              <w:rPr>
                <w:rFonts w:ascii="Times New Roman" w:hAnsi="Times New Roman" w:eastAsia="Times New Roman"/>
                <w:b w:val="0"/>
                <w:i w:val="0"/>
                <w:sz w:val="16"/>
              </w:rPr>
              <w:t>Raw gain confounded by size</w:t>
            </w:r>
          </w:p>
        </w:tc>
      </w:tr>
      <w:tr>
        <w:trPr>
          <w:cantSplit/>
        </w:trPr>
        <w:tc>
          <w:tcPr>
            <w:tcW w:type="dxa" w:w="774"/>
          </w:tcPr>
          <w:p>
            <w:pPr>
              <w:keepNext w:val="0"/>
              <w:keepLines w:val="0"/>
              <w:widowControl/>
              <w:spacing w:line="240" w:lineRule="auto" w:before="20" w:after="20"/>
              <w:jc w:val="left"/>
            </w:pPr>
            <w:r>
              <w:rPr>
                <w:rFonts w:ascii="Times New Roman" w:hAnsi="Times New Roman" w:eastAsia="Times New Roman"/>
                <w:b w:val="0"/>
                <w:i w:val="0"/>
                <w:sz w:val="16"/>
              </w:rPr>
              <w:t>Track D (VII)</w:t>
            </w:r>
          </w:p>
        </w:tc>
        <w:tc>
          <w:tcPr>
            <w:tcW w:type="dxa" w:w="1229"/>
          </w:tcPr>
          <w:p>
            <w:pPr>
              <w:keepNext w:val="0"/>
              <w:keepLines w:val="0"/>
              <w:widowControl/>
              <w:spacing w:line="240" w:lineRule="auto" w:before="20" w:after="20"/>
              <w:jc w:val="center"/>
            </w:pPr>
            <w:r>
              <w:rPr>
                <w:rFonts w:ascii="Times New Roman" w:hAnsi="Times New Roman" w:eastAsia="Times New Roman"/>
                <w:b w:val="0"/>
                <w:i w:val="0"/>
                <w:sz w:val="16"/>
              </w:rPr>
              <w:t>SynthPredNet</w:t>
            </w:r>
          </w:p>
        </w:tc>
        <w:tc>
          <w:tcPr>
            <w:tcW w:type="dxa" w:w="1229"/>
          </w:tcPr>
          <w:p>
            <w:pPr>
              <w:keepNext w:val="0"/>
              <w:keepLines w:val="0"/>
              <w:widowControl/>
              <w:spacing w:line="240" w:lineRule="auto" w:before="20" w:after="20"/>
              <w:jc w:val="left"/>
            </w:pPr>
            <w:r>
              <w:rPr>
                <w:rFonts w:ascii="Times New Roman" w:hAnsi="Times New Roman" w:eastAsia="Times New Roman"/>
                <w:b w:val="0"/>
                <w:i w:val="0"/>
                <w:sz w:val="16"/>
              </w:rPr>
              <w:t>Synthesizability guidance</w:t>
            </w:r>
          </w:p>
        </w:tc>
        <w:tc>
          <w:tcPr>
            <w:tcW w:type="dxa" w:w="1229"/>
          </w:tcPr>
          <w:p>
            <w:pPr>
              <w:keepNext w:val="0"/>
              <w:keepLines w:val="0"/>
              <w:widowControl/>
              <w:spacing w:line="240" w:lineRule="auto" w:before="20" w:after="20"/>
              <w:jc w:val="left"/>
            </w:pPr>
            <w:r>
              <w:rPr>
                <w:rFonts w:ascii="Times New Roman" w:hAnsi="Times New Roman" w:eastAsia="Times New Roman"/>
                <w:b w:val="0"/>
                <w:i w:val="0"/>
                <w:sz w:val="16"/>
              </w:rPr>
              <w:t>1 pocket (powered tier)</w:t>
            </w:r>
          </w:p>
        </w:tc>
        <w:tc>
          <w:tcPr>
            <w:tcW w:type="dxa" w:w="841"/>
          </w:tcPr>
          <w:p>
            <w:pPr>
              <w:keepNext w:val="0"/>
              <w:keepLines w:val="0"/>
              <w:widowControl/>
              <w:spacing w:line="240" w:lineRule="auto" w:before="20" w:after="20"/>
              <w:jc w:val="center"/>
            </w:pPr>
            <w:r>
              <w:rPr>
                <w:rFonts w:ascii="Times New Roman" w:hAnsi="Times New Roman" w:eastAsia="Times New Roman"/>
                <w:b w:val="0"/>
                <w:i w:val="0"/>
                <w:sz w:val="16"/>
              </w:rPr>
              <w:t>30 molecules</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Real RAscore (KS)</w:t>
            </w:r>
          </w:p>
        </w:tc>
        <w:tc>
          <w:tcPr>
            <w:tcW w:type="dxa" w:w="1100"/>
          </w:tcPr>
          <w:p>
            <w:pPr>
              <w:keepNext w:val="0"/>
              <w:keepLines w:val="0"/>
              <w:widowControl/>
              <w:spacing w:line="240" w:lineRule="auto" w:before="20" w:after="20"/>
              <w:jc w:val="center"/>
            </w:pPr>
            <w:r>
              <w:rPr>
                <w:rFonts w:ascii="Times New Roman" w:hAnsi="Times New Roman" w:eastAsia="Times New Roman"/>
                <w:b w:val="0"/>
                <w:i w:val="0"/>
                <w:sz w:val="16"/>
              </w:rPr>
              <w:t>BH, 5 tests</w:t>
            </w:r>
          </w:p>
        </w:tc>
        <w:tc>
          <w:tcPr>
            <w:tcW w:type="dxa" w:w="873"/>
          </w:tcPr>
          <w:p>
            <w:pPr>
              <w:keepNext w:val="0"/>
              <w:keepLines w:val="0"/>
              <w:widowControl/>
              <w:spacing w:line="240" w:lineRule="auto" w:before="20" w:after="20"/>
              <w:jc w:val="center"/>
            </w:pPr>
            <w:r>
              <w:rPr>
                <w:rFonts w:ascii="Times New Roman" w:hAnsi="Times New Roman" w:eastAsia="Times New Roman"/>
                <w:b w:val="0"/>
                <w:i w:val="0"/>
                <w:sz w:val="16"/>
              </w:rPr>
              <w:t>0/5 significant</w:t>
            </w:r>
          </w:p>
        </w:tc>
      </w:tr>
      <w:tr>
        <w:trPr>
          <w:cantSplit/>
        </w:trPr>
        <w:tc>
          <w:tcPr>
            <w:tcW w:type="dxa" w:w="774"/>
          </w:tcPr>
          <w:p>
            <w:pPr>
              <w:keepNext w:val="0"/>
              <w:keepLines w:val="0"/>
              <w:widowControl/>
              <w:spacing w:line="240" w:lineRule="auto" w:before="20" w:after="20"/>
              <w:jc w:val="left"/>
            </w:pPr>
            <w:r>
              <w:rPr>
                <w:rFonts w:ascii="Times New Roman" w:hAnsi="Times New Roman" w:eastAsia="Times New Roman"/>
                <w:b w:val="0"/>
                <w:i w:val="0"/>
                <w:sz w:val="16"/>
              </w:rPr>
              <w:t>Track E (VIII)</w:t>
            </w:r>
          </w:p>
        </w:tc>
        <w:tc>
          <w:tcPr>
            <w:tcW w:type="dxa" w:w="1229"/>
          </w:tcPr>
          <w:p>
            <w:pPr>
              <w:keepNext w:val="0"/>
              <w:keepLines w:val="0"/>
              <w:widowControl/>
              <w:spacing w:line="240" w:lineRule="auto" w:before="20" w:after="20"/>
              <w:jc w:val="center"/>
            </w:pPr>
            <w:r>
              <w:rPr>
                <w:rFonts w:ascii="Times New Roman" w:hAnsi="Times New Roman" w:eastAsia="Times New Roman"/>
                <w:b w:val="0"/>
                <w:i w:val="0"/>
                <w:sz w:val="16"/>
              </w:rPr>
              <w:t>GIGN delta head</w:t>
            </w:r>
          </w:p>
        </w:tc>
        <w:tc>
          <w:tcPr>
            <w:tcW w:type="dxa" w:w="1229"/>
          </w:tcPr>
          <w:p>
            <w:pPr>
              <w:keepNext w:val="0"/>
              <w:keepLines w:val="0"/>
              <w:widowControl/>
              <w:spacing w:line="240" w:lineRule="auto" w:before="20" w:after="20"/>
              <w:jc w:val="left"/>
            </w:pPr>
            <w:r>
              <w:rPr>
                <w:rFonts w:ascii="Times New Roman" w:hAnsi="Times New Roman" w:eastAsia="Times New Roman"/>
                <w:b w:val="0"/>
                <w:i w:val="0"/>
                <w:sz w:val="16"/>
              </w:rPr>
              <w:t>Training target (residual vs. Vina)</w:t>
            </w:r>
          </w:p>
        </w:tc>
        <w:tc>
          <w:tcPr>
            <w:tcW w:type="dxa" w:w="1229"/>
          </w:tcPr>
          <w:p>
            <w:pPr>
              <w:keepNext w:val="0"/>
              <w:keepLines w:val="0"/>
              <w:widowControl/>
              <w:spacing w:line="240" w:lineRule="auto" w:before="20" w:after="20"/>
              <w:jc w:val="left"/>
            </w:pPr>
            <w:r>
              <w:rPr>
                <w:rFonts w:ascii="Times New Roman" w:hAnsi="Times New Roman" w:eastAsia="Times New Roman"/>
                <w:b w:val="0"/>
                <w:i w:val="0"/>
                <w:sz w:val="16"/>
              </w:rPr>
              <w:t>127 test targets</w:t>
            </w:r>
          </w:p>
        </w:tc>
        <w:tc>
          <w:tcPr>
            <w:tcW w:type="dxa" w:w="841"/>
          </w:tcPr>
          <w:p>
            <w:pPr>
              <w:keepNext w:val="0"/>
              <w:keepLines w:val="0"/>
              <w:widowControl/>
              <w:spacing w:line="240" w:lineRule="auto" w:before="20" w:after="20"/>
              <w:jc w:val="left"/>
            </w:pPr>
            <w:r>
              <w:rPr>
                <w:rFonts w:ascii="Times New Roman" w:hAnsi="Times New Roman" w:eastAsia="Times New Roman"/>
                <w:b w:val="0"/>
                <w:i w:val="0"/>
                <w:sz w:val="16"/>
              </w:rPr>
              <w:t>n/a (predictor comparison)</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Target-clustered R²</w:t>
            </w:r>
          </w:p>
        </w:tc>
        <w:tc>
          <w:tcPr>
            <w:tcW w:type="dxa" w:w="1100"/>
          </w:tcPr>
          <w:p>
            <w:pPr>
              <w:keepNext w:val="0"/>
              <w:keepLines w:val="0"/>
              <w:widowControl/>
              <w:spacing w:line="240" w:lineRule="auto" w:before="20" w:after="20"/>
              <w:jc w:val="left"/>
            </w:pPr>
            <w:r>
              <w:rPr>
                <w:rFonts w:ascii="Times New Roman" w:hAnsi="Times New Roman" w:eastAsia="Times New Roman"/>
                <w:b w:val="0"/>
                <w:i w:val="0"/>
                <w:sz w:val="16"/>
              </w:rPr>
              <w:t>Pre-registered gate (bootstrap CI)</w:t>
            </w:r>
          </w:p>
        </w:tc>
        <w:tc>
          <w:tcPr>
            <w:tcW w:type="dxa" w:w="873"/>
          </w:tcPr>
          <w:p>
            <w:pPr>
              <w:keepNext w:val="0"/>
              <w:keepLines w:val="0"/>
              <w:widowControl/>
              <w:spacing w:line="240" w:lineRule="auto" w:before="20" w:after="20"/>
              <w:jc w:val="left"/>
            </w:pPr>
            <w:r>
              <w:rPr>
                <w:rFonts w:ascii="Times New Roman" w:hAnsi="Times New Roman" w:eastAsia="Times New Roman"/>
                <w:b w:val="0"/>
                <w:i w:val="0"/>
                <w:sz w:val="16"/>
              </w:rPr>
              <w:t>Falsified at this scale</w:t>
            </w:r>
          </w:p>
        </w:tc>
      </w:tr>
      <w:tr>
        <w:trPr>
          <w:cantSplit/>
        </w:trPr>
        <w:tc>
          <w:tcPr>
            <w:tcW w:type="dxa" w:w="774"/>
          </w:tcPr>
          <w:p>
            <w:pPr>
              <w:keepNext w:val="0"/>
              <w:keepLines w:val="0"/>
              <w:widowControl/>
              <w:spacing w:line="240" w:lineRule="auto" w:before="20" w:after="20"/>
              <w:jc w:val="left"/>
            </w:pPr>
            <w:r>
              <w:rPr>
                <w:rFonts w:ascii="Times New Roman" w:hAnsi="Times New Roman" w:eastAsia="Times New Roman"/>
                <w:b w:val="0"/>
                <w:i w:val="0"/>
                <w:sz w:val="16"/>
              </w:rPr>
              <w:t>Follow-up (App. E)</w:t>
            </w:r>
          </w:p>
        </w:tc>
        <w:tc>
          <w:tcPr>
            <w:tcW w:type="dxa" w:w="1229"/>
          </w:tcPr>
          <w:p>
            <w:pPr>
              <w:keepNext w:val="0"/>
              <w:keepLines w:val="0"/>
              <w:widowControl/>
              <w:spacing w:line="240" w:lineRule="auto" w:before="20" w:after="20"/>
              <w:jc w:val="left"/>
            </w:pPr>
            <w:r>
              <w:rPr>
                <w:rFonts w:ascii="Times New Roman" w:hAnsi="Times New Roman" w:eastAsia="Times New Roman"/>
                <w:b w:val="0"/>
                <w:i w:val="0"/>
                <w:sz w:val="16"/>
              </w:rPr>
              <w:t>8 further checkpoints (EGNN / GIGN variants)</w:t>
            </w:r>
          </w:p>
        </w:tc>
        <w:tc>
          <w:tcPr>
            <w:tcW w:type="dxa" w:w="1229"/>
          </w:tcPr>
          <w:p>
            <w:pPr>
              <w:keepNext w:val="0"/>
              <w:keepLines w:val="0"/>
              <w:widowControl/>
              <w:spacing w:line="240" w:lineRule="auto" w:before="20" w:after="20"/>
              <w:jc w:val="left"/>
            </w:pPr>
            <w:r>
              <w:rPr>
                <w:rFonts w:ascii="Times New Roman" w:hAnsi="Times New Roman" w:eastAsia="Times New Roman"/>
                <w:b w:val="0"/>
                <w:i w:val="0"/>
                <w:sz w:val="16"/>
              </w:rPr>
              <w:t>4 mechanism-level fixes, alone and combined, plus validation and a mechanistic trace</w:t>
            </w:r>
          </w:p>
        </w:tc>
        <w:tc>
          <w:tcPr>
            <w:tcW w:type="dxa" w:w="1229"/>
          </w:tcPr>
          <w:p>
            <w:pPr>
              <w:keepNext w:val="0"/>
              <w:keepLines w:val="0"/>
              <w:widowControl/>
              <w:spacing w:line="240" w:lineRule="auto" w:before="20" w:after="20"/>
              <w:jc w:val="left"/>
            </w:pPr>
            <w:r>
              <w:rPr>
                <w:rFonts w:ascii="Times New Roman" w:hAnsi="Times New Roman" w:eastAsia="Times New Roman"/>
                <w:b w:val="0"/>
                <w:i w:val="0"/>
                <w:sz w:val="16"/>
              </w:rPr>
              <w:t>1 fixed pocket + CDK6 (unseen family) + 835 (AlphaFold side-check)</w:t>
            </w:r>
          </w:p>
        </w:tc>
        <w:tc>
          <w:tcPr>
            <w:tcW w:type="dxa" w:w="841"/>
          </w:tcPr>
          <w:p>
            <w:pPr>
              <w:keepNext w:val="0"/>
              <w:keepLines w:val="0"/>
              <w:widowControl/>
              <w:spacing w:line="240" w:lineRule="auto" w:before="20" w:after="20"/>
              <w:jc w:val="left"/>
            </w:pPr>
            <w:r>
              <w:rPr>
                <w:rFonts w:ascii="Times New Roman" w:hAnsi="Times New Roman" w:eastAsia="Times New Roman"/>
                <w:b w:val="0"/>
                <w:i w:val="0"/>
                <w:sz w:val="16"/>
              </w:rPr>
              <w:t>8–30 molecules per λ</w:t>
            </w:r>
          </w:p>
        </w:tc>
        <w:tc>
          <w:tcPr>
            <w:tcW w:type="dxa" w:w="1035"/>
          </w:tcPr>
          <w:p>
            <w:pPr>
              <w:keepNext w:val="0"/>
              <w:keepLines w:val="0"/>
              <w:widowControl/>
              <w:spacing w:line="240" w:lineRule="auto" w:before="20" w:after="20"/>
              <w:jc w:val="left"/>
            </w:pPr>
            <w:r>
              <w:rPr>
                <w:rFonts w:ascii="Times New Roman" w:hAnsi="Times New Roman" w:eastAsia="Times New Roman"/>
                <w:b w:val="0"/>
                <w:i w:val="0"/>
                <w:sz w:val="16"/>
              </w:rPr>
              <w:t>Vina Dock, PLIP interactions, R²</w:t>
            </w:r>
          </w:p>
        </w:tc>
        <w:tc>
          <w:tcPr>
            <w:tcW w:type="dxa" w:w="1100"/>
          </w:tcPr>
          <w:p>
            <w:pPr>
              <w:keepNext w:val="0"/>
              <w:keepLines w:val="0"/>
              <w:widowControl/>
              <w:spacing w:line="240" w:lineRule="auto" w:before="20" w:after="20"/>
              <w:jc w:val="left"/>
            </w:pPr>
            <w:r>
              <w:rPr>
                <w:rFonts w:ascii="Times New Roman" w:hAnsi="Times New Roman" w:eastAsia="Times New Roman"/>
                <w:b w:val="0"/>
                <w:i w:val="0"/>
                <w:sz w:val="16"/>
              </w:rPr>
              <w:t>Pooled BH, 48 tests</w:t>
            </w:r>
          </w:p>
        </w:tc>
        <w:tc>
          <w:tcPr>
            <w:tcW w:type="dxa" w:w="873"/>
          </w:tcPr>
          <w:p>
            <w:pPr>
              <w:keepNext w:val="0"/>
              <w:keepLines w:val="0"/>
              <w:widowControl/>
              <w:spacing w:line="240" w:lineRule="auto" w:before="20" w:after="20"/>
              <w:jc w:val="left"/>
            </w:pPr>
            <w:r>
              <w:rPr>
                <w:rFonts w:ascii="Times New Roman" w:hAnsi="Times New Roman" w:eastAsia="Times New Roman"/>
                <w:b w:val="0"/>
                <w:i w:val="0"/>
                <w:sz w:val="16"/>
              </w:rPr>
              <w:t>0/48 significant</w:t>
            </w:r>
          </w:p>
        </w:tc>
      </w:tr>
    </w:tbl>
    <w:p>
      <w:pPr>
        <w:keepNext w:val="0"/>
        <w:keepLines w:val="0"/>
        <w:widowControl/>
        <w:spacing w:line="240" w:lineRule="auto" w:before="80" w:after="0"/>
        <w:jc w:val="both"/>
      </w:pPr>
      <w:r>
        <w:rPr>
          <w:rFonts w:ascii="Times New Roman" w:hAnsi="Times New Roman" w:eastAsia="Times New Roman"/>
          <w:b w:val="0"/>
          <w:i w:val="0"/>
          <w:sz w:val="20"/>
        </w:rPr>
        <w:t>"n/a" marks routes that compare trained predictors on a held-out test set rather than generated molecules under guidance. The diagnostic of row 4 is not a guidance checkpoint and carried no pass/fail gate (Section V.4).</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The official split of that release assigns 99,990 pocket instances to training (1,905 unique targets) and 100 to testing (93 unique targets), with no target overlap between the two.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[30]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resulting split, restricted to entries with a non-zero pK and an RMSD below 2 Å (1,041 targets, 76,803 entries), is summarised in Table 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3.3</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[43]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[22].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3.4 summarises the predictors. All were trained on clean structures with mean-squared-error (regression) or cross-entropy (classification) objectives and selected by validation loss.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3.4</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[39]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[52], in which covalent (or covalent-proxy) and non-covalent edges share one message pass and are differentiated by separate MLPs, with the physics-decomposed readout of PIGNet [34]: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3.5.</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3.5</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Real RAscore model [43]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[50];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2" name="Picture 2"/>
            <wp:cNvGraphicFramePr>
              <a:graphicFrameLocks noChangeAspect="1"/>
            </wp:cNvGraphicFramePr>
            <a:graphic>
              <a:graphicData uri="http://schemas.openxmlformats.org/drawingml/2006/picture">
                <pic:pic>
                  <pic:nvPicPr>
                    <pic:cNvPr id="0" name="fig_verdict_flow.png"/>
                    <pic:cNvPicPr/>
                  </pic:nvPicPr>
                  <pic:blipFill>
                    <a:blip r:embed="rId30"/>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A note on the wording of null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uses five distinct phrases for a comparison that did not support a positive claim, and they are not interchangeable. </w:t>
      </w:r>
      <w:r>
        <w:rPr>
          <w:rFonts w:ascii="Times New Roman" w:hAnsi="Times New Roman" w:eastAsia="Times New Roman"/>
          <w:b w:val="0"/>
          <w:i/>
          <w:sz w:val="24"/>
        </w:rPr>
        <w:t>No significant effect</w:t>
      </w:r>
      <w:r>
        <w:rPr>
          <w:rFonts w:ascii="Times New Roman" w:hAnsi="Times New Roman" w:eastAsia="Times New Roman"/>
          <w:b w:val="0"/>
          <w:i w:val="0"/>
          <w:sz w:val="24"/>
        </w:rPr>
        <w:t xml:space="preserve"> is the narrowest and most frequent: a specific test did not survive the stated correction at the stated sample size, and nothing is implied about effects of a different size or at a different scale. </w:t>
      </w:r>
      <w:r>
        <w:rPr>
          <w:rFonts w:ascii="Times New Roman" w:hAnsi="Times New Roman" w:eastAsia="Times New Roman"/>
          <w:b w:val="0"/>
          <w:i/>
          <w:sz w:val="24"/>
        </w:rPr>
        <w:t>No evidence of an effect</w:t>
      </w:r>
      <w:r>
        <w:rPr>
          <w:rFonts w:ascii="Times New Roman" w:hAnsi="Times New Roman" w:eastAsia="Times New Roman"/>
          <w:b w:val="0"/>
          <w:i w:val="0"/>
          <w:sz w:val="24"/>
        </w:rPr>
        <w:t xml:space="preserve"> is used when several such tests are taken together (for example, across an entire checkpoint or phase) and none of them individually or in combination supports a positive claim. </w:t>
      </w:r>
      <w:r>
        <w:rPr>
          <w:rFonts w:ascii="Times New Roman" w:hAnsi="Times New Roman" w:eastAsia="Times New Roman"/>
          <w:b w:val="0"/>
          <w:i/>
          <w:sz w:val="24"/>
        </w:rPr>
        <w:t>No effect of practical size</w:t>
      </w:r>
      <w:r>
        <w:rPr>
          <w:rFonts w:ascii="Times New Roman" w:hAnsi="Times New Roman" w:eastAsia="Times New Roman"/>
          <w:b w:val="0"/>
          <w:i w:val="0"/>
          <w:sz w:val="24"/>
        </w:rPr>
        <w:t xml:space="preserve"> is reserved for cases in which a power calculation (Section V.1, Figure 9.2) bounds the effect that could have been missed, so the claim is about magnitude and not only about significance. </w:t>
      </w:r>
      <w:r>
        <w:rPr>
          <w:rFonts w:ascii="Times New Roman" w:hAnsi="Times New Roman" w:eastAsia="Times New Roman"/>
          <w:b w:val="0"/>
          <w:i/>
          <w:sz w:val="24"/>
        </w:rPr>
        <w:t>Failed criterion</w:t>
      </w:r>
      <w:r>
        <w:rPr>
          <w:rFonts w:ascii="Times New Roman" w:hAnsi="Times New Roman" w:eastAsia="Times New Roman"/>
          <w:b w:val="0"/>
          <w:i w:val="0"/>
          <w:sz w:val="24"/>
        </w:rPr>
        <w:t xml:space="preserve"> or </w:t>
      </w:r>
      <w:r>
        <w:rPr>
          <w:rFonts w:ascii="Times New Roman" w:hAnsi="Times New Roman" w:eastAsia="Times New Roman"/>
          <w:b w:val="0"/>
          <w:i/>
          <w:sz w:val="24"/>
        </w:rPr>
        <w:t>failed its pre-declared criterion</w:t>
      </w:r>
      <w:r>
        <w:rPr>
          <w:rFonts w:ascii="Times New Roman" w:hAnsi="Times New Roman" w:eastAsia="Times New Roman"/>
          <w:b w:val="0"/>
          <w:i w:val="0"/>
          <w:sz w:val="24"/>
        </w:rPr>
        <w:t xml:space="preserve"> is used for a route governed by explicit decision bands (Section III.1.1) that did not clear them, independently of whether a numerical test was involved. </w:t>
      </w:r>
      <w:r>
        <w:rPr>
          <w:rFonts w:ascii="Times New Roman" w:hAnsi="Times New Roman" w:eastAsia="Times New Roman"/>
          <w:b w:val="0"/>
          <w:i/>
          <w:sz w:val="24"/>
        </w:rPr>
        <w:t>Falsified at this scale</w:t>
      </w:r>
      <w:r>
        <w:rPr>
          <w:rFonts w:ascii="Times New Roman" w:hAnsi="Times New Roman" w:eastAsia="Times New Roman"/>
          <w:b w:val="0"/>
          <w:i w:val="0"/>
          <w:sz w:val="24"/>
        </w:rPr>
        <w:t xml:space="preserve"> is reserved for Track E, the one route with a pre-registered numerical margin (Appendix D): it means the pre-declared rule was applied exactly as written and returned a negative verdict, not merely that a result failed to reach significance. None of these phrases is used to claim that no effect exists under conditions that were not tested; that distinction is kept explicit throughout and restated in Chapter 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III.6.4</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5"/>
          <w:headerReference w:type="first" r:id="rId26"/>
          <w:footerReference w:type="default" r:id="rId27"/>
          <w:footerReference w:type="first" r:id="rId2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3.4,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[50].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with 31 targets discarded for ligand contamination and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3" name="Picture 3"/>
            <wp:cNvGraphicFramePr>
              <a:graphicFrameLocks noChangeAspect="1"/>
            </wp:cNvGraphicFramePr>
            <a:graphic>
              <a:graphicData uri="http://schemas.openxmlformats.org/drawingml/2006/picture">
                <pic:pic>
                  <pic:nvPicPr>
                    <pic:cNvPr id="0" name="fig_split_artifact.png"/>
                    <pic:cNvPicPr/>
                  </pic:nvPicPr>
                  <pic:blipFill>
                    <a:blip r:embed="rId35"/>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Two limits of this conclusion should be noted. The comparison is between models evaluated on different test sets, so the two R² values are not paired estimates; and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4" name="Picture 4"/>
            <wp:cNvGraphicFramePr>
              <a:graphicFrameLocks noChangeAspect="1"/>
            </wp:cNvGraphicFramePr>
            <a:graphic>
              <a:graphicData uri="http://schemas.openxmlformats.org/drawingml/2006/picture">
                <pic:pic>
                  <pic:nvPicPr>
                    <pic:cNvPr id="0" name="fig_predictive_quality.png"/>
                    <pic:cNvPicPr/>
                  </pic:nvPicPr>
                  <pic:blipFill>
                    <a:blip r:embed="rId36"/>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from a distinct protein family,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real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real Vina Dock, however, showed no dose–response (Table 4.6); the comparison of each value against unguided sampling had p between 0.69 and 1.00.</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real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Three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ligand-only baseline (0.20). Both statements rest on complex-level resampling, and Chapter VIII shows that target-level resampling widens the interval about eight times and makes the network indistinguishable from a two-feature linear baseline. Second, the size shortcut remained (correlation 0.72 with heavy-atom count). Third, and decisive for the rest of the thesis, repairing the predictor was necessary but not sufficient: with the repaired predictor as with the original one, guidance produced no detectable change in real docking score at any tested strength (a span of three orders of magnitude for the repaired predictor). Guidance also changed the predictor's own score only marginally, by 1 to 2%. Two questions followed: whether a differently constructed predictor or a differently constructed guidance mechanism could recover a signal (Chapter V), and whether the same predictor used without a gradient, as a ranker of finished molecules, would do better (Chapter VI).</w:t>
      </w:r>
    </w:p>
    <w:p>
      <w:pPr>
        <w:sectPr>
          <w:headerReference w:type="default" r:id="rId31"/>
          <w:headerReference w:type="first" r:id="rId32"/>
          <w:footerReference w:type="default" r:id="rId33"/>
          <w:footerReference w:type="first" r:id="rId3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real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[52] with hidden size 256, which produce an embedding for each protein and ligand atom. The output is the sum of pairwise energy terms between all ligand and protein atoms, as in PIGNet2 [34]: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5" name="Picture 5"/>
            <wp:cNvGraphicFramePr>
              <a:graphicFrameLocks noChangeAspect="1"/>
            </wp:cNvGraphicFramePr>
            <a:graphic>
              <a:graphicData uri="http://schemas.openxmlformats.org/drawingml/2006/picture">
                <pic:pic>
                  <pic:nvPicPr>
                    <pic:cNvPr id="0" name="fig_trackA_full.png"/>
                    <pic:cNvPicPr/>
                  </pic:nvPicPr>
                  <pic:blipFill>
                    <a:blip r:embed="rId41"/>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(A) Mean shift of the real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for real docking. One mean-based row (BSD_ASPTE, classifier against raw) had the correct direction only because of the +286.58 outlier of the raw condition; its median was +0.73.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6" name="Picture 6"/>
            <wp:cNvGraphicFramePr>
              <a:graphicFrameLocks noChangeAspect="1"/>
            </wp:cNvGraphicFramePr>
            <a:graphic>
              <a:graphicData uri="http://schemas.openxmlformats.org/drawingml/2006/picture">
                <pic:pic>
                  <pic:nvPicPr>
                    <pic:cNvPr id="0" name="fig_trackB.png"/>
                    <pic:cNvPicPr/>
                  </pic:nvPicPr>
                  <pic:blipFill>
                    <a:blip r:embed="rId42"/>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real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7" name="Picture 7"/>
            <wp:cNvGraphicFramePr>
              <a:graphicFrameLocks noChangeAspect="1"/>
            </wp:cNvGraphicFramePr>
            <a:graphic>
              <a:graphicData uri="http://schemas.openxmlformats.org/drawingml/2006/picture">
                <pic:pic>
                  <pic:nvPicPr>
                    <pic:cNvPr id="0" name="fig_diag1.png"/>
                    <pic:cNvPicPr/>
                  </pic:nvPicPr>
                  <pic:blipFill>
                    <a:blip r:embed="rId43"/>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The second correlation is the more informative one. If the gradient was concentrated on the contacts that determine binding, its magnitude would be expected to decrease with the distance to the pocket, that is, a negative correlation. The observed positive correlation means that the strongest pull acts on the atoms that are on average farthest from the pocket.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[22].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real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37"/>
          <w:headerReference w:type="first" r:id="rId38"/>
          <w:footerReference w:type="default" r:id="rId39"/>
          <w:footerReference w:type="first" r:id="rId4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was significant after the correction. The seeds agreed in direction for 14 of 15 pockets; the exception was SQHC (per-seed shifts +0.78 and −1.07), whose raw effect (−0.13, 95% CI −1.22 to +4.66) was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8" name="Picture 8"/>
            <wp:cNvGraphicFramePr>
              <a:graphicFrameLocks noChangeAspect="1"/>
            </wp:cNvGraphicFramePr>
            <a:graphic>
              <a:graphicData uri="http://schemas.openxmlformats.org/drawingml/2006/picture">
                <pic:pic>
                  <pic:nvPicPr>
                    <pic:cNvPr id="0" name="fig_trackC.png"/>
                    <pic:cNvPicPr/>
                  </pic:nvPicPr>
                  <pic:blipFill>
                    <a:blip r:embed="rId48"/>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Figure 6.2 shows three concrete examples of what a high-scoring selected molecule from this analysis actually looks like: one top-ranked molecule from the pool of each of three pockets, re-docked with AutoDock Vina and rendered with its principal hydrogen-bond partners labelled. These are illustrative, not a random or representative sample of the 15 pockets' selections, and are included to make the quantitative pattern of Figure 6.1 concrete rather than to support a statistical claim.</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1404992"/>
            <wp:docPr id="9" name="Picture 9"/>
            <wp:cNvGraphicFramePr>
              <a:graphicFrameLocks noChangeAspect="1"/>
            </wp:cNvGraphicFramePr>
            <a:graphic>
              <a:graphicData uri="http://schemas.openxmlformats.org/drawingml/2006/picture">
                <pic:pic>
                  <pic:nvPicPr>
                    <pic:cNvPr id="0" name="composite_binding_poses.png"/>
                    <pic:cNvPicPr/>
                  </pic:nvPicPr>
                  <pic:blipFill>
                    <a:blip r:embed="rId49"/>
                    <a:stretch>
                      <a:fillRect/>
                    </a:stretch>
                  </pic:blipFill>
                  <pic:spPr>
                    <a:xfrm>
                      <a:off x="0" y="0"/>
                      <a:ext cx="5276088" cy="140499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real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sectPr>
          <w:headerReference w:type="default" r:id="rId44"/>
          <w:headerReference w:type="first" r:id="rId45"/>
          <w:footerReference w:type="default" r:id="rId46"/>
          <w:footerReference w:type="first" r:id="rId4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[43],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Real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real RAscore of the finished molecules decreased (Table 7.1 and Figure 7.1A). At λ = 0.03 the own score was 29% higher and the real score 53% lower than in the unguided run. Per molecule, 6 of 8 real scores were lower and none was meaningfully higher at λ = 0.03, whereas at λ = 0.01 six were unchanged, one higher and one lower, so no safe and beneficial window was found. Molecules fragmented at λ ≥ 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04"/>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2341"/>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458"/>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2106"/>
            <w:shd w:val="clear" w:fill="E7E9EE"/>
          </w:tcPr>
          <w:p>
            <w:pPr>
              <w:keepNext w:val="0"/>
              <w:keepLines w:val="0"/>
              <w:widowControl/>
              <w:spacing w:line="240" w:lineRule="auto" w:before="20" w:after="20"/>
              <w:jc w:val="center"/>
            </w:pPr>
            <w:r>
              <w:rPr>
                <w:rFonts w:ascii="Times New Roman" w:hAnsi="Times New Roman" w:eastAsia="Times New Roman"/>
                <w:b/>
                <w:i w:val="0"/>
                <w:sz w:val="20"/>
              </w:rPr>
              <w:t>Real RA-score</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210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real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real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on the same single pocket (BSD_ASPTE) with 30 molecules per value, the full 1,000 steps and a grid from 0 to 30 (Table 7.3). A KS test of the real RAscore, guided against unguided, was applied to each of the five values with enough scoreable molecules, and the five tests were corrected with the Benjamini–Hochberg procedure.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942"/>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570"/>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1021"/>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7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021"/>
            <w:shd w:val="clear" w:fill="E7E9EE"/>
          </w:tcPr>
          <w:p>
            <w:pPr>
              <w:keepNext w:val="0"/>
              <w:keepLines w:val="0"/>
              <w:widowControl/>
              <w:spacing w:line="240" w:lineRule="auto" w:before="20" w:after="20"/>
              <w:jc w:val="center"/>
            </w:pPr>
            <w:r>
              <w:rPr>
                <w:rFonts w:ascii="Times New Roman" w:hAnsi="Times New Roman" w:eastAsia="Times New Roman"/>
                <w:b/>
                <w:i w:val="0"/>
                <w:sz w:val="18"/>
              </w:rPr>
              <w:t>Real RA-score</w:t>
            </w:r>
          </w:p>
        </w:tc>
        <w:tc>
          <w:tcPr>
            <w:tcW w:type="dxa" w:w="2198"/>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real score (95% CI)</w:t>
            </w:r>
          </w:p>
        </w:tc>
        <w:tc>
          <w:tcPr>
            <w:tcW w:type="dxa" w:w="77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19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19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10" name="Picture 10"/>
            <wp:cNvGraphicFramePr>
              <a:graphicFrameLocks noChangeAspect="1"/>
            </wp:cNvGraphicFramePr>
            <a:graphic>
              <a:graphicData uri="http://schemas.openxmlformats.org/drawingml/2006/picture">
                <pic:pic>
                  <pic:nvPicPr>
                    <pic:cNvPr id="0" name="fig_trackD.png"/>
                    <pic:cNvPicPr/>
                  </pic:nvPicPr>
                  <pic:blipFill>
                    <a:blip r:embed="rId54"/>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real RA-score as a function of guidance strength. (B) Leakage-safe predictor with bond-aware features (n = 30, same pocket): shift of the real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real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 real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real RAscore was observed (the only higher mean, +1% at λ = 0.01 in the original design, was within the run-to-run noise); the guidance destroyed the connectivity of the molecules at λ ≥ 0.3; and in the exploratory design, a divergence of the own score and the real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real RAscore in the single pocket that was examined at adequate sample size, destroyed the connectivity of the molecules at strengths of 0.3 or more, and produced, in the exploratory design, a divergence of the predictor's own score from the real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50"/>
          <w:headerReference w:type="first" r:id="rId51"/>
          <w:footerReference w:type="default" r:id="rId52"/>
          <w:footerReference w:type="first" r:id="rId5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[36], [47], [51].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[38],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11" name="Picture 11"/>
            <wp:cNvGraphicFramePr>
              <a:graphicFrameLocks noChangeAspect="1"/>
            </wp:cNvGraphicFramePr>
            <a:graphic>
              <a:graphicData uri="http://schemas.openxmlformats.org/drawingml/2006/picture">
                <pic:pic>
                  <pic:nvPicPr>
                    <pic:cNvPr id="0" name="fig_trackE_design.png"/>
                    <pic:cNvPicPr/>
                  </pic:nvPicPr>
                  <pic:blipFill>
                    <a:blip r:embed="rId59"/>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12" name="Picture 12"/>
            <wp:cNvGraphicFramePr>
              <a:graphicFrameLocks noChangeAspect="1"/>
            </wp:cNvGraphicFramePr>
            <a:graphic>
              <a:graphicData uri="http://schemas.openxmlformats.org/drawingml/2006/picture">
                <pic:pic>
                  <pic:nvPicPr>
                    <pic:cNvPr id="0" name="fig_vina_semantics.png"/>
                    <pic:cNvPicPr/>
                  </pic:nvPicPr>
                  <pic:blipFill>
                    <a:blip r:embed="rId60"/>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13" name="Picture 13"/>
            <wp:cNvGraphicFramePr>
              <a:graphicFrameLocks noChangeAspect="1"/>
            </wp:cNvGraphicFramePr>
            <a:graphic>
              <a:graphicData uri="http://schemas.openxmlformats.org/drawingml/2006/picture">
                <pic:pic>
                  <pic:nvPicPr>
                    <pic:cNvPr id="0" name="fig_plip_jitter.png"/>
                    <pic:cNvPicPr/>
                  </pic:nvPicPr>
                  <pic:blipFill>
                    <a:blip r:embed="rId61"/>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and the correlation of the prediction with the heavy-atom count (M3). The resampling unit was the target (paired cluster bootstrap, 2,000 resamples, seed 20260925), an arm's value being the mean over its seeds inside each resample, with Benjamini–Hochberg correction across the tests of a stage.</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8.4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8.5); no model demonstrated a within-pocket ranking clearly above the raw Vina score (0.248).</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14" name="Picture 14"/>
            <wp:cNvGraphicFramePr>
              <a:graphicFrameLocks noChangeAspect="1"/>
            </wp:cNvGraphicFramePr>
            <a:graphic>
              <a:graphicData uri="http://schemas.openxmlformats.org/drawingml/2006/picture">
                <pic:pic>
                  <pic:nvPicPr>
                    <pic:cNvPr id="0" name="fig_trackE_r2.png"/>
                    <pic:cNvPicPr/>
                  </pic:nvPicPr>
                  <pic:blipFill>
                    <a:blip r:embed="rId62"/>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15" name="Picture 15"/>
            <wp:cNvGraphicFramePr>
              <a:graphicFrameLocks noChangeAspect="1"/>
            </wp:cNvGraphicFramePr>
            <a:graphic>
              <a:graphicData uri="http://schemas.openxmlformats.org/drawingml/2006/picture">
                <pic:pic>
                  <pic:nvPicPr>
                    <pic:cNvPr id="0" name="fig_trackE_within_target.png"/>
                    <pic:cNvPicPr/>
                  </pic:nvPicPr>
                  <pic:blipFill>
                    <a:blip r:embed="rId63"/>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8.6).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(ii) The constant residual already scored R² = 0.193 on the test set (ŷ = pK_Vina plus the mean residual), and E1 (0.117) did not exceed it, so the learnt correction added nothing measurable beyond the Vina anchor.</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16" name="Picture 16"/>
            <wp:cNvGraphicFramePr>
              <a:graphicFrameLocks noChangeAspect="1"/>
            </wp:cNvGraphicFramePr>
            <a:graphic>
              <a:graphicData uri="http://schemas.openxmlformats.org/drawingml/2006/picture">
                <pic:pic>
                  <pic:nvPicPr>
                    <pic:cNvPr id="0" name="fig_trackE_learnability.png"/>
                    <pic:cNvPicPr/>
                  </pic:nvPicPr>
                  <pic:blipFill>
                    <a:blip r:embed="rId64"/>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[47], [51],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[57]), as co-generated diffusion outputs (BInD [28]), and as an auxiliary classification loss inside the generator's own denoiser (InterDiff [49]).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55"/>
          <w:headerReference w:type="first" r:id="rId56"/>
          <w:footerReference w:type="default" r:id="rId57"/>
          <w:footerReference w:type="first" r:id="rId5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Every route either failed its pre-declared correction (Tracks A, B and D; the baseline ablation) or produced an apparent gain that a size- or validity-normalised re-analysis invalidated (Track C) or a result significantly worse than a simple baseline (Track 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44"/>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effect on real Vina Dock at any tested strength (20 pockets; 8 pockets, 3 strengths); fragmentation at large λ</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real score in the exploratory design, not confirmed statistically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signal was traced to a molecular-size artefact.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17" name="Picture 17"/>
            <wp:cNvGraphicFramePr>
              <a:graphicFrameLocks noChangeAspect="1"/>
            </wp:cNvGraphicFramePr>
            <a:graphic>
              <a:graphicData uri="http://schemas.openxmlformats.org/drawingml/2006/picture">
                <pic:pic>
                  <pic:nvPicPr>
                    <pic:cNvPr id="0" name="fig_overview_significance.png"/>
                    <pic:cNvPicPr/>
                  </pic:nvPicPr>
                  <pic:blipFill>
                    <a:blip r:embed="rId69"/>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The one large fraction (Track C) is the ranker result that Chapter VI shows to be confounded by ligand size, not a genuine affinity signal.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Predictor quality is not guidance usefulness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conceptual point runs through every route of this thesis and is stated here explicitly because it is easy to miss when each result is read on its own: a predictor that is accurate on a held-out test set does not thereby imply that its gradient, or its score, is useful for steering a generator. The two quantities were measured separately throughout, and they dissociate. The clearest demonstration is post-synthesis: of the eight further checkpoints of Appendix E, the one with the best predictive quality of any variant tried (ESM2-augmented EGNN, Pearson 0.731, Appendix E.2.3) and the one trained with the entire target protein family held out of training (R² = 0.507 on that unseen family, Appendix E.3.2) both still show a null real-docking effect under the same correction as every other checkpoint. Within the main thesis, the same dissociation is visible in the other direction: the two-feature linear baseline and the repaired EGNN were statistically indistinguishable on the LP test set (Chapter IV), yet neither produced a detectable gradient effect, and the ranker of Chapter VI produced its one large, statistically decisive effect precisely because its moderately accurate predictor's score was dominated by a ligand-side property (size) that a generator can trivially exploit, which is a case of a predictor being </w:t>
      </w:r>
      <w:r>
        <w:rPr>
          <w:rFonts w:ascii="Times New Roman" w:hAnsi="Times New Roman" w:eastAsia="Times New Roman"/>
          <w:b w:val="0"/>
          <w:i/>
          <w:sz w:val="24"/>
        </w:rPr>
        <w:t>too</w:t>
      </w:r>
      <w:r>
        <w:rPr>
          <w:rFonts w:ascii="Times New Roman" w:hAnsi="Times New Roman" w:eastAsia="Times New Roman"/>
          <w:b w:val="0"/>
          <w:i w:val="0"/>
          <w:sz w:val="24"/>
        </w:rPr>
        <w:t xml:space="preserve"> usable for the wrong reason. Accuracy on the held-out prediction task and usefulness as a steering signal are different properties, tested by different protocols (Section III.6.1 and III.6.3), and this thesis finds them uncorrelated across every architecture, training recipe and representation tried.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(ii) Selection by the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(iv) The delta target is not learnt better than a constant by the model used.</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ranker route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is, however, indirect: the two failures have different measured signatures, and the earlier project summaries that stated that the size confound was the root cause of both were not supported by the data. The gradient is not correlated with heaviness in the direction that a size shortcut would predict (Section V.4); the ranker's selection is dominated by size (Chapter VI).</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[22].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val="0"/>
        <w:keepLines w:val="0"/>
        <w:widowControl/>
        <w:spacing w:line="480" w:lineRule="auto" w:before="0" w:after="0"/>
        <w:ind w:firstLine="720"/>
        <w:jc w:val="both"/>
      </w:pPr>
      <w:r>
        <w:rPr>
          <w:rFonts w:ascii="Times New Roman" w:hAnsi="Times New Roman" w:eastAsia="Times New Roman"/>
          <w:b w:val="0"/>
          <w:i w:val="0"/>
          <w:sz w:val="24"/>
        </w:rPr>
        <w:t>Hypotheses (a) and (c) were, in fact, tested directly in a follow-up investigation of 18 further independently-trained checkpoints, run after this synthesis and reported in full in Appendix E: a noise-matched training curriculum (testing (a)) and a direct, step-by-step trace of the guidance nudge through the reverse-diffusion trajectory of one molecule (testing (c)). Neither rescues a real guidance effect, and the trace gives a specific mechanistic account of why: the nudge is small enough, for most of the trajectory, to be statistically buried in the sampler's own intrinsic step noise, and only compounds to a sub-Ångström, late-trajectory effect too small to move the docking outcome in a corrected, reproducible way (Section E.5). Hypothesis (b), by contrast, was addressed only partially: a Vina-derived training target was tried (Appendix E.2.1) and also did not change the outcome, though a predictor of the Vina energy architecture itself, rather than just its label, remains untested.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IX.2.4</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18" name="Picture 18"/>
            <wp:cNvGraphicFramePr>
              <a:graphicFrameLocks noChangeAspect="1"/>
            </wp:cNvGraphicFramePr>
            <a:graphic>
              <a:graphicData uri="http://schemas.openxmlformats.org/drawingml/2006/picture">
                <pic:pic>
                  <pic:nvPicPr>
                    <pic:cNvPr id="0" name="fig_power_curve.png"/>
                    <pic:cNvPicPr/>
                  </pic:nvPicPr>
                  <pic:blipFill>
                    <a:blip r:embed="rId70"/>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19" name="Picture 19"/>
            <wp:cNvGraphicFramePr>
              <a:graphicFrameLocks noChangeAspect="1"/>
            </wp:cNvGraphicFramePr>
            <a:graphic>
              <a:graphicData uri="http://schemas.openxmlformats.org/drawingml/2006/picture">
                <pic:pic>
                  <pic:nvPicPr>
                    <pic:cNvPr id="0" name="fig_scale_by_track.png"/>
                    <pic:cNvPicPr/>
                  </pic:nvPicPr>
                  <pic:blipFill>
                    <a:blip r:embed="rId71"/>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[50];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[50]; Chapter VI shows the mechanism in an isolated setting, a ranker whose selection is dominated by size, although the observation of that study concerned evaluation and not gradient guidance. Second, learned affinity predictors are sensitive to leakage and to ligand-only shortcuts [19], [30], [46]; the size correlation of 0.64 to 0.72 of the predictors and the match between a ligand-only baseline and the network on the old split are instances. Third, the mismatch between clean training inputs and noisy intermediate inputs has been reported to degrade guidance-like priors [22].</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[28], [49], [57],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four checks that can be made cheaply before a costly sampling study: (i) evaluate the predictor with a target-disjoint split and target-clustered intervals; (ii) test its output against ligand size and against ligand-only baselines; (iii) measure the direction of its gradient against pocket-contact proximity on captured mid-trajectory states, a diagnostic that took about 20 minutes in this work; and (iv) evaluate any docking gain after normalising by size and with a validity check, since both the raw gain and the loss of validity were visible in the same data.</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w:t>
      </w:r>
    </w:p>
    <w:p>
      <w:pPr>
        <w:sectPr>
          <w:headerReference w:type="default" r:id="rId65"/>
          <w:headerReference w:type="first" r:id="rId66"/>
          <w:footerReference w:type="default" r:id="rId67"/>
          <w:footerReference w:type="first" r:id="rId6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real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real RAscore, with corrected statistics,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of what follows should be stated before the individual conclusions are: this thesis does not establish that learned guidance fails in general. It establishes that the tested configurations did not produce defensible improvements under the specified generator, data regime, guidance mechanism, predictors, evaluation proxies and computational budget. A different generator, a noise-aware predictor, a gradient that is propagated through the denoiser, or a larger compute budget are all outside what was tested, and Appendix E reports which of these untested directions were in fact pursued afterward and what they changed (none of the eight further checkpoints altered the conclusion below, which is additional evidence for it, not a revision of it). The following conclusions are drawn.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failures were not attributable to low predictor accuracy: the predictors reached Pearson correlations of 0.58 to 0.65 on leakage-safe test sets.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were artefacts.</w:t>
      </w:r>
      <w:r>
        <w:rPr>
          <w:rFonts w:ascii="Times New Roman" w:hAnsi="Times New Roman" w:eastAsia="Times New Roman"/>
          <w:b w:val="0"/>
          <w:i w:val="0"/>
          <w:sz w:val="24"/>
        </w:rPr>
        <w:t xml:space="preserve"> The only large and consistent effect,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Two measured properties of the predictors and their gradients were consistent with the failures.</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the strongest pull acted on atoms least likely to form binding contacts. The synthesizability gradient was not explained by three simple proxies. These are correlational findings, and their explanatory role is a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ligand-only baseline (R² 0.20) that was not tested pairwise with target-level resampling.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(iii)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(iv)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Absence of a detected effect is not evidence that no effect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sectPr>
          <w:headerReference w:type="default" r:id="rId72"/>
          <w:headerReference w:type="first" r:id="rId73"/>
          <w:footerReference w:type="default" r:id="rId74"/>
          <w:footerReference w:type="first" r:id="rId7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J. Jumper et al., “Highly accurate protein structure prediction with AlphaFold,” </w:t>
      </w:r>
      <w:r>
        <w:rPr>
          <w:rFonts w:ascii="Times New Roman" w:hAnsi="Times New Roman" w:eastAsia="Times New Roman"/>
          <w:b w:val="0"/>
          <w:i/>
          <w:sz w:val="24"/>
        </w:rPr>
        <w:t>Nature</w:t>
      </w:r>
      <w:r>
        <w:rPr>
          <w:rFonts w:ascii="Times New Roman" w:hAnsi="Times New Roman" w:eastAsia="Times New Roman"/>
          <w:b w:val="0"/>
          <w:i w:val="0"/>
          <w:sz w:val="24"/>
        </w:rPr>
        <w:t>, vol. 596, no. 7873, pp. 583–589, 2021, doi: 10.1038/s41586-021-03819-2.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Z. Lin et al., “Evolutionary-scale prediction of atomic-level protein structure with a language model,” </w:t>
      </w:r>
      <w:r>
        <w:rPr>
          <w:rFonts w:ascii="Times New Roman" w:hAnsi="Times New Roman" w:eastAsia="Times New Roman"/>
          <w:b w:val="0"/>
          <w:i/>
          <w:sz w:val="24"/>
        </w:rPr>
        <w:t>Science</w:t>
      </w:r>
      <w:r>
        <w:rPr>
          <w:rFonts w:ascii="Times New Roman" w:hAnsi="Times New Roman" w:eastAsia="Times New Roman"/>
          <w:b w:val="0"/>
          <w:i w:val="0"/>
          <w:sz w:val="24"/>
        </w:rPr>
        <w:t>, vol. 379, no. 6637, pp. 1123–1130, 2023, doi: 10.1126/science.ade2574.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J. Mistry et al., “Pfam: The protein families database in 2021,” </w:t>
      </w:r>
      <w:r>
        <w:rPr>
          <w:rFonts w:ascii="Times New Roman" w:hAnsi="Times New Roman" w:eastAsia="Times New Roman"/>
          <w:b w:val="0"/>
          <w:i/>
          <w:sz w:val="24"/>
        </w:rPr>
        <w:t>Nucleic Acids Res.</w:t>
      </w:r>
      <w:r>
        <w:rPr>
          <w:rFonts w:ascii="Times New Roman" w:hAnsi="Times New Roman" w:eastAsia="Times New Roman"/>
          <w:b w:val="0"/>
          <w:i w:val="0"/>
          <w:sz w:val="24"/>
        </w:rPr>
        <w:t>, vol. 49, no. D1, pp. D412–D419, 2021, doi: 10.1093/nar/gkaa913.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M. Varadi et al., “AlphaFold Protein Structure Database: massively expanding the structural coverage of protein-sequence space with high-accuracy models,” </w:t>
      </w:r>
      <w:r>
        <w:rPr>
          <w:rFonts w:ascii="Times New Roman" w:hAnsi="Times New Roman" w:eastAsia="Times New Roman"/>
          <w:b w:val="0"/>
          <w:i/>
          <w:sz w:val="24"/>
        </w:rPr>
        <w:t>Nucleic Acids Res.</w:t>
      </w:r>
      <w:r>
        <w:rPr>
          <w:rFonts w:ascii="Times New Roman" w:hAnsi="Times New Roman" w:eastAsia="Times New Roman"/>
          <w:b w:val="0"/>
          <w:i w:val="0"/>
          <w:sz w:val="24"/>
        </w:rPr>
        <w:t>, vol. 50, no. D1, pp. D439–D444, 2022, doi: 10.1093/nar/gkab1061.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[53]</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[54]</w:t>
        <w:tab/>
        <w:t xml:space="preserve">B. Zdrazil et al., “The ChEMBL database in 2023: a drug discovery platform spanning multiple bioactivity data types and time periods,” </w:t>
      </w:r>
      <w:r>
        <w:rPr>
          <w:rFonts w:ascii="Times New Roman" w:hAnsi="Times New Roman" w:eastAsia="Times New Roman"/>
          <w:b w:val="0"/>
          <w:i/>
          <w:sz w:val="24"/>
        </w:rPr>
        <w:t>Nucleic Acids Res.</w:t>
      </w:r>
      <w:r>
        <w:rPr>
          <w:rFonts w:ascii="Times New Roman" w:hAnsi="Times New Roman" w:eastAsia="Times New Roman"/>
          <w:b w:val="0"/>
          <w:i w:val="0"/>
          <w:sz w:val="24"/>
        </w:rPr>
        <w:t>, vol. 52, no. D1, pp. D1180–D1192, 2024, doi: 10.1093/nar/gkad1004.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[55]</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[56]</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[57]</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76"/>
          <w:headerReference w:type="first" r:id="rId77"/>
          <w:footerReference w:type="default" r:id="rId78"/>
          <w:footerReference w:type="first" r:id="rId79"/>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(4,096 MiB), a 20-thread CPU and 31 GB of RAM, under Linux. The guidance experiments were run in a separate conda environment (`drugdisc`, Python 3.10.21) that used PyTorch 2.5.1 (CUDA 12.1), PyTorch Geometric 2.8.0, RDKit 2026.03.5, NumPy 2.2.6, SciPy 1.15.3, scikit-learn 1.7.2, pandas 2.3.3, LMDB 2.3.0, PoseBusters 0.6.5, Meeko and AutoDock Vina 1.2.6 (the installed distribution is 1.2.6, although the module attribute of the Python package reports 1.2.5). This environment has no tracked specification file in the repository and is disclosed here as the closest available record of it; the `environment.yaml` file that is tracked documents the original TargetDiff repository's own setup (Python 3.8, PyTorch 1.13.1), which was superseded for the reasons above and does not reproduce the environment the guidance code actually ran in.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A.1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80"/>
          <w:headerReference w:type="first" r:id="rId81"/>
          <w:footerReference w:type="default" r:id="rId82"/>
          <w:footerReference w:type="first" r:id="rId8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84"/>
          <w:headerReference w:type="first" r:id="rId85"/>
          <w:footerReference w:type="default" r:id="rId86"/>
          <w:footerReference w:type="first" r:id="rId8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real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88"/>
          <w:headerReference w:type="first" r:id="rId89"/>
          <w:footerReference w:type="default" r:id="rId90"/>
          <w:footerReference w:type="first" r:id="rId9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92"/>
          <w:headerReference w:type="first" r:id="rId93"/>
          <w:footerReference w:type="default" r:id="rId94"/>
          <w:footerReference w:type="first" r:id="rId9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E</w:t>
      </w:r>
    </w:p>
    <w:p>
      <w:pPr>
        <w:keepNext w:val="0"/>
        <w:keepLines w:val="0"/>
        <w:widowControl/>
        <w:spacing w:line="240" w:lineRule="auto" w:before="0" w:after="480"/>
        <w:jc w:val="center"/>
      </w:pPr>
      <w:r>
        <w:rPr>
          <w:rFonts w:ascii="Times New Roman" w:hAnsi="Times New Roman" w:eastAsia="Times New Roman"/>
          <w:b/>
          <w:i w:val="0"/>
          <w:sz w:val="24"/>
        </w:rPr>
        <w:t>POST-SYNTHESIS FOLLOW-UP: TESTING THE DIAGNOSED MECHANISM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appendix is, in the terms of Section III.1.1, an </w:t>
      </w:r>
      <w:r>
        <w:rPr>
          <w:rFonts w:ascii="Times New Roman" w:hAnsi="Times New Roman" w:eastAsia="Times New Roman"/>
          <w:b w:val="0"/>
          <w:i/>
          <w:sz w:val="24"/>
        </w:rPr>
        <w:t>Appendix E follow-up</w:t>
      </w:r>
      <w:r>
        <w:rPr>
          <w:rFonts w:ascii="Times New Roman" w:hAnsi="Times New Roman" w:eastAsia="Times New Roman"/>
          <w:b w:val="0"/>
          <w:i w:val="0"/>
          <w:sz w:val="24"/>
        </w:rPr>
        <w:t>: every analysis below was conducted after Chapter IX's synthesis had already been written and frozen, and none of it was pre-registered. It is not part of the decision sequence of Tracks A to E (Chapters IV to VIII), it was not subject to the standing two-independent-routes rule or to any frozen stopping rule, and no verdict here revises a verdict already reached in Chapters IV to X. It follows this project's general exploratory-then-confirmatory working discipline (Section III.6.1) and the same corrected-statistics standard as the rest of the thesis, but its status is additional evidence for the main synthesis, not a continuation of the main synthesis's own pre-declared design.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E.1</w:t>
        <w:tab/>
      </w:r>
      <w:r>
        <w:rPr>
          <w:rFonts w:ascii="Times New Roman" w:hAnsi="Times New Roman" w:eastAsia="Times New Roman"/>
          <w:b/>
          <w:i w:val="0"/>
          <w:sz w:val="24"/>
        </w:rPr>
        <w:t>Scope and Relation to the Main Synthesis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"Grading the explanations" (Section IX.3.2) listed four hypotheses that were consistent with the measured evidence but not tested: (a) that the mismatch between clean training poses and noisy intermediate diffusion states makes the gradient unreliable; (b) that the evaluation target (Vina) and the training target (experimental affinity) ask different questions; (c) that position-only guidance, with the atom-type gradient set to zero and no gradient path through the denoiser, is too weak or too blunt an intervention; and (d) that a smooth 3D gradient is a poor way to steer a fingerprint-based synthesizability target. After that synthesis was written, 8 further checkpoints were independently trained and tested to address hypotheses (a) and (c) directly, together with two closely related questions raised by the main result: whether the null pattern survives independent, chemistry-level validation (not just a docking score) and the hardest train/test separation this project can construct, and what happens, mechanistically, to a single molecule's atoms when the gradient is actually applied step by step. This appendix reports that work in full. It changes none of Chapter IX's conclusions; it deepens the evidence for them and resolves, where possible, which of the untested hypotheses the new evidence favours.</w:t>
      </w:r>
    </w:p>
    <w:p>
      <w:pPr>
        <w:keepNext w:val="0"/>
        <w:keepLines w:val="0"/>
        <w:widowControl/>
        <w:spacing w:line="480" w:lineRule="auto" w:before="0" w:after="0"/>
        <w:ind w:firstLine="720"/>
        <w:jc w:val="both"/>
      </w:pPr>
      <w:r>
        <w:rPr>
          <w:rFonts w:ascii="Times New Roman" w:hAnsi="Times New Roman" w:eastAsia="Times New Roman"/>
          <w:b w:val="0"/>
          <w:i w:val="0"/>
          <w:sz w:val="24"/>
        </w:rPr>
        <w:t>The 8 checkpoints are organised in three phases, following the order in which they were run. Phase 1 (E.2) varies the predictor's training recipe and representation directly, taking the diagnostic in Section V.4 as a training target or adding a genuinely new information source. Phase 2 (E.3) tests the resulting null pattern under independent, non-docking validation and under the strictest generalisation split available. Phase 3 (E.4) sharpens one of Phase 1's representations and independently cross-checks the project's affinity labels. Section E.5 reports the mechanistic trace that answers hypothesis (c) directly, at the level of one molecule's atoms, step by step. Section E.6 pools every real-docking comparison of this appendix with the pool of Chapter IX into a single correction. All checkpoints were trained on the same leakage-safe split as Chapter IV (Section III.3), and every real-docking test reuses the KS-test and Wilcoxon-signed-rank protocols of Section III.6.1 unless stated otherwise.</w:t>
      </w:r>
    </w:p>
    <w:p>
      <w:pPr>
        <w:keepNext w:val="0"/>
        <w:keepLines w:val="0"/>
        <w:widowControl/>
        <w:spacing w:line="480" w:lineRule="auto" w:before="0" w:after="0"/>
        <w:ind w:firstLine="720"/>
        <w:jc w:val="both"/>
      </w:pPr>
      <w:r>
        <w:rPr>
          <w:rFonts w:ascii="Times New Roman" w:hAnsi="Times New Roman" w:eastAsia="Times New Roman"/>
          <w:b w:val="0"/>
          <w:i w:val="0"/>
          <w:sz w:val="24"/>
        </w:rPr>
        <w:t>Figure E.1 gives an overview before the detailed sections below: the fraction of comparisons pointing in the beneficial direction (by median, not significance), for every one of the thesis's original five tracks and every post-thesis follow-up branch, on one axis. It previews a pattern this appendix establishes in detail: several follow-up branches reach a higher directional consistency than any original thesis track except the Track C ranker, and the Track C ranker's own 93% is the one case already shown (Chapter VI) to be a measurement artefact of molecular size rather than a real effect, not a benchmark the other routes are falling short of.</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973886"/>
            <wp:docPr id="20" name="Picture 20"/>
            <wp:cNvGraphicFramePr>
              <a:graphicFrameLocks noChangeAspect="1"/>
            </wp:cNvGraphicFramePr>
            <a:graphic>
              <a:graphicData uri="http://schemas.openxmlformats.org/drawingml/2006/picture">
                <pic:pic>
                  <pic:nvPicPr>
                    <pic:cNvPr id="0" name="meta_summary_all_routes.png"/>
                    <pic:cNvPicPr/>
                  </pic:nvPicPr>
                  <pic:blipFill>
                    <a:blip r:embed="rId100"/>
                    <a:stretch>
                      <a:fillRect/>
                    </a:stretch>
                  </pic:blipFill>
                  <pic:spPr>
                    <a:xfrm>
                      <a:off x="0" y="0"/>
                      <a:ext cx="5276088" cy="39738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E.2</w:t>
        <w:tab/>
      </w:r>
      <w:r>
        <w:rPr>
          <w:rFonts w:ascii="Times New Roman" w:hAnsi="Times New Roman" w:eastAsia="Times New Roman"/>
          <w:b/>
          <w:i w:val="0"/>
          <w:sz w:val="24"/>
        </w:rPr>
        <w:t>Phase 1: Deepening the Pattern on the Predictor Itself</w:t>
      </w:r>
    </w:p>
    <w:p>
      <w:pPr>
        <w:keepNext w:val="0"/>
        <w:keepLines w:val="0"/>
        <w:widowControl/>
        <w:spacing w:line="480" w:lineRule="auto" w:before="0" w:after="0"/>
        <w:ind w:firstLine="720"/>
        <w:jc w:val="both"/>
      </w:pPr>
      <w:r>
        <w:rPr>
          <w:rFonts w:ascii="Times New Roman" w:hAnsi="Times New Roman" w:eastAsia="Times New Roman"/>
          <w:b w:val="0"/>
          <w:i w:val="0"/>
          <w:sz w:val="24"/>
        </w:rPr>
        <w:t>Table E.1 reports the test-set predictive quality of every checkpoint trained in this appendix, read directly from each checkpoint's own training log; it is referenced throughout Sections E.2 to E.4 and is reported once here rather than repeated in each subsection.</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E.1</w:t>
        <w:tab/>
        <w:t>Test-set predictive quality (leakage-safe split, Section III.3) of every checkpoint trained in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5211"/>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127"/>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0.333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0.599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0.400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0.652</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0.345</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0.626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0.615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0.460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0.731</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0.748</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0.413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0.664</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0.686</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0.507</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0.713</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0.755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0.280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0.686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0.723</w:t>
            </w:r>
          </w:p>
        </w:tc>
      </w:tr>
    </w:tbl>
    <w:p>
      <w:pPr>
        <w:keepNext w:val="0"/>
        <w:keepLines w:val="0"/>
        <w:widowControl/>
        <w:spacing w:line="240" w:lineRule="auto" w:before="80" w:after="0"/>
        <w:jc w:val="both"/>
      </w:pPr>
      <w:r>
        <w:rPr>
          <w:rFonts w:ascii="Times New Roman" w:hAnsi="Times New Roman" w:eastAsia="Times New Roman"/>
          <w:b w:val="0"/>
          <w:i w:val="0"/>
          <w:sz w:val="20"/>
        </w:rPr>
        <w:t>Spearman correlation was added to the training log only from the gradient-alignment checkpoint onward; "–" marks checkpoints trained before that change, not a missing or zero value.</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E.2.1</w:t>
        <w:tab/>
      </w:r>
      <w:r>
        <w:rPr>
          <w:rFonts w:ascii="Times New Roman" w:hAnsi="Times New Roman" w:eastAsia="Times New Roman"/>
          <w:b w:val="0"/>
          <w:i/>
          <w:sz w:val="24"/>
        </w:rPr>
        <w:t>Noise-matched and Vina-derived training recipes</w:t>
      </w:r>
    </w:p>
    <w:p>
      <w:pPr>
        <w:keepNext w:val="0"/>
        <w:keepLines w:val="0"/>
        <w:widowControl/>
        <w:spacing w:line="480" w:lineRule="auto" w:before="0" w:after="0"/>
        <w:ind w:firstLine="720"/>
        <w:jc w:val="both"/>
      </w:pPr>
      <w:r>
        <w:rPr>
          <w:rFonts w:ascii="Times New Roman" w:hAnsi="Times New Roman" w:eastAsia="Times New Roman"/>
          <w:b w:val="0"/>
          <w:i w:val="0"/>
          <w:sz w:val="24"/>
        </w:rPr>
        <w:t>Hypothesis (a) was tested directly: a noise-matched curriculum trains the Stage 0 EGNN predictor on ligand positions corrupted by the same forward-diffusion schedule it will see at inference (t ~ Uniform(0, 500)) instead of on clean docked poses only. A second, independent change (the "Vina-target" recipe) replaces the heterogeneous experimental pK label with a Vina-derived anchor, so the predictor's training target matches the evaluation metric, testing hypothesis (b) at the same time. Both recipes were trained on the EGNN backbone and, together, on the physics-anchored GIGN+PIGNet2 backbone of Track A (Section V.2), to ask whether a null pattern specific to the original training recipe might behave differently under a recipe suggested by the diagnosed mechanism itself.</w:t>
      </w:r>
    </w:p>
    <w:p>
      <w:pPr>
        <w:keepNext w:val="0"/>
        <w:keepLines w:val="0"/>
        <w:widowControl/>
        <w:spacing w:line="480" w:lineRule="auto" w:before="0" w:after="0"/>
        <w:ind w:firstLine="720"/>
        <w:jc w:val="both"/>
      </w:pPr>
      <w:r>
        <w:rPr>
          <w:rFonts w:ascii="Times New Roman" w:hAnsi="Times New Roman" w:eastAsia="Times New Roman"/>
          <w:b w:val="0"/>
          <w:i w:val="0"/>
          <w:sz w:val="24"/>
        </w:rPr>
        <w:t>Neither recipe changed the outcome. On the EGNN backbone, a paired Wilcoxon signed-rank test against the unguided baseline (n = 8 molecules per condition, three non-zero λ each) gave no p-value below 0.10 for either recipe (noise-matched: p = 0.156 / 0.250 / 0.312 at λ = 0.1 / 1.0 / 10.0; Vina-target: p = 0.312 / 0.102 / 0.945), with mean shifts no larger than 0.14 kcal/mol in either direction. On GIGN+PIGNet2, both recipes applied together and tested like-for-like against the original Track A protocol (8 pockets, n = 30 molecules per condition, real Vina Dock and PoseBusters) gave 0/16 comparisons significant after Benjamini–Hochberg correction [4] (minimum raw p = 0.031, minimum corrected p = 0.489), a result reported in full in Table E.7. The one notable surface change was the correct-direction rate: 14 of 16 comparisons (87.5%) pointed the expected way, the highest rate of any checkpoint in this investigation, including the original Track A checkpoint's 67%. PoseBusters validity degraded in 9 of 16 conditions (56%), concentrated at the higher of the two tested strengths. The directional improvement did not translate into a single significant, corrected effect; this is the pattern that recurs through the rest of this appendix.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E.2.2</w:t>
        <w:tab/>
      </w:r>
      <w:r>
        <w:rPr>
          <w:rFonts w:ascii="Times New Roman" w:hAnsi="Times New Roman" w:eastAsia="Times New Roman"/>
          <w:b w:val="0"/>
          <w:i/>
          <w:sz w:val="24"/>
        </w:rPr>
        <w:t>Gradient-alignment: optimising the diagnosed correlation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clearest test of whether the Section V.4 diagnostic identifies a cause, rather than a correlate, is to optimise it directly and see whether a real guidance effect follows. The gradient-alignment checkpoint (`guidance/lp_split/train_egnn_stage0_gradalign.py`) adds an auxiliary training loss that directly minimises the gradient-magnitude-to-pocket-distance correlation during training, rather than changing it as a side effect of some other intervention. It reaches by far the strongest, correctly signed value of this diagnostic of any checkpoint in this investigation: −0.784 (95% CI [−0.799, −0.770]), against the original checkpoint's +0.240. Table E.2 places this against every other checkpoint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E.2</w:t>
        <w:tab/>
        <w:t>DIAG1 diagnostic (Section V.4 protocol) across every checkpoint of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62"/>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1800"/>
            <w:shd w:val="clear" w:fill="E7E9EE"/>
          </w:tcPr>
          <w:p>
            <w:pPr>
              <w:keepNext w:val="0"/>
              <w:keepLines w:val="0"/>
              <w:widowControl/>
              <w:spacing w:line="240" w:lineRule="auto" w:before="20" w:after="20"/>
              <w:jc w:val="center"/>
            </w:pPr>
            <w:r>
              <w:rPr>
                <w:rFonts w:ascii="Times New Roman" w:hAnsi="Times New Roman" w:eastAsia="Times New Roman"/>
                <w:b/>
                <w:i w:val="0"/>
                <w:sz w:val="20"/>
              </w:rPr>
              <w:t>Size/heaviness correlation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Distance-to-pocket correlation</w:t>
            </w:r>
          </w:p>
        </w:tc>
        <w:tc>
          <w:tcPr>
            <w:tcW w:type="dxa" w:w="186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Correct sign, CI excludes 0</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+0.240 [0.194, 0.285]</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+0.062</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−0.084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+0.047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−0.016</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−0.072 [−0.106, −0.040]</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+0.331</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−0.784 [−0.799, −0.770]</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Yes (by construction)</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+0.354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−0.757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1800"/>
          </w:tcPr>
          <w:p>
            <w:pPr>
              <w:keepNext w:val="0"/>
              <w:keepLines w:val="0"/>
              <w:widowControl/>
              <w:spacing w:line="240" w:lineRule="auto" w:before="20" w:after="20"/>
              <w:jc w:val="left"/>
            </w:pPr>
            <w:r>
              <w:rPr>
                <w:rFonts w:ascii="Times New Roman" w:hAnsi="Times New Roman" w:eastAsia="Times New Roman"/>
                <w:b w:val="0"/>
                <w:i w:val="0"/>
                <w:sz w:val="20"/>
              </w:rPr>
              <w:t>+0.056 [0.005, 0.104]</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−0.086 [−0.136, −0.037]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−0.061 [sig.]</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−0.026 [−0.069, 0.017]</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No (CI includes 0)</w:t>
            </w:r>
          </w:p>
        </w:tc>
      </w:tr>
    </w:tbl>
    <w:p>
      <w:pPr>
        <w:keepNext w:val="0"/>
        <w:keepLines w:val="0"/>
        <w:widowControl/>
        <w:spacing w:line="240" w:lineRule="auto" w:before="80" w:after="0"/>
        <w:jc w:val="both"/>
      </w:pPr>
      <w:r>
        <w:rPr>
          <w:rFonts w:ascii="Times New Roman" w:hAnsi="Times New Roman" w:eastAsia="Times New Roman"/>
          <w:b w:val="0"/>
          <w:i w:val="0"/>
          <w:sz w:val="20"/>
        </w:rPr>
        <w:t>Size/heaviness correlation is the diagnostic of Section V.4 applied to atom heaviness rather than distance; a value with no bracketed interval was not bootstrapped for that checkpoint. "Correct sign" means the distance correlation is negative (gradient magnitude decreasing with distance to the pocket) with a 95% bootstrap CI that excludes zero.</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This is also the checkpoint with the worst size/heaviness correlation of any variant tried (+0.331), a trade-off the training loss never targeted: fixing the diagnosed distance correlation most strongly of anything attempted made a different, related symptom worse, with nothing in the objective holding it in place. On real docking (prelambda check, n = 8, the standard seven-point λ grid, the fixed pocket SQHC_ALIAD_1_631_0 / PDB 1h36 used throughout this appendix unless noted), every mean shift pointed the wrong way (worse, not better) at every λ tested, none significant (Wilcoxon p ≥ 0.078), with structural validity the best-preserved of any checkpoint in this appendix (single-fragment rate still 0.88 at λ = 30, where most other checkpoints have already collapsed). Unlike every other exploratory tier in this investigation, which typically shows some encouraging direction before weakening on confirmation, gradient-alignment showed nothing encouraging to confirm in the first place. If directly optimising the diagnosed mechanism were sufficient to produce a real guidance effect, this is the checkpoint most likely to show it; instead it produced the flattest real-docking result of the entire investigation.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E.2.3</w:t>
        <w:tab/>
      </w:r>
      <w:r>
        <w:rPr>
          <w:rFonts w:ascii="Times New Roman" w:hAnsi="Times New Roman" w:eastAsia="Times New Roman"/>
          <w:b w:val="0"/>
          <w:i/>
          <w:sz w:val="24"/>
        </w:rPr>
        <w:t>A global protein-language-model feature (ESM2)</w:t>
      </w:r>
    </w:p>
    <w:p>
      <w:pPr>
        <w:keepNext w:val="0"/>
        <w:keepLines w:val="0"/>
        <w:widowControl/>
        <w:spacing w:line="480" w:lineRule="auto" w:before="0" w:after="0"/>
        <w:ind w:firstLine="720"/>
        <w:jc w:val="both"/>
      </w:pPr>
      <w:r>
        <w:rPr>
          <w:rFonts w:ascii="Times New Roman" w:hAnsi="Times New Roman" w:eastAsia="Times New Roman"/>
          <w:b w:val="0"/>
          <w:i w:val="0"/>
          <w:sz w:val="24"/>
        </w:rPr>
        <w:t>A different kind of intervention — adding a new information source rather than changing the training curriculum, label or loss — concatenates a mean-pooled ESM2 embedding of the target protein's full sequence (model esm2_t12_35M_UR50D, 480 dimensions, projected to 32 before concatenation with the pooled graph representation) [31] to the Stage 0 EGNN, trained on the Vina-target recipe. This produced the best predictive quality and the best diagnostic of any variant that was not told, by construction, to optimise that diagnostic (Table E.1, Table E.2): test R² = 0.460, Pearson = 0.731, Spearman = 0.748, and a distance correlation of −0.072 (95% CI [−0.106, −0.040]) that reaches the correct sign with a CI excluding zero, the only checkpoint besides gradient-alignment itself to do so.</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945360"/>
            <wp:docPr id="21" name="Picture 21"/>
            <wp:cNvGraphicFramePr>
              <a:graphicFrameLocks noChangeAspect="1"/>
            </wp:cNvGraphicFramePr>
            <a:graphic>
              <a:graphicData uri="http://schemas.openxmlformats.org/drawingml/2006/picture">
                <pic:pic>
                  <pic:nvPicPr>
                    <pic:cNvPr id="0" name="fig1_predictive_quality.png"/>
                    <pic:cNvPicPr/>
                  </pic:nvPicPr>
                  <pic:blipFill>
                    <a:blip r:embed="rId101"/>
                    <a:stretch>
                      <a:fillRect/>
                    </a:stretch>
                  </pic:blipFill>
                  <pic:spPr>
                    <a:xfrm>
                      <a:off x="0" y="0"/>
                      <a:ext cx="5120640" cy="294536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r>
    </w:p>
    <w:p>
      <w:pPr>
        <w:keepNext w:val="0"/>
        <w:keepLines w:val="0"/>
        <w:widowControl/>
        <w:spacing w:line="480" w:lineRule="auto" w:before="0" w:after="0"/>
        <w:ind w:firstLine="720"/>
        <w:jc w:val="both"/>
      </w:pPr>
      <w:r>
        <w:rPr>
          <w:rFonts w:ascii="Times New Roman" w:hAnsi="Times New Roman" w:eastAsia="Times New Roman"/>
          <w:b w:val="0"/>
          <w:i w:val="0"/>
          <w:sz w:val="24"/>
        </w:rPr>
        <w:t>The real-docking test is the closest this investigation comes to a positive result, and it does not survive its own confirmatory tier. An exploratory check (n = 8, fixed pocket) showed a clean monotonic dose-response unlike anything else in this investigation: Vina Dock improving from −10.46 (λ = 0) to −12.34 (λ = 3.0) with single-fragment rate and validity both at 1.0 throughout, collapsing only at λ = 10 and λ = 30. Per this project's standing protocol — that no encouraging small-n signal is reported as a finding before a confirmatory run at larger n, the same rule that governed the soft-v relaxation result of Section V.2 — this was not reported until confirmed at n = 24. Table E.3 gives the result.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E.3</w:t>
        <w:tab/>
        <w:t>ESM2 checkpoint, exploratory (n=8) versus confirmatory (n=24) real-docking test, paired by seed</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973"/>
            <w:shd w:val="clear" w:fill="E7E9EE"/>
          </w:tcPr>
          <w:p>
            <w:pPr>
              <w:keepNext w:val="0"/>
              <w:keepLines w:val="0"/>
              <w:widowControl/>
              <w:spacing w:line="240" w:lineRule="auto" w:before="20" w:after="20"/>
              <w:jc w:val="center"/>
            </w:pPr>
            <w:r>
              <w:rPr>
                <w:rFonts w:ascii="Times New Roman" w:hAnsi="Times New Roman" w:eastAsia="Times New Roman"/>
                <w:b/>
                <w:i w:val="0"/>
                <w:sz w:val="18"/>
              </w:rPr>
              <w:t>n=8 mean diff (kcal/mol)</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n=8 Wilcoxon p</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n=24 mean diff</w:t>
            </w:r>
          </w:p>
        </w:tc>
        <w:tc>
          <w:tcPr>
            <w:tcW w:type="dxa" w:w="1233"/>
            <w:shd w:val="clear" w:fill="E7E9EE"/>
          </w:tcPr>
          <w:p>
            <w:pPr>
              <w:keepNext w:val="0"/>
              <w:keepLines w:val="0"/>
              <w:widowControl/>
              <w:spacing w:line="240" w:lineRule="auto" w:before="20" w:after="20"/>
              <w:jc w:val="center"/>
            </w:pPr>
            <w:r>
              <w:rPr>
                <w:rFonts w:ascii="Times New Roman" w:hAnsi="Times New Roman" w:eastAsia="Times New Roman"/>
                <w:b/>
                <w:i w:val="0"/>
                <w:sz w:val="18"/>
              </w:rPr>
              <w:t>n=24 Wilcoxon p</w:t>
            </w:r>
          </w:p>
        </w:tc>
        <w:tc>
          <w:tcPr>
            <w:tcW w:type="dxa" w:w="2056"/>
            <w:shd w:val="clear" w:fill="E7E9EE"/>
          </w:tcPr>
          <w:p>
            <w:pPr>
              <w:keepNext w:val="0"/>
              <w:keepLines w:val="0"/>
              <w:widowControl/>
              <w:spacing w:line="240" w:lineRule="auto" w:before="20" w:after="20"/>
              <w:jc w:val="center"/>
            </w:pPr>
            <w:r>
              <w:rPr>
                <w:rFonts w:ascii="Times New Roman" w:hAnsi="Times New Roman" w:eastAsia="Times New Roman"/>
                <w:b/>
                <w:i w:val="0"/>
                <w:sz w:val="18"/>
              </w:rPr>
              <w:t>n=24 single-fragment rate</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−1.255</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−0.483</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0.345</w:t>
            </w:r>
          </w:p>
        </w:tc>
        <w:tc>
          <w:tcPr>
            <w:tcW w:type="dxa" w:w="2056"/>
          </w:tcPr>
          <w:p>
            <w:pPr>
              <w:keepNext w:val="0"/>
              <w:keepLines w:val="0"/>
              <w:widowControl/>
              <w:spacing w:line="240" w:lineRule="auto" w:before="20" w:after="20"/>
              <w:jc w:val="center"/>
            </w:pPr>
            <w:r>
              <w:rPr>
                <w:rFonts w:ascii="Times New Roman" w:hAnsi="Times New Roman" w:eastAsia="Times New Roman"/>
                <w:b w:val="0"/>
                <w:i w:val="0"/>
                <w:sz w:val="18"/>
              </w:rPr>
              <w:t>0.96</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3.0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−1.879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−0.990</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0.040</w:t>
            </w:r>
          </w:p>
        </w:tc>
        <w:tc>
          <w:tcPr>
            <w:tcW w:type="dxa" w:w="2056"/>
          </w:tcPr>
          <w:p>
            <w:pPr>
              <w:keepNext w:val="0"/>
              <w:keepLines w:val="0"/>
              <w:widowControl/>
              <w:spacing w:line="240" w:lineRule="auto" w:before="20" w:after="20"/>
              <w:jc w:val="left"/>
            </w:pPr>
            <w:r>
              <w:rPr>
                <w:rFonts w:ascii="Times New Roman" w:hAnsi="Times New Roman" w:eastAsia="Times New Roman"/>
                <w:b w:val="0"/>
                <w:i w:val="0"/>
                <w:sz w:val="18"/>
              </w:rPr>
              <w:t>0.83 (from 1.00 at n=8)</w:t>
            </w:r>
          </w:p>
        </w:tc>
      </w:tr>
    </w:tbl>
    <w:p>
      <w:pPr>
        <w:keepNext w:val="0"/>
        <w:keepLines w:val="0"/>
        <w:widowControl/>
        <w:spacing w:line="240" w:lineRule="auto" w:before="80" w:after="0"/>
        <w:jc w:val="both"/>
      </w:pPr>
      <w:r>
        <w:rPr>
          <w:rFonts w:ascii="Times New Roman" w:hAnsi="Times New Roman" w:eastAsia="Times New Roman"/>
          <w:b w:val="0"/>
          <w:i w:val="0"/>
          <w:sz w:val="20"/>
        </w:rPr>
        <w:t>λ = 3.0's raw p = 0.040 is below the uncorrected 0.05 threshold but above the Benjamini–Hochberg-corrected threshold for these two tests alone (adjusted p ≈ 0.080); it does not survive pooling with the rest of this appendix either (Section E.6).</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E.3 shows the shrinkage directly. Both the effect size and the structural-validity cost moved against the exploratory tier's promise: the mean shift at λ = 3.0 nearly halved (−1.879 to −0.990) and a validity cost appeared at n = 24 that had been completely invisible at n = 8 (single-fragment rate 1.00 → 0.83, meaning roughly one molecule in six now fragments under this guidance strength, a cost the smaller sample could not reveal). This is, by every measure available, the strongest candidate for a real effect found anywhere in this investigation — best predictive quality, best non-forced diagnostic, a clean dose-response at small n — and it still does not clear this project's non-negotiable bar of a multiple-comparison-corrected, non-degraded effect (Section III.6.1).</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959303"/>
            <wp:docPr id="22" name="Picture 22"/>
            <wp:cNvGraphicFramePr>
              <a:graphicFrameLocks noChangeAspect="1"/>
            </wp:cNvGraphicFramePr>
            <a:graphic>
              <a:graphicData uri="http://schemas.openxmlformats.org/drawingml/2006/picture">
                <pic:pic>
                  <pic:nvPicPr>
                    <pic:cNvPr id="0" name="fig4_dose_response.png"/>
                    <pic:cNvPicPr/>
                  </pic:nvPicPr>
                  <pic:blipFill>
                    <a:blip r:embed="rId102"/>
                    <a:stretch>
                      <a:fillRect/>
                    </a:stretch>
                  </pic:blipFill>
                  <pic:spPr>
                    <a:xfrm>
                      <a:off x="0" y="0"/>
                      <a:ext cx="4937760" cy="29593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42138"/>
            <wp:docPr id="23" name="Picture 23"/>
            <wp:cNvGraphicFramePr>
              <a:graphicFrameLocks noChangeAspect="1"/>
            </wp:cNvGraphicFramePr>
            <a:graphic>
              <a:graphicData uri="http://schemas.openxmlformats.org/drawingml/2006/picture">
                <pic:pic>
                  <pic:nvPicPr>
                    <pic:cNvPr id="0" name="fig2_diag1_dissociation.png"/>
                    <pic:cNvPicPr/>
                  </pic:nvPicPr>
                  <pic:blipFill>
                    <a:blip r:embed="rId103"/>
                    <a:stretch>
                      <a:fillRect/>
                    </a:stretch>
                  </pic:blipFill>
                  <pic:spPr>
                    <a:xfrm>
                      <a:off x="0" y="0"/>
                      <a:ext cx="5276088" cy="244213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E.4</w:t>
        <w:tab/>
        <w:t>The diagnostic (distance-to-pocket gradient correlation, Table E.2) against the real-docking outcome, for every checkpoint of this appendix. The checkpoint with the strongest, most directly optimised diagnostic fix (gradient-alignment) has the flattest real-docking result; the checkpoint with the best incidental diagnostic (ESM2) has the closest approach to a corrected effect, which still does not survive correction. Diagnostic quality and real-docking outcome dissociate across the full range 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E.2.4</w:t>
        <w:tab/>
      </w:r>
      <w:r>
        <w:rPr>
          <w:rFonts w:ascii="Times New Roman" w:hAnsi="Times New Roman" w:eastAsia="Times New Roman"/>
          <w:b w:val="0"/>
          <w:i/>
          <w:sz w:val="24"/>
        </w:rPr>
        <w:t>Kitchen-sink: all four interventions combined</w:t>
      </w:r>
    </w:p>
    <w:p>
      <w:pPr>
        <w:keepNext w:val="0"/>
        <w:keepLines w:val="0"/>
        <w:widowControl/>
        <w:spacing w:line="480" w:lineRule="auto" w:before="0" w:after="0"/>
        <w:ind w:firstLine="720"/>
        <w:jc w:val="both"/>
      </w:pPr>
      <w:r>
        <w:rPr>
          <w:rFonts w:ascii="Times New Roman" w:hAnsi="Times New Roman" w:eastAsia="Times New Roman"/>
          <w:b w:val="0"/>
          <w:i w:val="0"/>
          <w:sz w:val="24"/>
        </w:rPr>
        <w:t>The one combination not yet tried after eleven independently-trained checkpoints showed the same null pattern stacks all four interventions above (noise-matched curriculum, Vina-target label, gradient-alignment loss, ESM2 feature) in one checkpoint, run to ask whether any pair of them might interact rather than because a specific mechanism predicted synergy. Predictive quality (R² = 0.413, Pearson = 0.664, Spearman = 0.686) fell between gradient-alignment alone and ESM2 alone — stacking did not beat the best single intervention. A visible overfitting signature appeared once four objectives were optimised jointly (validation R² briefly went negative at epoch 3 before the best checkpoint was recovered at epoch 2), not present in any single-intervention checkpoint at the same training budget. The diagnostic told the same story: adding ESM2's feature on top of gradient-alignment's loss did not counteract the latter's size-confound side effect, the one open question this combination could have resolved — it left the distance-correlation fix nearly intact (−0.757, against gradient-alignment alone's −0.784) while making the size/heaviness correlation slightly worse (+0.354, now the worst of any checkpoint). The real-docking test (prelambda check, n = 8, full seven-point grid) showed no encouraging direction at any λ, small and inconsistently signed diffs, worst at the highest strength rather than any dose-response; structural validity, notably, never degraded even out to λ = 30, the only checkpoint in this appendix for which that holds. This closes the ablation space of Phase 1 cleanly: no single intervention, pair, or full combination of the four tried (noise-matching, Vina-target, gradient-alignment, ESM2) produces a real-docking effect that survives correction.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E.3</w:t>
        <w:tab/>
      </w:r>
      <w:r>
        <w:rPr>
          <w:rFonts w:ascii="Times New Roman" w:hAnsi="Times New Roman" w:eastAsia="Times New Roman"/>
          <w:b/>
          <w:i w:val="0"/>
          <w:sz w:val="24"/>
        </w:rPr>
        <w:t>Phase 2: Independent Validation and the Hardest Generalisation Test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E.3.1</w:t>
        <w:tab/>
      </w:r>
      <w:r>
        <w:rPr>
          <w:rFonts w:ascii="Times New Roman" w:hAnsi="Times New Roman" w:eastAsia="Times New Roman"/>
          <w:b w:val="0"/>
          <w:i/>
          <w:sz w:val="24"/>
        </w:rPr>
        <w:t>Does guidance change real chemistry, not just the raw score? (PLIP)</w:t>
      </w:r>
    </w:p>
    <w:p>
      <w:pPr>
        <w:keepNext w:val="0"/>
        <w:keepLines w:val="0"/>
        <w:widowControl/>
        <w:spacing w:line="480" w:lineRule="auto" w:before="0" w:after="0"/>
        <w:ind w:firstLine="720"/>
        <w:jc w:val="both"/>
      </w:pPr>
      <w:r>
        <w:rPr>
          <w:rFonts w:ascii="Times New Roman" w:hAnsi="Times New Roman" w:eastAsia="Times New Roman"/>
          <w:b w:val="0"/>
          <w:i w:val="0"/>
          <w:sz w:val="24"/>
        </w:rPr>
        <w:t>Every real-docking test to this point asks whether the raw Vina Dock score moves. A different, closely related question is whether guidance changes the number of real, geometrically detected protein–ligand interactions a pose actually forms — hydrogen bonds, hydrophobic contacts, π-stacking and salt bridges, counted by the Protein–Ligand Interaction Profiler (PLIP) [1], [38] on the same Vina-docked poses used throughout this appendix. This matters specifically against one alternative explanation for the overall null pattern: that Vina Dock is a misleading proxy hiding a real, chemistry-level improvement a score-only metric cannot see.</w:t>
      </w:r>
    </w:p>
    <w:p>
      <w:pPr>
        <w:keepNext w:val="0"/>
        <w:keepLines w:val="0"/>
        <w:widowControl/>
        <w:spacing w:line="480" w:lineRule="auto" w:before="0" w:after="0"/>
        <w:ind w:firstLine="720"/>
        <w:jc w:val="both"/>
      </w:pPr>
      <w:r>
        <w:rPr>
          <w:rFonts w:ascii="Times New Roman" w:hAnsi="Times New Roman" w:eastAsia="Times New Roman"/>
          <w:b w:val="0"/>
          <w:i w:val="0"/>
          <w:sz w:val="24"/>
        </w:rPr>
        <w:t>An exploratory tier on the ESM2 checkpoint (n = 8, λ = 3.0) showed a seemingly interesting dissociation: Vina Dock improved by a mean of −2.27 kcal/mol (raw p = 0.031) while PLIP-detected interactions decreased by a mean of −3.71 (p = 0.094, all four interaction types falling together), with near-zero correlation between per-molecule score and interaction-count changes (−0.02 to −0.13) — a "chemically hollow" score gain, on its face. Per the same confirm-before-reporting protocol applied throughout this appendix, a confirmatory tier (n = 16, new seed) was run before this was treated as a finding. The signal did not merely weaken; it reversed sign (Figure E.5): interactions changed from −3.71 to +1.00, and the Vina Dock shift itself weakened to −1.02 kcal/mol (p = 0.077, no longer below 0.05). This is strong evidence the n = 8 result was sampling noise, not a real phenomenon, and it is reported as a reversal rather than as a softened but still-standing direction. A second checkpoint with the opposite diagnostic profile (gradient-alignment, the strongest distance-correlation fix and the flattest real-docking result) showed the same null at both the score and the interaction level (n = 8, λ ∈ {1.0, 10.0}, no comparison significant in either direction). Neither checkpoint tested — the one that came closest to a real docking effect, or the one with the strongest mechanistic fix — shows a defensible chemistry-level guidance effect in either direction. This result is reported on its own terms and is not pooled into Section E.6, since it measures a different outcome variable (interaction counts, not Vina Dock) than every other test in that pool.</w:t>
      </w:r>
    </w:p>
    <w:p>
      <w:pPr>
        <w:keepNext/>
        <w:keepLines w:val="0"/>
        <w:widowControl/>
        <w:spacing w:line="240" w:lineRule="auto" w:before="240" w:after="120"/>
        <w:jc w:val="center"/>
      </w:pPr>
      <w:r>
        <w:drawing>
          <wp:inline xmlns:a="http://schemas.openxmlformats.org/drawingml/2006/main" xmlns:pic="http://schemas.openxmlformats.org/drawingml/2006/picture">
            <wp:extent cx="4206240" cy="3271520"/>
            <wp:docPr id="24" name="Picture 24"/>
            <wp:cNvGraphicFramePr>
              <a:graphicFrameLocks noChangeAspect="1"/>
            </wp:cNvGraphicFramePr>
            <a:graphic>
              <a:graphicData uri="http://schemas.openxmlformats.org/drawingml/2006/picture">
                <pic:pic>
                  <pic:nvPicPr>
                    <pic:cNvPr id="0" name="fig9_plip_signal_reversal.png"/>
                    <pic:cNvPicPr/>
                  </pic:nvPicPr>
                  <pic:blipFill>
                    <a:blip r:embed="rId104"/>
                    <a:stretch>
                      <a:fillRect/>
                    </a:stretch>
                  </pic:blipFill>
                  <pic:spPr>
                    <a:xfrm>
                      <a:off x="0" y="0"/>
                      <a:ext cx="4206240" cy="327152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E.5</w:t>
        <w:tab/>
        <w:t>PLIP-detected interaction-count shift under guidance on the ESM2 checkpoint, exploratory tier (n=8) against confirmatory tier (n=16, new seed). The sign of the effect reverses, not merely weakens, between the two tiers.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E.3.2</w:t>
        <w:tab/>
      </w:r>
      <w:r>
        <w:rPr>
          <w:rFonts w:ascii="Times New Roman" w:hAnsi="Times New Roman" w:eastAsia="Times New Roman"/>
          <w:b w:val="0"/>
          <w:i/>
          <w:sz w:val="24"/>
        </w:rPr>
        <w:t>Generalisation to a protein family never seen in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The leakage-safe split of Chapter IV separates test targets from training targets by protein identity, but still allows a test target to share a fold or family with something the predictor saw during training. A stricter question: does the null pattern hold when the test target's entire protein family is held out of training? PF00069, the protein kinase domain and the single largest family in the split's own Pfam annotations [33], was removed entirely — 53 targets (8,880 entries) moved to test, with no kinase-family target appearing anywhere in training or validation.</w:t>
      </w:r>
    </w:p>
    <w:p>
      <w:pPr>
        <w:keepNext w:val="0"/>
        <w:keepLines w:val="0"/>
        <w:widowControl/>
        <w:spacing w:line="480" w:lineRule="auto" w:before="0" w:after="0"/>
        <w:ind w:firstLine="720"/>
        <w:jc w:val="both"/>
      </w:pPr>
      <w:r>
        <w:rPr>
          <w:rFonts w:ascii="Times New Roman" w:hAnsi="Times New Roman" w:eastAsia="Times New Roman"/>
          <w:b w:val="0"/>
          <w:i w:val="0"/>
          <w:sz w:val="24"/>
        </w:rPr>
        <w:t>Point-prediction quality did not collapse on the unseen family; if anything it was somewhat better than the same-distribution checkpoint's own numbers (R² = 0.507, Pearson = 0.713, Spearman = 0.755, against the familiar-distribution Vina-target checkpoint's 0.400 / 0.652; Table E.1). The diagnostic was healthier too, and for the first time on a non-forced checkpoint reached significance in the correct direction without any auxiliary loss asking it to: −0.086 (95% CI [−0.136, −0.037]), against the familiar-distribution checkpoint's wrongly signed +0.047 (Table E.2). The real-docking test, run on CDK6_HUMAN (a major real-world kinase drug target and a member of the held-out family, prelambda check, n = 8, full grid), showed no significant effect at any λ (Wilcoxon p = 0.195 to 0.844 before the highest strengths' validity collapse) and the same stable-then-collapse validity pattern as every other checkpoint in this appendix. The null pattern is therefore not an artefact of every tested pocket belonging to a family the predictor had already encountered somewhere in training; it holds under the strictest train/test separation this project can construct, on the family's own most prominent real-world member.</w:t>
      </w:r>
    </w:p>
    <w:p>
      <w:pPr>
        <w:keepNext/>
        <w:keepLines w:val="0"/>
        <w:widowControl/>
        <w:spacing w:line="240" w:lineRule="auto" w:before="240" w:after="120"/>
        <w:jc w:val="center"/>
      </w:pPr>
      <w:r>
        <w:drawing>
          <wp:inline xmlns:a="http://schemas.openxmlformats.org/drawingml/2006/main" xmlns:pic="http://schemas.openxmlformats.org/drawingml/2006/picture">
            <wp:extent cx="4389120" cy="3203634"/>
            <wp:docPr id="25" name="Picture 25"/>
            <wp:cNvGraphicFramePr>
              <a:graphicFrameLocks noChangeAspect="1"/>
            </wp:cNvGraphicFramePr>
            <a:graphic>
              <a:graphicData uri="http://schemas.openxmlformats.org/drawingml/2006/picture">
                <pic:pic>
                  <pic:nvPicPr>
                    <pic:cNvPr id="0" name="fig7_family_holdout_quality.png"/>
                    <pic:cNvPicPr/>
                  </pic:nvPicPr>
                  <pic:blipFill>
                    <a:blip r:embed="rId105"/>
                    <a:stretch>
                      <a:fillRect/>
                    </a:stretch>
                  </pic:blipFill>
                  <pic:spPr>
                    <a:xfrm>
                      <a:off x="0" y="0"/>
                      <a:ext cx="4389120" cy="32036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E.6</w:t>
        <w:tab/>
        <w:t>Test-set predictive quality of the Vina-target recipe evaluated on its ordinary, same-distribution test set against the same recipe trained with the entire kinase (PF00069) family held out and evaluated only on that family. Quality does not collapse on the unseen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E.3.3</w:t>
        <w:tab/>
      </w:r>
      <w:r>
        <w:rPr>
          <w:rFonts w:ascii="Times New Roman" w:hAnsi="Times New Roman" w:eastAsia="Times New Roman"/>
          <w:b w:val="0"/>
          <w:i/>
          <w:sz w:val="24"/>
        </w:rPr>
        <w:t>A side-finding: AlphaFold-predicted pockets as a robustness check</w:t>
      </w:r>
    </w:p>
    <w:p>
      <w:pPr>
        <w:keepNext w:val="0"/>
        <w:keepLines w:val="0"/>
        <w:widowControl/>
        <w:spacing w:line="480" w:lineRule="auto" w:before="0" w:after="0"/>
        <w:ind w:firstLine="720"/>
        <w:jc w:val="both"/>
      </w:pPr>
      <w:r>
        <w:rPr>
          <w:rFonts w:ascii="Times New Roman" w:hAnsi="Times New Roman" w:eastAsia="Times New Roman"/>
          <w:b w:val="0"/>
          <w:i w:val="0"/>
          <w:sz w:val="24"/>
        </w:rPr>
        <w:t>A question adjacent to guidance itself, raised while preparing the pocket-level analyses of this appendix: how well would a precomputed AlphaFold DB structure [24], [45] substitute for the crystal structures this project uses as the pocket input, for a hypothetical target with no experimental structure available? For every one of the 971 targets in the leakage-safe split with a resolvable UniProt accession and AlphaFold DB entry (835/971, 86%, after excluding pockets too small to define, accessions with no cached model, or alignment identity below 0.9), the AlphaFold model's predicted pocket (receptor Cα atoms within 10 Å of any docked ligand atom, residue correspondence established by real pairwise sequence alignment, not assumed numbering) was compared against the crystal structure's own pocket geometry.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E.4</w:t>
        <w:tab/>
        <w:t>AlphaFold-predicted versus crystal pocket geometry, full-scale result (n=835)</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260"/>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2840"/>
            <w:shd w:val="clear" w:fill="E7E9EE"/>
          </w:tcPr>
          <w:p>
            <w:pPr>
              <w:keepNext w:val="0"/>
              <w:keepLines w:val="0"/>
              <w:widowControl/>
              <w:spacing w:line="240" w:lineRule="auto" w:before="20" w:after="20"/>
              <w:jc w:val="center"/>
            </w:pPr>
            <w:r>
              <w:rPr>
                <w:rFonts w:ascii="Times New Roman" w:hAnsi="Times New Roman" w:eastAsia="Times New Roman"/>
                <w:b/>
                <w:i w:val="0"/>
                <w:sz w:val="20"/>
              </w:rPr>
              <w:t>n=40 (preliminary estimate)</w:t>
            </w:r>
          </w:p>
        </w:tc>
        <w:tc>
          <w:tcPr>
            <w:tcW w:type="dxa" w:w="2209"/>
            <w:shd w:val="clear" w:fill="E7E9EE"/>
          </w:tcPr>
          <w:p>
            <w:pPr>
              <w:keepNext w:val="0"/>
              <w:keepLines w:val="0"/>
              <w:widowControl/>
              <w:spacing w:line="240" w:lineRule="auto" w:before="20" w:after="20"/>
              <w:jc w:val="center"/>
            </w:pPr>
            <w:r>
              <w:rPr>
                <w:rFonts w:ascii="Times New Roman" w:hAnsi="Times New Roman" w:eastAsia="Times New Roman"/>
                <w:b/>
                <w:i w:val="0"/>
                <w:sz w:val="20"/>
              </w:rPr>
              <w:t>n=835 (full result)</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Median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0.42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0.47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1.10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0.88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Pearson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−0.75 (p = 2.5e-8)</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−0.628 (p = 1.2e-92)</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Spearman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−0.80 (p = 6.8e-10)</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−0.686 (p = 5.5e-117)</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Pocket pLDDT minus global pLDDT</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+5.4</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+7.4</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Targets with pocket RMSD &gt; 2 Å</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4/40 (10%)</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71/835 (8.5%)</w:t>
            </w:r>
          </w:p>
        </w:tc>
      </w:tr>
    </w:tbl>
    <w:p>
      <w:pPr>
        <w:keepNext w:val="0"/>
        <w:keepLines w:val="0"/>
        <w:widowControl/>
        <w:spacing w:line="240" w:lineRule="auto" w:before="80" w:after="0"/>
        <w:jc w:val="both"/>
      </w:pPr>
      <w:r>
        <w:rPr>
          <w:rFonts w:ascii="Times New Roman" w:hAnsi="Times New Roman" w:eastAsia="Times New Roman"/>
          <w:b w:val="0"/>
          <w:i w:val="0"/>
          <w:sz w:val="20"/>
        </w:rPr>
        <w:t>Pocket defined as receptor Cα atoms within 10 Å of any docked ligand atom in the crystal structure; RMSD is of the AlphaFold-predicted coordinates against the crystal coordinates for those residues after alignment.</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headline numbers were remarkably stable from the preliminary n=40 estimate to the full n=835 result (Table E.4): a small sample was, in this case, not a biased or lucky one, now confirmed at a dramatically larger scale (correlation p-values moving from the e-8/e-10 range to the e-92/e-117 range). The correlation between confidence (pLDDT) and pocket accuracy is strong and highly significant, which supports using AlphaFold models as pocket inputs when no experimental structure exists. Figure E.7 shows the one qualification found at this scale: of the 18 targets with pocket RMSD exceeding 5 Å, 13 (1.6% of the full n=835 sample) carry a pocket-local pLDDT above 80, AlphaFold's own "confident" threshold, while still being substantially wrong (5.3 to 12.5 Å) specifically at the binding site — including one target (RNAS2_HUMAN) with a pocket pLDDT of 96.4, AlphaFold's "very high" tier, and a pocket RMSD of 7.9 Å. This is not a small-sample artefact; the same target class that showed this failure at n=40 shows it, more sharply, at n=835. The practical reading is that pLDDT is a good average-case guide to pocket accuracy and not a guarantee: roughly one in 64 "confident" predictions in this sample is substantially wrong at the binding site specifically, a failure mode the confidence score alone cannot flag. This measures agreement for already-solved, well-studied proteins (every CrossDocked2020 target was crystallised); it is a best-case proxy for, not a direct measurement of, the genuinely novel-target scenario such a substitution would actually be used for.</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357494"/>
            <wp:docPr id="26" name="Picture 26"/>
            <wp:cNvGraphicFramePr>
              <a:graphicFrameLocks noChangeAspect="1"/>
            </wp:cNvGraphicFramePr>
            <a:graphic>
              <a:graphicData uri="http://schemas.openxmlformats.org/drawingml/2006/picture">
                <pic:pic>
                  <pic:nvPicPr>
                    <pic:cNvPr id="0" name="fig5_alphafold_plddt_rmsd.png"/>
                    <pic:cNvPicPr/>
                  </pic:nvPicPr>
                  <pic:blipFill>
                    <a:blip r:embed="rId106"/>
                    <a:stretch>
                      <a:fillRect/>
                    </a:stretch>
                  </pic:blipFill>
                  <pic:spPr>
                    <a:xfrm>
                      <a:off x="0" y="0"/>
                      <a:ext cx="4572000" cy="335749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r>
    </w:p>
    <w:p>
      <w:pPr>
        <w:keepNext/>
        <w:keepLines w:val="0"/>
        <w:widowControl/>
        <w:spacing w:line="240" w:lineRule="auto" w:before="240" w:after="120"/>
        <w:jc w:val="center"/>
      </w:pPr>
      <w:r>
        <w:drawing>
          <wp:inline xmlns:a="http://schemas.openxmlformats.org/drawingml/2006/main" xmlns:pic="http://schemas.openxmlformats.org/drawingml/2006/picture">
            <wp:extent cx="4754880" cy="3177144"/>
            <wp:docPr id="27" name="Picture 27"/>
            <wp:cNvGraphicFramePr>
              <a:graphicFrameLocks noChangeAspect="1"/>
            </wp:cNvGraphicFramePr>
            <a:graphic>
              <a:graphicData uri="http://schemas.openxmlformats.org/drawingml/2006/picture">
                <pic:pic>
                  <pic:nvPicPr>
                    <pic:cNvPr id="0" name="fig6_pocket_vs_global_plddt.png"/>
                    <pic:cNvPicPr/>
                  </pic:nvPicPr>
                  <pic:blipFill>
                    <a:blip r:embed="rId107"/>
                    <a:stretch>
                      <a:fillRect/>
                    </a:stretch>
                  </pic:blipFill>
                  <pic:spPr>
                    <a:xfrm>
                      <a:off x="0" y="0"/>
                      <a:ext cx="4754880" cy="317714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E.4</w:t>
        <w:tab/>
      </w:r>
      <w:r>
        <w:rPr>
          <w:rFonts w:ascii="Times New Roman" w:hAnsi="Times New Roman" w:eastAsia="Times New Roman"/>
          <w:b/>
          <w:i w:val="0"/>
          <w:sz w:val="24"/>
        </w:rPr>
        <w:t>Phase 3: Sharpening the Representation and an Independent Label Check</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E.4.1</w:t>
        <w:tab/>
      </w:r>
      <w:r>
        <w:rPr>
          <w:rFonts w:ascii="Times New Roman" w:hAnsi="Times New Roman" w:eastAsia="Times New Roman"/>
          <w:b w:val="0"/>
          <w:i/>
          <w:sz w:val="24"/>
        </w:rPr>
        <w:t>A pocket-restricted protein-language-model feature</w:t>
      </w:r>
    </w:p>
    <w:p>
      <w:pPr>
        <w:keepNext w:val="0"/>
        <w:keepLines w:val="0"/>
        <w:widowControl/>
        <w:spacing w:line="480" w:lineRule="auto" w:before="0" w:after="0"/>
        <w:ind w:firstLine="720"/>
        <w:jc w:val="both"/>
      </w:pPr>
      <w:r>
        <w:rPr>
          <w:rFonts w:ascii="Times New Roman" w:hAnsi="Times New Roman" w:eastAsia="Times New Roman"/>
          <w:b w:val="0"/>
          <w:i w:val="0"/>
          <w:sz w:val="24"/>
        </w:rPr>
        <w:t>Phase 1's ESM2 feature pools the embedding over the entire protein chain, a coarse signal relative to the handful of residues that actually line the binding site. A sharper, pocket-restricted version (mean-pooled ESM2 embedding over only the receptor residues within 10 Å of the ligand, resolved by the same alignment procedure as Section E.3.3, 847/971 targets, 87% coverage) tests whether sharpening this signal helps either predictive quality or the real-docking outcome.</w:t>
      </w:r>
    </w:p>
    <w:p>
      <w:pPr>
        <w:keepNext w:val="0"/>
        <w:keepLines w:val="0"/>
        <w:widowControl/>
        <w:spacing w:line="480" w:lineRule="auto" w:before="0" w:after="0"/>
        <w:ind w:firstLine="720"/>
        <w:jc w:val="both"/>
      </w:pPr>
      <w:r>
        <w:rPr>
          <w:rFonts w:ascii="Times New Roman" w:hAnsi="Times New Roman" w:eastAsia="Times New Roman"/>
          <w:b w:val="0"/>
          <w:i w:val="0"/>
          <w:sz w:val="24"/>
        </w:rPr>
        <w:t>It did not help either, and on predictive quality it clearly hurt: test R² fell from 0.460 (whole-protein) to 0.280, with Pearson and Spearman both falling slightly as well (0.731 → 0.686; 0.748 → 0.723; Table E.1). Restricting ESM2's mean-pooling to a handful of pocket residues (typically 3 to 60 per target, far fewer than a full chain of hundreds) produced a noisier, less accurate predictor than pooling over the whole protein — a plausible but unverified explanation is that mean-pooling over so few residues gives a much higher-variance per-target estimate than averaging a full chain. The diagnostic was healthy but did not improve on the whole-protein version: the distance correlation kept the correct sign but lost significance (−0.026, 95% CI [−0.069, 0.017], against the whole-protein version's significant −0.072; Table E.2). The real-docking test (prelambda check, n = 8, full grid) showed a mean effect that grew monotonically with λ up to 3.0, non-significant throughout (p = 0.148 to 0.945), reaching its closest approach to significance (p = 0.063) only at λ = 10 — exactly where single-fragment rate had already fallen to 0.62, the same "approaching significance only where validity has already broken down" signature seen in the whole-protein ESM2 checkpoint's own near-miss (Section E.2.3). No confirmatory tier was run, since this project's protocol reserves confirmation for signals that look encouraging without a validity confound attached, and this one does not clear that bar. This is also the first checkpoint in this appendix to make predictive quality actively worse than its own predecessor by trying to sharpen a signal, rather than add a new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E.4.2</w:t>
        <w:tab/>
      </w:r>
      <w:r>
        <w:rPr>
          <w:rFonts w:ascii="Times New Roman" w:hAnsi="Times New Roman" w:eastAsia="Times New Roman"/>
          <w:b w:val="0"/>
          <w:i/>
          <w:sz w:val="24"/>
        </w:rPr>
        <w:t>Independent cross-validation against ChEMBL</w:t>
      </w:r>
    </w:p>
    <w:p>
      <w:pPr>
        <w:keepNext w:val="0"/>
        <w:keepLines w:val="0"/>
        <w:widowControl/>
        <w:spacing w:line="480" w:lineRule="auto" w:before="0" w:after="0"/>
        <w:ind w:firstLine="720"/>
        <w:jc w:val="both"/>
      </w:pPr>
      <w:r>
        <w:rPr>
          <w:rFonts w:ascii="Times New Roman" w:hAnsi="Times New Roman" w:eastAsia="Times New Roman"/>
          <w:b w:val="0"/>
          <w:i w:val="0"/>
          <w:sz w:val="24"/>
        </w:rPr>
        <w:t>A check of a different kind: rather than testing the guidance mechanism, this asks whether the project's own experimental affinity labels (PDBBind-sourced pKd/pKi/pIC50 values attached to CrossDocked2020 poses) agree with an independently curated source, ChEMBL [54], for four targets used repeatedly throughout this appendix's diagnostic and docking tests (CDK6, HDAC8, CD38, AKT1). For each target, all logged Ki measurements were retrieved from ChEMBL (Ki chosen over IC50 as the direct binding-affinity measurement PDBBind itself reports) and the resulting pChEMBL range (−log₁₀(Ki in M)) compared against this project's own pK range for that target's entries.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E.5</w:t>
        <w:tab/>
        <w:t>Independent cross-validation of this project's affinity labels against ChEMBL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762"/>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w:t>
            </w:r>
          </w:p>
        </w:tc>
        <w:tc>
          <w:tcPr>
            <w:tcW w:type="dxa" w:w="1811"/>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 entries)</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total)</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CDK6</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5.14 – 7.82 (23)</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6.55 – 9.80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Partial overlap (6.55–7.82)</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HDAC8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5.54 – 7.05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4.68 – 10.4 (41 / 885)</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Our range sits inside ChEMBL's wider one</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AKT1</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6.52 – 9.30 (64)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4.98 – 9.82 (48 / unreported total)</w:t>
            </w:r>
          </w:p>
        </w:tc>
        <w:tc>
          <w:tcPr>
            <w:tcW w:type="dxa" w:w="2868"/>
          </w:tcPr>
          <w:p>
            <w:pPr>
              <w:keepNext w:val="0"/>
              <w:keepLines w:val="0"/>
              <w:widowControl/>
              <w:spacing w:line="240" w:lineRule="auto" w:before="20" w:after="20"/>
              <w:jc w:val="center"/>
            </w:pPr>
            <w:r>
              <w:rPr>
                <w:rFonts w:ascii="Times New Roman" w:hAnsi="Times New Roman" w:eastAsia="Times New Roman"/>
                <w:b w:val="0"/>
                <w:i w:val="0"/>
                <w:sz w:val="20"/>
              </w:rPr>
              <w:t>Good overlap</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CD38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3.59 – 4.25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7.85 – 9.52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No overlap at all</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Three of four targets show plausible-to-good agreement (Table E.5, Figure E.9). CD38 is a real, substantial discrepancy: every CD38 entry in this project's dataset is a weak binder (pK ≈ 4, Kd in the ~100 µM range), while every CD38 Ki value ChEMBL has on file is a sub-100nM, drug-like inhibitor (pChEMBL 7.85–9.52). The leading, but not independently confirmed, explanation is a difference in literature selection: PDBBind indexes affinities attached to crystallised complexes, which frequently include early-stage fragments or weak co-crystallisation ligands used for structural studies, whereas ChEMBL's curation leans toward published medicinal-chemistry series that, by construction, report their most potent analogues. This is consistent with CD38's specific numbers (both of its ChEMBL Ki entries happen to be sub-nanomolar) but was not directly verified against the identity of this project's specific CD38 ligands, and is reported as the leading hypothesis, not a settled conclusion. It does not change any real-docking conclusion of this thesis: no checkpoint or test in Chapters IV to IX or this appendix makes a claim about CD38's absolute affinity scale, and the diagnostic and docking tests throughout use within-target relative comparisons that a systematic label-scale offset would not directly invalidate. It is reported because an unverified background assumption — that these labels are a reasonable proxy for true binding affinity, without qualification — had at least one concrete counterexample once actually checked against an independent source.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096491"/>
            <wp:docPr id="28" name="Picture 28"/>
            <wp:cNvGraphicFramePr>
              <a:graphicFrameLocks noChangeAspect="1"/>
            </wp:cNvGraphicFramePr>
            <a:graphic>
              <a:graphicData uri="http://schemas.openxmlformats.org/drawingml/2006/picture">
                <pic:pic>
                  <pic:nvPicPr>
                    <pic:cNvPr id="0" name="fig8_chembl_crossvalidation.png"/>
                    <pic:cNvPicPr/>
                  </pic:nvPicPr>
                  <pic:blipFill>
                    <a:blip r:embed="rId108"/>
                    <a:stretch>
                      <a:fillRect/>
                    </a:stretch>
                  </pic:blipFill>
                  <pic:spPr>
                    <a:xfrm>
                      <a:off x="0" y="0"/>
                      <a:ext cx="4572000" cy="30964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E.9</w:t>
        <w:tab/>
        <w:t>This project's affinity-label range against the independently curated ChEMBL Ki range, for the four targets used repeatedly throughout this appendix. Three of four targets overlap; CD38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E.5</w:t>
        <w:tab/>
      </w:r>
      <w:r>
        <w:rPr>
          <w:rFonts w:ascii="Times New Roman" w:hAnsi="Times New Roman" w:eastAsia="Times New Roman"/>
          <w:b/>
          <w:i w:val="0"/>
          <w:sz w:val="24"/>
        </w:rPr>
        <w:t>Direct Mechanistic Trace of the Guidance Nudge</w:t>
      </w:r>
    </w:p>
    <w:p>
      <w:pPr>
        <w:keepNext w:val="0"/>
        <w:keepLines w:val="0"/>
        <w:widowControl/>
        <w:spacing w:line="480" w:lineRule="auto" w:before="0" w:after="0"/>
        <w:ind w:firstLine="720"/>
        <w:jc w:val="both"/>
      </w:pPr>
      <w:r>
        <w:rPr>
          <w:rFonts w:ascii="Times New Roman" w:hAnsi="Times New Roman" w:eastAsia="Times New Roman"/>
          <w:b w:val="0"/>
          <w:i w:val="0"/>
          <w:sz w:val="24"/>
        </w:rPr>
        <w:t>Sections E.2 to E.4 establish, over 8 checkpoints and every mechanism-level intervention this project could construct, that the real-docking null is not explained by predictor quality, training recipe, representation, or the difficulty of the generalisation test. This section asks the question the earlier sections cannot: what actually happens, step by step, to one molecule's atoms when the gradient is applied? If hypothesis (c) of Section IX.3.2 is correct — that position-only guidance is too weak or too blunt an intervention on a denoiser that was never trained to expect it — a direct trace of the sampling trajectory should show the mechanism by which the nudge fails to matter, not merely confirm, again, that it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One molecule was sampled twice from bit-identical starting noise and identical per-step stochastic draws (the random seed was reset immediately before each call), once unguided (λ = 0) and once guided (λ = 1.0) on the gradient-alignment checkpoint — chosen because its gradient is the most directly and successfully trained to point toward the pocket of any checkpoint in this investigation (Section E.2.2), so if any checkpoint were to show a persistent, compounding guidance effect, it is this one. Because the diffusion core's forward pass is deterministic given its input, and guidance introduces no new source of randomness, the two trajectories are identical up to the first guided step; every atom of divergence after that step is attributable only to the guidance nudge. New instrumentation (`guided_sampling.py`'s `grad_capture_list`) recorded the nudge actually applied at every reverse step, and the existing per-step position trajectory was compared between the two runs for every atom.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E.5.2</w:t>
        <w:tab/>
      </w:r>
      <w:r>
        <w:rPr>
          <w:rFonts w:ascii="Times New Roman" w:hAnsi="Times New Roman" w:eastAsia="Times New Roman"/>
          <w:b w:val="0"/>
          <w:i/>
          <w:sz w:val="24"/>
        </w:rPr>
        <w:t>Result: the gap grows smoothly and ends two orders of magnitude below the raw nudge sum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E.6</w:t>
        <w:tab/>
        <w:t>Mean all-atom position gap between the guided and unguided trajectory, by diffusion step</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Step (raw timestep)</w:t>
            </w:r>
          </w:p>
        </w:tc>
        <w:tc>
          <w:tcPr>
            <w:tcW w:type="dxa" w:w="553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all-atom gap (Å)</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0 (999, noisiest)</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0.0000</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 (899)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400 (599)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0.0014</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700 (299)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0.0035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800 (199)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0.0085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900 (99)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0.0167</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1000 (0, final)</w:t>
            </w:r>
          </w:p>
        </w:tc>
        <w:tc>
          <w:tcPr>
            <w:tcW w:type="dxa" w:w="5539"/>
          </w:tcPr>
          <w:p>
            <w:pPr>
              <w:keepNext w:val="0"/>
              <w:keepLines w:val="0"/>
              <w:widowControl/>
              <w:spacing w:line="240" w:lineRule="auto" w:before="20" w:after="20"/>
              <w:jc w:val="left"/>
            </w:pPr>
            <w:r>
              <w:rPr>
                <w:rFonts w:ascii="Times New Roman" w:hAnsi="Times New Roman" w:eastAsia="Times New Roman"/>
                <w:b w:val="0"/>
                <w:i w:val="0"/>
                <w:sz w:val="20"/>
              </w:rPr>
              <w:t>0.0512 (mean); 0.1314 (max, any single atom)</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gap starts at exactly zero, grows smoothly rather than flat or oscillating, and accelerates sharply only in the final third of sampling (Table E.6, Figure E.10). The single atom that received the largest cumulative raw nudge (summed absolute nudge across all roughly 1,000 guided steps = 9.49, in the guidance model's own gradient units) ends the trajectory only 0.0362 Å away from where it would have been with no guidance at all — about 1% of what the raw cumulative nudge magnitude would suggest if nudges simply added up linearly over the trajectory.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1828800"/>
            <wp:docPr id="29" name="Picture 29"/>
            <wp:cNvGraphicFramePr>
              <a:graphicFrameLocks noChangeAspect="1"/>
            </wp:cNvGraphicFramePr>
            <a:graphic>
              <a:graphicData uri="http://schemas.openxmlformats.org/drawingml/2006/picture">
                <pic:pic>
                  <pic:nvPicPr>
                    <pic:cNvPr id="0" name="trace_gap_plot.png"/>
                    <pic:cNvPicPr/>
                  </pic:nvPicPr>
                  <pic:blipFill>
                    <a:blip r:embed="rId109"/>
                    <a:stretch>
                      <a:fillRect/>
                    </a:stretch>
                  </pic:blipFill>
                  <pic:spPr>
                    <a:xfrm>
                      <a:off x="0" y="0"/>
                      <a:ext cx="5120640" cy="18288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specific, falsifiable mechanistic account, not merely "the effect is small". At each reverse-diffusion step, the posterior sampling step adds its own intrinsic stochastic noise, scaled by the DDPM schedule's posterior variance, which is large early in sampling (high raw timestep) and shrinks toward the end. Early in sampling, this intrinsic noise is large relative to the fixed-size deterministic guidance nudge, so the nudge is statistically buried in noise the model would have injected regardless of guidance — consistent with the near-zero gap through roughly the first 80% of sampling in Table E.6. Only as the schedule's posterior variance shrinks toward the end does the same-sized nudge's relative contribution grow enough to produce a measurable, compounding effect — consistent with the late-trajectory acceleration observed. The nudge is not actively cancelled by a corrective force at each step; it is mostly drowned out by noise the model would add regardless of guidance, with only a small residual surviving to compound. This directly supports hypothesis (c) of Section IX.3.2 in a specific form: position-only guidance is weak not because its direction is wrong, but because its magnitude is small relative to the sampler's own injected noise for most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E.5.3</w:t>
        <w:tab/>
      </w:r>
      <w:r>
        <w:rPr>
          <w:rFonts w:ascii="Times New Roman" w:hAnsi="Times New Roman" w:eastAsia="Times New Roman"/>
          <w:b w:val="0"/>
          <w:i/>
          <w:sz w:val="24"/>
        </w:rPr>
        <w:t>A puzzle checked, not glossed over</w:t>
      </w:r>
    </w:p>
    <w:p>
      <w:pPr>
        <w:keepNext w:val="0"/>
        <w:keepLines w:val="0"/>
        <w:widowControl/>
        <w:spacing w:line="480" w:lineRule="auto" w:before="0" w:after="0"/>
        <w:ind w:firstLine="720"/>
        <w:jc w:val="both"/>
      </w:pPr>
      <w:r>
        <w:rPr>
          <w:rFonts w:ascii="Times New Roman" w:hAnsi="Times New Roman" w:eastAsia="Times New Roman"/>
          <w:b w:val="0"/>
          <w:i w:val="0"/>
          <w:sz w:val="24"/>
        </w:rPr>
        <w:t>Despite the tiny geometric gap (at most 0.13 Å for any atom), the two runs' final reconstructed molecules have completely different SMILES, both single-fragment and both chemically valid (Figure E.11). This was checked rather than assumed away. The most likely explanation is that atom-type sampling (a Gumbel-max argmax over discrete logits, a decision-boundary-sensitive operation by construction) is sensitive to even this small a position-driven perturbation at some intermediate step, after which the coupled position-and-type forward pass diverges far more in the discrete channel than in the continuous one that Table E.6 measures — a "butterfly effect" specific to discrete sampling, not evidence that the position-level effect was itself large. The specific step at which the type-sampling decision flips was not isolated, and this detail is flagged as open rather than claimed as settled.</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468880"/>
            <wp:docPr id="30" name="Picture 30"/>
            <wp:cNvGraphicFramePr>
              <a:graphicFrameLocks noChangeAspect="1"/>
            </wp:cNvGraphicFramePr>
            <a:graphic>
              <a:graphicData uri="http://schemas.openxmlformats.org/drawingml/2006/picture">
                <pic:pic>
                  <pic:nvPicPr>
                    <pic:cNvPr id="0" name="trace_molecules_2d.png"/>
                    <pic:cNvPicPr/>
                  </pic:nvPicPr>
                  <pic:blipFill>
                    <a:blip r:embed="rId110"/>
                    <a:stretch>
                      <a:fillRect/>
                    </a:stretch>
                  </pic:blipFill>
                  <pic:spPr>
                    <a:xfrm>
                      <a:off x="0" y="0"/>
                      <a:ext cx="4937760" cy="246888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1" name="Picture 31"/>
            <wp:cNvGraphicFramePr>
              <a:graphicFrameLocks noChangeAspect="1"/>
            </wp:cNvGraphicFramePr>
            <a:graphic>
              <a:graphicData uri="http://schemas.openxmlformats.org/drawingml/2006/picture">
                <pic:pic>
                  <pic:nvPicPr>
                    <pic:cNvPr id="0" name="trace_unguided.png"/>
                    <pic:cNvPicPr/>
                  </pic:nvPicPr>
                  <pic:blipFill>
                    <a:blip r:embed="rId111"/>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E.12</w:t>
        <w:tab/>
        <w:t>The unguided (λ=0) molecule of the paired trace, docked into its pocket (PDB 1h36) and rendered with its hydrogen-bond partners. Renders the same molecule referenced in Figure E.11 and Table E.6 in its 3D binding context.</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2" name="Picture 32"/>
            <wp:cNvGraphicFramePr>
              <a:graphicFrameLocks noChangeAspect="1"/>
            </wp:cNvGraphicFramePr>
            <a:graphic>
              <a:graphicData uri="http://schemas.openxmlformats.org/drawingml/2006/picture">
                <pic:pic>
                  <pic:nvPicPr>
                    <pic:cNvPr id="0" name="trace_guided.png"/>
                    <pic:cNvPicPr/>
                  </pic:nvPicPr>
                  <pic:blipFill>
                    <a:blip r:embed="rId112"/>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E.5.4</w:t>
        <w:tab/>
      </w:r>
      <w:r>
        <w:rPr>
          <w:rFonts w:ascii="Times New Roman" w:hAnsi="Times New Roman" w:eastAsia="Times New Roman"/>
          <w:b w:val="0"/>
          <w:i/>
          <w:sz w:val="24"/>
        </w:rPr>
        <w:t>Scope and what would have rejected this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mechanistic case study of one molecule, one checkpoint, one guidance strength — it demonstrates a concrete, falsifiable phenomenon and does not by itself make a population-level statistical claim; that evidence is Section E.6's pooled correction. Had the gap instead grown to a large fraction of the raw cumulative nudge (multiple Ångströms, comparable to the summed nudge magnitude of 9.49) while the molecule remained chemically valid, that would have pointed to the guidance direction itself being the problem — a persistent, uncancelled push in a direction that simply does not help Vina Dock — rather than the injection mechanism. That is not what was observed: the gap stays two orders of magnitude below the raw nudge sum throughout, a result consistent specifically with the injection-mechanism hypothesis stated in advance, not merely consistent with "nothing happened".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E.6</w:t>
        <w:tab/>
      </w:r>
      <w:r>
        <w:rPr>
          <w:rFonts w:ascii="Times New Roman" w:hAnsi="Times New Roman" w:eastAsia="Times New Roman"/>
          <w:b/>
          <w:i w:val="0"/>
          <w:sz w:val="24"/>
        </w:rPr>
        <w:t>Pooled Statistical Correction Across the Entire Follow-up Phase</w:t>
      </w:r>
    </w:p>
    <w:p>
      <w:pPr>
        <w:keepNext w:val="0"/>
        <w:keepLines w:val="0"/>
        <w:widowControl/>
        <w:spacing w:line="480" w:lineRule="auto" w:before="0" w:after="0"/>
        <w:ind w:firstLine="720"/>
        <w:jc w:val="both"/>
      </w:pPr>
      <w:r>
        <w:rPr>
          <w:rFonts w:ascii="Times New Roman" w:hAnsi="Times New Roman" w:eastAsia="Times New Roman"/>
          <w:b w:val="0"/>
          <w:i w:val="0"/>
          <w:sz w:val="24"/>
        </w:rPr>
        <w:t>Every real-docking, Vina-Dock-based comparison of this appendix was pooled with the real-docking comparisons already reported (one outcome variable per pool; the PLIP interaction-count tests of Section E.3.1 measure a different quantity and are reported on their own terms there, not pooled here). Table E.7 lists every source.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E.7</w:t>
        <w:tab/>
        <w:t>Sources pooled into the single Benjamini–Hochberg correction across the follow-up phase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Source</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 mechanism</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763"/>
            <w:shd w:val="clear" w:fill="E7E9EE"/>
          </w:tcPr>
          <w:p>
            <w:pPr>
              <w:keepNext w:val="0"/>
              <w:keepLines w:val="0"/>
              <w:widowControl/>
              <w:spacing w:line="240" w:lineRule="auto" w:before="20" w:after="20"/>
              <w:jc w:val="center"/>
            </w:pPr>
            <w:r>
              <w:rPr>
                <w:rFonts w:ascii="Times New Roman" w:hAnsi="Times New Roman" w:eastAsia="Times New Roman"/>
                <w:b/>
                <w:i w:val="0"/>
                <w:sz w:val="20"/>
              </w:rPr>
              <w:t>n tests</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Track A follow-up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GIGN+PIGNet2, noise-matched +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KS test, real Vina Dock, n=30/condition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Soft-v relaxation, confirmatory tier (Ch. 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 soft-v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n=15–16/condition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Ranker, size-stratified re-analysis (Ch. VI)</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as ranker</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Mann–Whitney, size-stratified</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confirmatory tier (Section E.2.3)</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 ESM2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n=24/condition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Gradient-alignment, exploratory tier (Section E.2.2)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gradient-alignment loss</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Kitchen-sink, exploratory tier (Section E.2.4)</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all four combined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Family-holdout, exploratory tier (Section E.3.2)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kinase family held out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pocket-only, exploratory tier (Section E.4.1)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 ESM2 (pocket-restricted)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bl>
    <w:p>
      <w:pPr>
        <w:keepNext w:val="0"/>
        <w:keepLines w:val="0"/>
        <w:widowControl/>
        <w:spacing w:line="240" w:lineRule="auto" w:before="80" w:after="0"/>
        <w:jc w:val="both"/>
      </w:pPr>
      <w:r>
        <w:rPr>
          <w:rFonts w:ascii="Times New Roman" w:hAnsi="Times New Roman" w:eastAsia="Times New Roman"/>
          <w:b w:val="0"/>
          <w:i w:val="0"/>
          <w:sz w:val="20"/>
        </w:rPr>
        <w:t>The original four thesis tracks (Chapters V to VIII) each already carry their own within-track Benjamini–Hochberg correction (Section IX.1); they are not repooled here, since they were run under different protocols. The soft-v relaxation's own exploratory tier (n=8, the signal that motivated its confirmatory run) is likewise excluded, since pooling an exploratory batch with its own confirmatory follow-up in the same correction would double-count one question.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sz w:val="24"/>
        </w:rPr>
        <w:t>0/48 comparisons significant after Benjamini–Hochberg correction</w:t>
      </w:r>
      <w:r>
        <w:rPr>
          <w:rFonts w:ascii="Times New Roman" w:hAnsi="Times New Roman" w:eastAsia="Times New Roman"/>
          <w:b w:val="0"/>
          <w:i w:val="0"/>
          <w:sz w:val="24"/>
        </w:rPr>
        <w:t xml:space="preserve"> [4]. Minimum raw p-value: 0.0306 (Track A follow-up, CD38_HUMAN at λ = 0.3); minimum corrected p-value: 0.525. One of 48 raw p-values falls below 0.05 — matching the roughly 2.4 false positives expected by chance alone under a true null at this pool size, not evidence of a real effect anywhere in the pool. Figure E.14 shows every comparison's effect size and confidence interval against zero.</w:t>
      </w:r>
    </w:p>
    <w:p>
      <w:pPr>
        <w:keepNext/>
        <w:keepLines w:val="0"/>
        <w:widowControl/>
        <w:spacing w:line="240" w:lineRule="auto" w:before="240" w:after="120"/>
        <w:jc w:val="center"/>
      </w:pPr>
      <w:r>
        <w:drawing>
          <wp:inline xmlns:a="http://schemas.openxmlformats.org/drawingml/2006/main" xmlns:pic="http://schemas.openxmlformats.org/drawingml/2006/picture">
            <wp:extent cx="4023360" cy="4191393"/>
            <wp:docPr id="33" name="Picture 33"/>
            <wp:cNvGraphicFramePr>
              <a:graphicFrameLocks noChangeAspect="1"/>
            </wp:cNvGraphicFramePr>
            <a:graphic>
              <a:graphicData uri="http://schemas.openxmlformats.org/drawingml/2006/picture">
                <pic:pic>
                  <pic:nvPicPr>
                    <pic:cNvPr id="0" name="fig3_pooled_forest.png"/>
                    <pic:cNvPicPr/>
                  </pic:nvPicPr>
                  <pic:blipFill>
                    <a:blip r:embed="rId113"/>
                    <a:stretch>
                      <a:fillRect/>
                    </a:stretch>
                  </pic:blipFill>
                  <pic:spPr>
                    <a:xfrm>
                      <a:off x="0" y="0"/>
                      <a:ext cx="4023360" cy="41913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E.14</w:t>
        <w:tab/>
        <w:t>Effect size and 95% confidence interval of every one of the 48 pooled comparisons of Table E.7, ordered by checkpoint. No interval is both significant after correction and in the beneficial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This is not a new result in the sense that every individual test here was already computed and, in isolation, judged non-significant; what it adds is the same formal guarantee Chapter IX's own methodology requires (Section III.6.1): no claim of improvement without a test surviving multiple-comparison correction, now stated once, explicitly, across the entire follow-up phase rather than test-by-test. Together with the 8 independently-trained checkpoints of Sections E.2 to E.4 (4 architecture/representation families on top of the EGNN and GIGN+PIGNet2 backbones of Chapters IV and V, 2 guidance mechanisms, every pairwise and full combination of the four Phase 1 interventions) and the within-track corrections of Chapters V to VIII, every real-docking comparison computed anywhere in this thesis, under any training recipe, representation, architecture or train/test split tried, is now accounted for by one of these corrections, and none survives.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E.7</w:t>
        <w:tab/>
      </w:r>
      <w:r>
        <w:rPr>
          <w:rFonts w:ascii="Times New Roman" w:hAnsi="Times New Roman" w:eastAsia="Times New Roman"/>
          <w:b/>
          <w:i w:val="0"/>
          <w:sz w:val="24"/>
        </w:rPr>
        <w:t>What This Appendix Adds to the Thesis's Central Claim</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hypotheses (a) and (c) — that the clean/noisy training mismatch, and the weakness of position-only guidance, might explain the null result — were both, at the time that chapter was written, untested and flagged as outside the compute budget available. Both were tested directly in this appendix. Hypothesis (a) does not explain the null: a predictor trained on exactly the noise distribution it will see at inference (Section E.2.1), and a predictor given an entirely new, non-noise-related information source (ESM2, Section E.2.3), both leave the pattern unchanged. Hypothesis (c) is directly supported, in a specific mechanistic form, by the trace of Section E.5: the position-only nudge is small enough, for most of the sampling trajectory, to be statistically buried in the sampler's own intrinsic step noise, and only compounds to a measurable but still sub-Ångström effect in the final steps, where it is large enough to flip discrete atom-type decisions without being large enough to move the docking score in a defensible, reproducible way. The two independent validation branches of Phase 2 (PLIP interaction counts, Section E.3.1; the unseen-protein-family generalisation test, Section E.3.2) rule out two further alternative explanations: that Vina Dock hides a real chemistry-level effect, and that the null pattern is an artefact of every tested pocket belonging to a protein family the predictor had already seen. None of this changes Chapter IX's central conclusion. It replaces two previously untested hypotheses with a tested, mechanistically specific account of why position-only gradient guidance on a frozen, pretrained diffusion model does not produce a defensible improvement under the conditions this project could test, and it rules out the two most plausible ways that conclusion could have been an artefact of the predictor, the evaluation metric, or the generalisation difficulty of the test set.</w:t>
      </w:r>
    </w:p>
    <w:sectPr w:rsidR="00FC693F" w:rsidRPr="0006063C" w:rsidSect="00034616">
      <w:headerReference w:type="default" r:id="rId96"/>
      <w:headerReference w:type="first" r:id="rId97"/>
      <w:footerReference w:type="default" r:id="rId98"/>
      <w:footerReference w:type="first" r:id="rId99"/>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header" Target="header12.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header" Target="header16.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header" Target="header17.xml"/><Relationship Id="rId51" Type="http://schemas.openxmlformats.org/officeDocument/2006/relationships/header" Target="header18.xml"/><Relationship Id="rId52" Type="http://schemas.openxmlformats.org/officeDocument/2006/relationships/footer" Target="footer17.xml"/><Relationship Id="rId53" Type="http://schemas.openxmlformats.org/officeDocument/2006/relationships/footer" Target="footer18.xml"/><Relationship Id="rId54" Type="http://schemas.openxmlformats.org/officeDocument/2006/relationships/image" Target="media/image10.png"/><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19.xml"/><Relationship Id="rId58" Type="http://schemas.openxmlformats.org/officeDocument/2006/relationships/footer" Target="footer20.xml"/><Relationship Id="rId59" Type="http://schemas.openxmlformats.org/officeDocument/2006/relationships/image" Target="media/image11.png"/><Relationship Id="rId60" Type="http://schemas.openxmlformats.org/officeDocument/2006/relationships/image" Target="media/image12.png"/><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header" Target="header22.xml"/><Relationship Id="rId67" Type="http://schemas.openxmlformats.org/officeDocument/2006/relationships/footer" Target="footer21.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image" Target="media/image19.png"/><Relationship Id="rId72" Type="http://schemas.openxmlformats.org/officeDocument/2006/relationships/header" Target="header23.xml"/><Relationship Id="rId73" Type="http://schemas.openxmlformats.org/officeDocument/2006/relationships/header" Target="header24.xml"/><Relationship Id="rId74" Type="http://schemas.openxmlformats.org/officeDocument/2006/relationships/footer" Target="footer23.xml"/><Relationship Id="rId75" Type="http://schemas.openxmlformats.org/officeDocument/2006/relationships/footer" Target="footer24.xml"/><Relationship Id="rId76" Type="http://schemas.openxmlformats.org/officeDocument/2006/relationships/header" Target="header25.xml"/><Relationship Id="rId77" Type="http://schemas.openxmlformats.org/officeDocument/2006/relationships/header" Target="header26.xml"/><Relationship Id="rId78" Type="http://schemas.openxmlformats.org/officeDocument/2006/relationships/footer" Target="footer25.xml"/><Relationship Id="rId79" Type="http://schemas.openxmlformats.org/officeDocument/2006/relationships/footer" Target="footer26.xml"/><Relationship Id="rId80" Type="http://schemas.openxmlformats.org/officeDocument/2006/relationships/header" Target="header27.xml"/><Relationship Id="rId81" Type="http://schemas.openxmlformats.org/officeDocument/2006/relationships/header" Target="header28.xml"/><Relationship Id="rId82" Type="http://schemas.openxmlformats.org/officeDocument/2006/relationships/footer" Target="footer27.xml"/><Relationship Id="rId83" Type="http://schemas.openxmlformats.org/officeDocument/2006/relationships/footer" Target="footer28.xml"/><Relationship Id="rId84" Type="http://schemas.openxmlformats.org/officeDocument/2006/relationships/header" Target="header29.xml"/><Relationship Id="rId85" Type="http://schemas.openxmlformats.org/officeDocument/2006/relationships/header" Target="header30.xml"/><Relationship Id="rId86" Type="http://schemas.openxmlformats.org/officeDocument/2006/relationships/footer" Target="footer29.xml"/><Relationship Id="rId87" Type="http://schemas.openxmlformats.org/officeDocument/2006/relationships/footer" Target="footer30.xml"/><Relationship Id="rId88" Type="http://schemas.openxmlformats.org/officeDocument/2006/relationships/header" Target="header31.xml"/><Relationship Id="rId89" Type="http://schemas.openxmlformats.org/officeDocument/2006/relationships/header" Target="header32.xml"/><Relationship Id="rId90" Type="http://schemas.openxmlformats.org/officeDocument/2006/relationships/footer" Target="footer31.xml"/><Relationship Id="rId91" Type="http://schemas.openxmlformats.org/officeDocument/2006/relationships/footer" Target="footer32.xml"/><Relationship Id="rId92" Type="http://schemas.openxmlformats.org/officeDocument/2006/relationships/header" Target="header33.xml"/><Relationship Id="rId93" Type="http://schemas.openxmlformats.org/officeDocument/2006/relationships/header" Target="header34.xml"/><Relationship Id="rId94" Type="http://schemas.openxmlformats.org/officeDocument/2006/relationships/footer" Target="footer33.xml"/><Relationship Id="rId95" Type="http://schemas.openxmlformats.org/officeDocument/2006/relationships/footer" Target="footer34.xml"/><Relationship Id="rId96" Type="http://schemas.openxmlformats.org/officeDocument/2006/relationships/header" Target="header35.xml"/><Relationship Id="rId97" Type="http://schemas.openxmlformats.org/officeDocument/2006/relationships/header" Target="header36.xml"/><Relationship Id="rId98" Type="http://schemas.openxmlformats.org/officeDocument/2006/relationships/footer" Target="footer35.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image" Target="media/image21.png"/><Relationship Id="rId102" Type="http://schemas.openxmlformats.org/officeDocument/2006/relationships/image" Target="media/image22.png"/><Relationship Id="rId103" Type="http://schemas.openxmlformats.org/officeDocument/2006/relationships/image" Target="media/image23.png"/><Relationship Id="rId104" Type="http://schemas.openxmlformats.org/officeDocument/2006/relationships/image" Target="media/image24.png"/><Relationship Id="rId105" Type="http://schemas.openxmlformats.org/officeDocument/2006/relationships/image" Target="media/image25.png"/><Relationship Id="rId106" Type="http://schemas.openxmlformats.org/officeDocument/2006/relationships/image" Target="media/image26.png"/><Relationship Id="rId107" Type="http://schemas.openxmlformats.org/officeDocument/2006/relationships/image" Target="media/image27.png"/><Relationship Id="rId108" Type="http://schemas.openxmlformats.org/officeDocument/2006/relationships/image" Target="media/image28.png"/><Relationship Id="rId109" Type="http://schemas.openxmlformats.org/officeDocument/2006/relationships/image" Target="media/image29.png"/><Relationship Id="rId110" Type="http://schemas.openxmlformats.org/officeDocument/2006/relationships/image" Target="media/image30.png"/><Relationship Id="rId111" Type="http://schemas.openxmlformats.org/officeDocument/2006/relationships/image" Target="media/image31.png"/><Relationship Id="rId112" Type="http://schemas.openxmlformats.org/officeDocument/2006/relationships/image" Target="media/image32.png"/><Relationship Id="rId11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Coupled Affinity-Synthesizability Guidance for Target-Conditional Molecular Diffusion in Structure-Based Drug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