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Organization of the Thesis</w:t>
        <w:tab/>
        <w:t>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Target-clustered statistics for predictor comparisons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27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39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77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85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90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Grading the explanations</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The role of statistical power</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100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102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106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108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115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117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119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121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THE FOLLOW-UP INVESTIGATION: TESTING THE DIAGNOSED MECHANISM DIRECTLY</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152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Data splits used for affinity predictors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Predictors used as guidance signals or ranking functions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Independent evaluation metrics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85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150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151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[49]</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[28]</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[56]</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[47]; Δ-XGBoost [51]</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3.2,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No route produced a defensible improvement in an independently measured outcome.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signal was traced to a molecular-size artefact.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THE FOLLOW-UP INVESTIGATION: TESTING THE DIAGNOSED MECHANISM DIRECTLY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IX.3.2)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18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18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real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18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IX.3.2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IX.3.2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real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18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