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 real outcomes rather than by the predictor's own score. A frozen TargetDiff model was guided by affinity and synthesizability predictors, and results were evaluated with AutoDock Vina docking, PoseBusters validity, ligand efficiency and the real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real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viii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xi</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Organization of the Thesis</w:t>
        <w:tab/>
        <w:t>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Decision bands and negative controls</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Target-clustered statistics for predictor comparisons</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27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30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39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54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56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60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62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64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64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Real Score</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71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72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72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72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75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75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76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77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79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79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82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82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89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90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90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Grading the explanations</w:t>
        <w:tab/>
        <w:t>92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The role of statistical power</w:t>
        <w:tab/>
        <w:t>93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94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95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95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96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96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96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97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102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102</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113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Repository Layout</w:t>
        <w:tab/>
        <w:t>104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Reproducing the Results and This Document</w:t>
        <w:tab/>
        <w:t>105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107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107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107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109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111</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Data splits used for affinity predictors</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Predictors used as guidance signals or ranking functions</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Independent evaluation metrics</w:t>
        <w:tab/>
        <w:t>23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70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85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Principal elements of the repository</w:t>
        <w:tab/>
        <w:t>104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109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111</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tab/>
        <w:t>47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tab/>
        <w:t>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78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87</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[41].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central question of this thesis is whether learned guidance signals improve generated molecules on </w:t>
      </w:r>
      <w:r>
        <w:rPr>
          <w:rFonts w:ascii="Times New Roman" w:hAnsi="Times New Roman" w:eastAsia="Times New Roman"/>
          <w:b w:val="0"/>
          <w:i/>
          <w:sz w:val="24"/>
        </w:rPr>
        <w:t>real</w:t>
      </w:r>
      <w:r>
        <w:rPr>
          <w:rFonts w:ascii="Times New Roman" w:hAnsi="Times New Roman" w:eastAsia="Times New Roman"/>
          <w:b w:val="0"/>
          <w:i w:val="0"/>
          <w:sz w:val="24"/>
        </w:rPr>
        <w:t xml:space="preserve"> outcomes, that is, on quantities that are computed independently of the guidance model and that a medicinal chemist would recognise as meaningful.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[46]. A guidance signal that raises such a score is therefore not automatically a success. Second, learned affinity predictors are known to be sensitive to data leakage between training and test sets, and to exploit ligand-only shortcuts [19], [29], [42];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measured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interaction information: interaction-conditioned generators [27], [45], [52] and diffusion models that inject priors derived from affinity networks [22]. The second concerns learned scoring functions and the reliability of their evaluation, including physics-informed and interaction-explicit architectures [31], [48], leakage-controlled benchmarks [19], [29] and critiques of shortcut learning [37], [42].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study has evaluated learned guidance for a frozen 3D diffusion generator against independently computed real outcomes under a leakage-safe, statistically corrected protocol that includes negative controls.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real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real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SE(3)-equivariant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[36]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[52]. InterDiff conditions a diffusion model on interaction "prompts" detected with BINANA, uses cross-attention to inject them, and adds a cross-entropy loss that classifies protein-atom features into interaction types inside the denoiser [45]. BInD treats non-covalent interactions extracted with PLIP as an additional categorical channel that is generated jointly with atoms and bonds under its own loss, and applies knowledge-based guidance terms after the network prediction [27]. An earlier recurrent generator was constrained by an interaction fingerprint computed on docking poses [50]. DPDiff, a diffusion model on CrossDocked2020, extracts "interaction priors" from two pretrained affinity-prediction networks during sampling, using intermediate diffusion predictions as input [22]. Its ablation reports that a geometry-based prior that was pretrained on accurate poses degraded generation when queried on noisy intermediate structures, because of the mismatch between training and sampling inputs [22].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[41].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[46]. Re-parameterisations of the function, such as Vinardo, were introduced because the conventional approach of fitting empirical terms by linear regression to experimental affinities does not yield a function with optimal docking capabilities [32].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[48]. PIGNet predicts atom–atom pairwise interaction terms with physics-informed equations whose parameters are produced by a neural network and sums them to obtain the affinity, and augments the training data with additional poses and ligands to improve generalisation [31]. Interformer combines a graph-transformer with an interaction-aware mixture density network for docking and affinity prediction [26], and PLANET is trained with three objectives (affinity, protein–ligand contact map and ligand distance matrix) [51]. A framework that adds an adjustable affinity term to the training of a mixture density network was proposed to balance scoring, docking, ranking and screening powers, which the authors note are rarely achieved simultaneously by a single machine-learned function [39].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[42].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[29].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[37].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[34].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[40].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[33], and it remains in use, for example for correcting a semiempirical method in the prediction of reaction barrier heights [24].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[43]. Related work re-scored Vina poses with random forests [28], and a delta model built on a linear empirical baseline and gradient boosting reported Pearson correlations of 0.853, 0.839 and 0.813 on locally optimised, redocked and ensemble-docked poses of the CASF-2016 core set [47].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[25]; gradient normalisation equalises gradient magnitudes at a shared layer [7]; gradient surgery projects a task gradient off the gradient of a conflicting task [49]; and dual balancing acts on both loss scales and gradient magnitudes [30]. Auxiliary tasks can also cause negative transfer, for which dedicated remedies have been proposed [23],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to eight types of non-covalent interaction at single-atom level from a three-dimensional complex, accepts custom complexes, for example from docking, and is designed for high-throughput use [1], [35], [38]. Alternative encodings include the interaction fingerprints of ProLIF [5] and of related tools [14], [44].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[22], [27], [52], and, in one case, as an auxiliary classification loss inside the generator's own denoiser [45]. Residual learning has been applied to scoring with tree ensembles [43], [47]. Multi-objective affinity networks with structural auxiliary targets exist [51]. What was not found, within the limits of the searches described in Appendix B, is a study that (i) evaluates learned affinity or synthesizability guidance for a frozen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Work</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Interaction information</w:t>
            </w:r>
          </w:p>
        </w:tc>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Residual (delta) target</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Role in a 3D diffusion generator</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DeepICL [52]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as conditioning</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Autoregressive generator (not diffusion)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InterDiff [45]</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BINANA types; classification loss in denoiser</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cross-attention conditioning</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BInD [27]</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interactions co-generated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joint generation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DPDiff [22]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Latent priors from affinity networks</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priors from intermediate predictions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PLANET [51]</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Contact map (not typed)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model)</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ΔVinaRF20 [43]; Δ-XGBoost [47]</w:t>
            </w:r>
          </w:p>
        </w:tc>
        <w:tc>
          <w:tcPr>
            <w:tcW w:type="dxa" w:w="230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(tree ensembles)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functions)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This thesis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(designed, not tested)</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(graph network)</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Guidance predictor for a frozen diffusion model</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it does not claim that no other work exists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real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 real, independently computed outcome.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[29]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[40]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[22].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[36]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[48], in which covalent (or covalent-proxy) and non-covalent edges share one message pass and are differentiated by separate MLPs, with the physics-decomposed readout of PIGNet [31]: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Real RAscore model [40]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[46];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3.2,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[46].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real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real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real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real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real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[48] with hidden size 256, which produce an embedding for each protein and ligand atom. The output is the sum of pairwise energy terms between all ligand and protein atoms, as in PIGNet2 [31]: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for real docking.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[22].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real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was significant after the correction. The seeds agreed in direction for 14 of 15 pockets; the exception was SQHC (per-seed shifts +0.78 and −1.07), whose raw effect (−0.13, 95% CI −1.22 to +4.66) was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real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[40],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Real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real RAscore of the finished molecules decreased (Table 7.1 and Figure 7.1A). At λ = 0.03 the own score was 29% higher and the real score 53% lower than in the unguided run. Per molecule, 6 of 8 real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04"/>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2341"/>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458"/>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2106"/>
            <w:shd w:val="clear" w:fill="E7E9EE"/>
          </w:tcPr>
          <w:p>
            <w:pPr>
              <w:keepNext w:val="0"/>
              <w:keepLines w:val="0"/>
              <w:widowControl/>
              <w:spacing w:line="240" w:lineRule="auto" w:before="20" w:after="20"/>
              <w:jc w:val="center"/>
            </w:pPr>
            <w:r>
              <w:rPr>
                <w:rFonts w:ascii="Times New Roman" w:hAnsi="Times New Roman" w:eastAsia="Times New Roman"/>
                <w:b/>
                <w:i w:val="0"/>
                <w:sz w:val="20"/>
              </w:rPr>
              <w:t>Real RA-score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210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real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real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real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942"/>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570"/>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Real RA-score</w:t>
            </w:r>
          </w:p>
        </w:tc>
        <w:tc>
          <w:tcPr>
            <w:tcW w:type="dxa" w:w="2198"/>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real score (95% CI)</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9" name="Picture 9"/>
            <wp:cNvGraphicFramePr>
              <a:graphicFrameLocks noChangeAspect="1"/>
            </wp:cNvGraphicFramePr>
            <a:graphic>
              <a:graphicData uri="http://schemas.openxmlformats.org/drawingml/2006/picture">
                <pic:pic>
                  <pic:nvPicPr>
                    <pic:cNvPr id="0" name="fig_trackD.png"/>
                    <pic:cNvPicPr/>
                  </pic:nvPicPr>
                  <pic:blipFill>
                    <a:blip r:embed="rId53"/>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real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 real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real RAscore was observed (the only higher mean, +1% at λ = 0.01 in the original design, was within the run-to-run noise); the guidance destroyed the connectivity of the molecules at λ ≥ 0.3; and in the exploratory design, a divergence of the own score and the real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real RAscore in the single pocket that was examined at adequate sample size, destroyed the connectivity of the molecules at strengths of 0.3 or more, and produced, in the exploratory design, a divergence of the predictor's own score from the real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49"/>
          <w:headerReference w:type="first" r:id="rId50"/>
          <w:footerReference w:type="default" r:id="rId51"/>
          <w:footerReference w:type="first" r:id="rId52"/>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[33], [43], [47].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[35],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0" name="Picture 10"/>
            <wp:cNvGraphicFramePr>
              <a:graphicFrameLocks noChangeAspect="1"/>
            </wp:cNvGraphicFramePr>
            <a:graphic>
              <a:graphicData uri="http://schemas.openxmlformats.org/drawingml/2006/picture">
                <pic:pic>
                  <pic:nvPicPr>
                    <pic:cNvPr id="0" name="fig_trackE_design.png"/>
                    <pic:cNvPicPr/>
                  </pic:nvPicPr>
                  <pic:blipFill>
                    <a:blip r:embed="rId58"/>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1" name="Picture 11"/>
            <wp:cNvGraphicFramePr>
              <a:graphicFrameLocks noChangeAspect="1"/>
            </wp:cNvGraphicFramePr>
            <a:graphic>
              <a:graphicData uri="http://schemas.openxmlformats.org/drawingml/2006/picture">
                <pic:pic>
                  <pic:nvPicPr>
                    <pic:cNvPr id="0" name="fig_vina_semantics.png"/>
                    <pic:cNvPicPr/>
                  </pic:nvPicPr>
                  <pic:blipFill>
                    <a:blip r:embed="rId59"/>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2" name="Picture 12"/>
            <wp:cNvGraphicFramePr>
              <a:graphicFrameLocks noChangeAspect="1"/>
            </wp:cNvGraphicFramePr>
            <a:graphic>
              <a:graphicData uri="http://schemas.openxmlformats.org/drawingml/2006/picture">
                <pic:pic>
                  <pic:nvPicPr>
                    <pic:cNvPr id="0" name="fig_plip_jitter.png"/>
                    <pic:cNvPicPr/>
                  </pic:nvPicPr>
                  <pic:blipFill>
                    <a:blip r:embed="rId60"/>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3" name="Picture 13"/>
            <wp:cNvGraphicFramePr>
              <a:graphicFrameLocks noChangeAspect="1"/>
            </wp:cNvGraphicFramePr>
            <a:graphic>
              <a:graphicData uri="http://schemas.openxmlformats.org/drawingml/2006/picture">
                <pic:pic>
                  <pic:nvPicPr>
                    <pic:cNvPr id="0" name="fig_trackE_r2.png"/>
                    <pic:cNvPicPr/>
                  </pic:nvPicPr>
                  <pic:blipFill>
                    <a:blip r:embed="rId61"/>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4" name="Picture 14"/>
            <wp:cNvGraphicFramePr>
              <a:graphicFrameLocks noChangeAspect="1"/>
            </wp:cNvGraphicFramePr>
            <a:graphic>
              <a:graphicData uri="http://schemas.openxmlformats.org/drawingml/2006/picture">
                <pic:pic>
                  <pic:nvPicPr>
                    <pic:cNvPr id="0" name="fig_trackE_within_target.png"/>
                    <pic:cNvPicPr/>
                  </pic:nvPicPr>
                  <pic:blipFill>
                    <a:blip r:embed="rId62"/>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5" name="Picture 15"/>
            <wp:cNvGraphicFramePr>
              <a:graphicFrameLocks noChangeAspect="1"/>
            </wp:cNvGraphicFramePr>
            <a:graphic>
              <a:graphicData uri="http://schemas.openxmlformats.org/drawingml/2006/picture">
                <pic:pic>
                  <pic:nvPicPr>
                    <pic:cNvPr id="0" name="fig_trackE_learnability.png"/>
                    <pic:cNvPicPr/>
                  </pic:nvPicPr>
                  <pic:blipFill>
                    <a:blip r:embed="rId63"/>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[43], [47],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[52]), as co-generated diffusion outputs (BInD [27]), and as an auxiliary classification loss inside the generator's own denoiser (InterDiff [45]).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4"/>
          <w:headerReference w:type="first" r:id="rId55"/>
          <w:footerReference w:type="default" r:id="rId56"/>
          <w:footerReference w:type="first" r:id="rId5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No route produced a defensible improvement in an independently measured outcome.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real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real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[22]. Training the predictor on noised inputs would test this and was outside the compute budget.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[46];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[46]; Chapter VI shows the mechanism in an isolated setting, a ranker whose selection is dominated by size, although the observation of that study concerned evaluation and not gradient guidance. Second, learned affinity predictors are sensitive to leakage and to ligand-only shortcuts [19], [29], [42]; the size correlation of 0.64 to 0.72 of the predictors and the match between a ligand-only baseline and the network on the old split are instances. Third, the mismatch between clean training inputs and noisy intermediate inputs has been reported to degrade guidance-like priors [22].</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[27], [45], [52],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w:t>
      </w:r>
    </w:p>
    <w:p>
      <w:pPr>
        <w:sectPr>
          <w:headerReference w:type="default" r:id="rId64"/>
          <w:headerReference w:type="first" r:id="rId65"/>
          <w:footerReference w:type="default" r:id="rId66"/>
          <w:footerReference w:type="first" r:id="rId6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real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real RAscore, with corrected statistics, bootstrap intervals and negative controls.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the strongest pull acted on atoms least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68"/>
          <w:headerReference w:type="first" r:id="rId69"/>
          <w:footerReference w:type="default" r:id="rId70"/>
          <w:footerReference w:type="first" r:id="rId7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(4,096 MiB), a 20-thread CPU and 31 GB of RAM, under Linux. The Python environment (`environment.yaml`, conda environment `drugdisc`) used Python 3.10.21, PyTorch 2.5.1 (CUDA 12.1), PyTorch Geometric 2.8.0, RDKit 2026.03.5, NumPy 2.2.6, SciPy 1.15.3, scikit-learn 1.7.2, pandas 2.3.3, LMDB 2.3.0, PoseBusters 0.6.5, Meeko and AutoDock Vina 1.2.6 (the installed distribution is 1.2.6, although the module attribute of the Python package reports 1.2.5).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A.1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real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(4,096 MiB), a 20-thread CPU and 31 GB of RAM, under Linux. The Python environment (`environment.yaml`, conda environment `drugdisc`) used Python 3.10.21, PyTorch 2.5.1 (CUDA 12.1), PyTorch Geometric 2.8.0, RDKit 2026.03.5, NumPy 2.2.6, SciPy 1.15.3, scikit-learn 1.7.2, pandas 2.3.3, LMDB 2.3.0, PoseBusters 0.6.5, Meeko and AutoDock Vina 1.2.6 (the installed distribution is 1.2.6, although the module attribute of the Python package reports 1.2.5).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A.1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real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100"/>
          <w:headerReference w:type="first" r:id="rId101"/>
          <w:footerReference w:type="default" r:id="rId102"/>
          <w:footerReference w:type="first" r:id="rId10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sectPr w:rsidR="00FC693F" w:rsidRPr="0006063C" w:rsidSect="00034616">
      <w:headerReference w:type="default" r:id="rId104"/>
      <w:headerReference w:type="first" r:id="rId105"/>
      <w:footerReference w:type="default" r:id="rId106"/>
      <w:footerReference w:type="first" r:id="rId107"/>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header" Target="header17.xml"/><Relationship Id="rId50" Type="http://schemas.openxmlformats.org/officeDocument/2006/relationships/header" Target="header18.xml"/><Relationship Id="rId51" Type="http://schemas.openxmlformats.org/officeDocument/2006/relationships/footer" Target="footer17.xml"/><Relationship Id="rId52" Type="http://schemas.openxmlformats.org/officeDocument/2006/relationships/footer" Target="footer18.xml"/><Relationship Id="rId53" Type="http://schemas.openxmlformats.org/officeDocument/2006/relationships/image" Target="media/image9.png"/><Relationship Id="rId54" Type="http://schemas.openxmlformats.org/officeDocument/2006/relationships/header" Target="header19.xml"/><Relationship Id="rId55" Type="http://schemas.openxmlformats.org/officeDocument/2006/relationships/header" Target="header20.xml"/><Relationship Id="rId56" Type="http://schemas.openxmlformats.org/officeDocument/2006/relationships/footer" Target="footer19.xml"/><Relationship Id="rId57" Type="http://schemas.openxmlformats.org/officeDocument/2006/relationships/footer" Target="footer20.xml"/><Relationship Id="rId58" Type="http://schemas.openxmlformats.org/officeDocument/2006/relationships/image" Target="media/image10.png"/><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header" Target="header22.xml"/><Relationship Id="rId66" Type="http://schemas.openxmlformats.org/officeDocument/2006/relationships/footer" Target="footer21.xml"/><Relationship Id="rId67" Type="http://schemas.openxmlformats.org/officeDocument/2006/relationships/footer" Target="footer22.xml"/><Relationship Id="rId68" Type="http://schemas.openxmlformats.org/officeDocument/2006/relationships/header" Target="header23.xml"/><Relationship Id="rId69" Type="http://schemas.openxmlformats.org/officeDocument/2006/relationships/header" Target="header24.xml"/><Relationship Id="rId70" Type="http://schemas.openxmlformats.org/officeDocument/2006/relationships/footer" Target="footer23.xml"/><Relationship Id="rId71" Type="http://schemas.openxmlformats.org/officeDocument/2006/relationships/footer" Target="footer24.xml"/><Relationship Id="rId72" Type="http://schemas.openxmlformats.org/officeDocument/2006/relationships/header" Target="header25.xml"/><Relationship Id="rId73" Type="http://schemas.openxmlformats.org/officeDocument/2006/relationships/header" Target="header26.xml"/><Relationship Id="rId74" Type="http://schemas.openxmlformats.org/officeDocument/2006/relationships/footer" Target="footer25.xml"/><Relationship Id="rId75" Type="http://schemas.openxmlformats.org/officeDocument/2006/relationships/footer" Target="footer26.xml"/><Relationship Id="rId76" Type="http://schemas.openxmlformats.org/officeDocument/2006/relationships/header" Target="header27.xml"/><Relationship Id="rId77" Type="http://schemas.openxmlformats.org/officeDocument/2006/relationships/header" Target="header28.xml"/><Relationship Id="rId78" Type="http://schemas.openxmlformats.org/officeDocument/2006/relationships/footer" Target="footer27.xml"/><Relationship Id="rId79" Type="http://schemas.openxmlformats.org/officeDocument/2006/relationships/footer" Target="footer28.xml"/><Relationship Id="rId80" Type="http://schemas.openxmlformats.org/officeDocument/2006/relationships/header" Target="header29.xml"/><Relationship Id="rId81" Type="http://schemas.openxmlformats.org/officeDocument/2006/relationships/header" Target="header30.xml"/><Relationship Id="rId82" Type="http://schemas.openxmlformats.org/officeDocument/2006/relationships/footer" Target="footer29.xml"/><Relationship Id="rId83" Type="http://schemas.openxmlformats.org/officeDocument/2006/relationships/footer" Target="footer30.xml"/><Relationship Id="rId84" Type="http://schemas.openxmlformats.org/officeDocument/2006/relationships/header" Target="header31.xml"/><Relationship Id="rId85" Type="http://schemas.openxmlformats.org/officeDocument/2006/relationships/header" Target="header32.xml"/><Relationship Id="rId86" Type="http://schemas.openxmlformats.org/officeDocument/2006/relationships/footer" Target="footer31.xml"/><Relationship Id="rId87" Type="http://schemas.openxmlformats.org/officeDocument/2006/relationships/footer" Target="footer32.xml"/><Relationship Id="rId88" Type="http://schemas.openxmlformats.org/officeDocument/2006/relationships/header" Target="header33.xml"/><Relationship Id="rId89" Type="http://schemas.openxmlformats.org/officeDocument/2006/relationships/header" Target="header34.xml"/><Relationship Id="rId90" Type="http://schemas.openxmlformats.org/officeDocument/2006/relationships/footer" Target="footer33.xml"/><Relationship Id="rId91" Type="http://schemas.openxmlformats.org/officeDocument/2006/relationships/footer" Target="footer34.xml"/><Relationship Id="rId92" Type="http://schemas.openxmlformats.org/officeDocument/2006/relationships/header" Target="header35.xml"/><Relationship Id="rId93" Type="http://schemas.openxmlformats.org/officeDocument/2006/relationships/header" Target="header36.xml"/><Relationship Id="rId94" Type="http://schemas.openxmlformats.org/officeDocument/2006/relationships/footer" Target="footer35.xml"/><Relationship Id="rId95" Type="http://schemas.openxmlformats.org/officeDocument/2006/relationships/footer" Target="footer36.xml"/><Relationship Id="rId96" Type="http://schemas.openxmlformats.org/officeDocument/2006/relationships/header" Target="header37.xml"/><Relationship Id="rId97" Type="http://schemas.openxmlformats.org/officeDocument/2006/relationships/header" Target="header38.xml"/><Relationship Id="rId98" Type="http://schemas.openxmlformats.org/officeDocument/2006/relationships/footer" Target="footer37.xml"/><Relationship Id="rId99" Type="http://schemas.openxmlformats.org/officeDocument/2006/relationships/footer" Target="footer38.xml"/><Relationship Id="rId100" Type="http://schemas.openxmlformats.org/officeDocument/2006/relationships/header" Target="header39.xml"/><Relationship Id="rId101" Type="http://schemas.openxmlformats.org/officeDocument/2006/relationships/header" Target="header40.xml"/><Relationship Id="rId102" Type="http://schemas.openxmlformats.org/officeDocument/2006/relationships/footer" Target="footer39.xml"/><Relationship Id="rId103" Type="http://schemas.openxmlformats.org/officeDocument/2006/relationships/footer" Target="footer40.xml"/><Relationship Id="rId104" Type="http://schemas.openxmlformats.org/officeDocument/2006/relationships/header" Target="header41.xml"/><Relationship Id="rId105" Type="http://schemas.openxmlformats.org/officeDocument/2006/relationships/header" Target="header42.xml"/><Relationship Id="rId106" Type="http://schemas.openxmlformats.org/officeDocument/2006/relationships/footer" Target="footer41.xml"/><Relationship Id="rId107" Type="http://schemas.openxmlformats.org/officeDocument/2006/relationships/footer" Target="footer4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