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DIAGNOSING GUIDANCE FAILURE IN DIFFUSION-BASED</w:t>
      </w:r>
    </w:p>
    <w:p>
      <w:pPr>
        <w:keepNext w:val="0"/>
        <w:keepLines w:val="0"/>
        <w:widowControl/>
        <w:spacing w:line="240" w:lineRule="auto" w:before="0" w:after="0"/>
        <w:jc w:val="center"/>
      </w:pPr>
      <w:r>
        <w:rPr>
          <w:rFonts w:ascii="Times New Roman" w:hAnsi="Times New Roman" w:eastAsia="Times New Roman"/>
          <w:b/>
          <w:i w:val="0"/>
          <w:sz w:val="24"/>
        </w:rPr>
        <w:t>STRUCTURE-BASED DRUG DESIGN: A LEAKAGE-SAFE,</w:t>
      </w:r>
    </w:p>
    <w:p>
      <w:pPr>
        <w:keepNext w:val="0"/>
        <w:keepLines w:val="0"/>
        <w:widowControl/>
        <w:spacing w:line="240" w:lineRule="auto" w:before="0" w:after="0"/>
        <w:jc w:val="center"/>
      </w:pPr>
      <w:r>
        <w:rPr>
          <w:rFonts w:ascii="Times New Roman" w:hAnsi="Times New Roman" w:eastAsia="Times New Roman"/>
          <w:b/>
          <w:i w:val="0"/>
          <w:sz w:val="24"/>
        </w:rPr>
        <w:t>FALSIFICATION-DRIVEN STUDY</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DIAGNOSING GUIDANCE FAILURE IN DIFFUSION-BASED</w:t>
      </w:r>
    </w:p>
    <w:p>
      <w:pPr>
        <w:keepNext w:val="0"/>
        <w:keepLines w:val="0"/>
        <w:widowControl/>
        <w:spacing w:line="240" w:lineRule="auto" w:before="0" w:after="0"/>
        <w:jc w:val="center"/>
      </w:pPr>
      <w:r>
        <w:rPr>
          <w:rFonts w:ascii="Times New Roman" w:hAnsi="Times New Roman" w:eastAsia="Times New Roman"/>
          <w:b/>
          <w:i w:val="0"/>
          <w:sz w:val="24"/>
        </w:rPr>
        <w:t>STRUCTURE-BASED DRUG DESIGN: A LEAKAGE-SAFE,</w:t>
      </w:r>
    </w:p>
    <w:p>
      <w:pPr>
        <w:keepNext w:val="0"/>
        <w:keepLines w:val="0"/>
        <w:widowControl/>
        <w:spacing w:line="240" w:lineRule="auto" w:before="0" w:after="0"/>
        <w:jc w:val="center"/>
      </w:pPr>
      <w:r>
        <w:rPr>
          <w:rFonts w:ascii="Times New Roman" w:hAnsi="Times New Roman" w:eastAsia="Times New Roman"/>
          <w:b/>
          <w:i w:val="0"/>
          <w:sz w:val="24"/>
        </w:rPr>
        <w:t>FALSIFICATION-DRIVEN STUDY</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“Diagnosing Guidance Failure in Diffusion-Based Structure-Based Drug Design: A Leakage-Safe, Falsification-Driven Study”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“Diagnosing Guidance Failure in Diffusion-Based Structure-Based Drug Design: A Leakage-Safe, Falsification-Driven Study”.</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Diagnosing Guidance Failure in Diffusion-Based Structure-Based Drug Design: A Leakage-Safe, Falsification-Driven Study</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and, where it does not, which of three mechanisms explains the failure: an uninformative guidance signal, a correctly informative signal misapplied through the guidance mechanism, or an objective whose apparent gain can be obtained without a genuine improvement.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guidance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with the trained predictor improved the raw docking score in 12 of 15 pockets but worsened ligand efficiency in 14 of 15 (on average 12 more heavy atoms, and 29 percentage points lower PoseBusters validity). A pre-registered positive control then replaced the trained predictor with AutoDock Vina's own zero-shot score in the identical selection mechanism and pockets: this succeeded, with a significant, largely size-independent improvement (Wilcoxon p = 1.9 × 10⁻⁶; ligand efficiency unchanged, p = 0.756), directly validating the evaluation harness and localising the preceding failures to the information content of the trained predictors rather than to the evaluation design or the selection mechanism. An eight-block information-content audit supports this localisation: no representation of the pocket tested, including a chemically typed interaction representation, reliably outperformed a ligand-only model after correction, and a within-target label-permutation control, run for both a descriptor pipeline and the deployed architecture itself, showed that 70 to 90% of apparent predictive performance is a class-level prior rather than within-target structure–activity learning.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 and augmenting training data with a larger external data set (BindingNet), after removing a compound-level leak found before the production run,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with a validated positive control, a systematic information-content audit of what predicts binding affinity on this split, and a documented negative result that locates where learned guidance signals fail and shows, directly rather than by inference, that the failure traces to the signal rather than the mechanism.</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positive control;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QSAR Controls: y-Randomisation, Activity Cliffs and Matched Molecular Pairs</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II.9</w:t>
        <w:tab/>
        <w:t>Positioning and Research Gap</w:t>
        <w:tab/>
        <w:t>19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Three candidate mechanisms for a guidance failure</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III.1.2</w:t>
        <w:tab/>
        <w:t>Pre-registration status of each route</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42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54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A Fuller Information-Content Audit: What Representation Predicts Affinity?</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IV.6.1</w:t>
        <w:tab/>
        <w:t>The representation ladder</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IV.6.2</w:t>
        <w:tab/>
        <w:t>Ligand size, not interaction identity, is the dominant signal</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IV.6.3</w:t>
        <w:tab/>
        <w:t>Structure rarely beats ligand-only, after correction</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IV.7</w:t>
        <w:tab/>
        <w:t>Does More Training Data Close the Gap? Augmenting with BindingNet</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IV.7.1</w:t>
        <w:tab/>
        <w:t>A compound-level leak, found and removed before it could inflate a result</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IV.7.2</w:t>
        <w:tab/>
        <w:t>Arm A versus Arm C: pure CrossDocked outperforms BindingNet augmentation at matched size</w:t>
        <w:tab/>
        <w:t>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IV.8</w:t>
        <w:tab/>
        <w:t>How Much of the Predictor's Performance Is a Class-Level Prior?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IV.8.1</w:t>
        <w:tab/>
        <w:t>Two baselines under within-target permutation</w:t>
        <w:tab/>
        <w:t>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IV.8.2</w:t>
        <w:tab/>
        <w:t>Consequence: a variance decomposition and a narrower window than it first appears</w:t>
        <w:tab/>
        <w:t>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IV.9</w:t>
        <w:tab/>
        <w:t>Where Does the Predictor Fail? Activity Cliffs, Matched Pairs and Protein Families</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IV.9.1</w:t>
        <w:tab/>
        <w:t>Activity cliffs</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IV.9.2</w:t>
        <w:tab/>
        <w:t>Matched molecular pairs</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IV.9.3</w:t>
        <w:tab/>
        <w:t>Protein-family stratification</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IV.10</w:t>
        <w:tab/>
        <w:t>Summary of the Chapter</w:t>
        <w:tab/>
        <w:t>66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71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72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77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82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84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84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85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VI.5</w:t>
        <w:tab/>
        <w:t>A Positive Control: Reranking by a Genuine, Non-Surrogate Affinity Signal</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VI.5.1</w:t>
        <w:tab/>
        <w:t>Design</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VI.5.2</w:t>
        <w:tab/>
        <w:t>Result</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VI.5.3</w:t>
        <w:tab/>
        <w:t>The confound, disclosed directly</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VI.5.4</w:t>
        <w:tab/>
        <w:t>Interpretation: what this isolates</w:t>
        <w:tab/>
        <w:t>96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100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105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107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107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117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117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119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124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142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X.4.1</w:t>
        <w:tab/>
        <w:t>A proposed extension: uncertainty-aware acquisition (not tested)</w:t>
        <w:tab/>
        <w:t>152</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154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164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165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167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169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177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182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185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200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4.7</w:t>
        <w:tab/>
        <w:t>Representation ladder: held-out R² of each information source (test, 127 target clusters, B = 2,000)</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4.8</w:t>
        <w:tab/>
        <w:t>Surrogate predictor, training-data composition (3 seeds per arm, validation R², B = 2,000)</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4.9</w:t>
        <w:tab/>
        <w:t>Variance decomposition of apparent predictive performance</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72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Reranking by a genuine Vina signal versus the unguided baseline, 20 pockets × 3 seeds (n = 597 baseline, 600 reranked molecules)</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102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104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108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117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119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198</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110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113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117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117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172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199</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[50].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[57]. A guidance signal that raises such a score is therefore not automatically a success. Second, learned affinity predictors are known to be sensitive to data leakage between training and test sets, and to exploit ligand-only shortcuts [19], [34], [53];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Four bodies of work are most closely related. The first concerns diffusion models for SBDD and their guidance or conditioning by affinity or interaction information: interaction-conditioned generators [32], [56], [64],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[38], [59], leakage-controlled benchmarks [19], [34] and critiques of shortcut learning [45], [53]. The third concerns the evaluation of generative SBDD methods themselves, where independent work has questioned the reliability of docking scores as a success criterion and the practice of selecting checkpoints on test data [18]. The fourth, directly relevant to the positive control of Chapter VI, is best-of-N and best-of-K selection applied to diffusion SBDD generation itself, which BoKDiff reports as a novel generation technique in its own right, ranking an oversampled pool by a combined QED, SA and Vina score [29]; this thesis reuses the same mechanism for a different purpose, as a signal-swapped positive control rather than as a proposed generation method (Section VI.5).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an explicit positive control built from a genuine, non-surrogate signal, and the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A sixth and decisive addition, reported in Chapter VI.5, is a </w:t>
      </w:r>
      <w:r>
        <w:rPr>
          <w:rFonts w:ascii="Times New Roman" w:hAnsi="Times New Roman" w:eastAsia="Times New Roman"/>
          <w:b w:val="0"/>
          <w:i/>
          <w:sz w:val="24"/>
        </w:rPr>
        <w:t>positive control</w:t>
      </w:r>
      <w:r>
        <w:rPr>
          <w:rFonts w:ascii="Times New Roman" w:hAnsi="Times New Roman" w:eastAsia="Times New Roman"/>
          <w:b w:val="0"/>
          <w:i w:val="0"/>
          <w:sz w:val="24"/>
        </w:rPr>
        <w:t>: the same rejection-sampling mechanism of Chapter VI, applied with AutoDock Vina's own zero-shot score in place of the trained surrogate, on the identical generator, pockets and independent evaluation protocol. The novelty of the work lies in (i) the leakage-safe, target-level evaluation of predictors used for guidance; (ii) the systematic, statistically disciplined mapping of where gradient guidance and rejection sampling fail; (iii) the mechanistic diagnostics, extended in Chapter IV to a full information-content audit (an eight-block representation ladder, a within-target class-prior decomposition run for the deployed architecture itself, and failure diagnostics by activity cliff, matched molecular pair and protein family) and in Chapter VI.5 to a genuine-signal positive control that localises the guidance failure to the signal rather than the mechanism; and (iv) the methodological audits that accompany the results, including the recognition that an earlier generalisation gap was largely a split artefact, and a compound-level data-leakage audit that preceded, rather than followed, a production training-data-composition experiment.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five guidance routes produced a defensible improvement, and the information-content audit of Chapter IV shows why the two most carefully tested routes could not have been expected to.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with the trained surrogate improved raw docking scores in 12 of 15 pockets, but ligand efficiency worsened significantly in 14 of 15, the selected molecules were on average 12 heavy atoms larger, and PoseBusters validity fell by 29 percentage points. A positive control that replaced the trained surrogate with Vina's own zero-shot score, otherwise identical in mechanism, pockets and evaluation protocol, </w:t>
      </w:r>
      <w:r>
        <w:rPr>
          <w:rFonts w:ascii="Times New Roman" w:hAnsi="Times New Roman" w:eastAsia="Times New Roman"/>
          <w:b w:val="0"/>
          <w:i/>
          <w:sz w:val="24"/>
        </w:rPr>
        <w:t>did</w:t>
      </w:r>
      <w:r>
        <w:rPr>
          <w:rFonts w:ascii="Times New Roman" w:hAnsi="Times New Roman" w:eastAsia="Times New Roman"/>
          <w:b w:val="0"/>
          <w:i w:val="0"/>
          <w:sz w:val="24"/>
        </w:rPr>
        <w:t xml:space="preserve"> produce a significant, largely size-independent improvement in independently computed docking score (Wilcoxon p = 1.9 × 10⁻⁶; ligand efficiency flat, p = 0.756), directly validating the evaluation harness and localising the preceding two failures to the quality of the surrogate signal rather than to the selection or gradient mechanism. The information-content audit behind this localisation found that no representation of the binding pocket tested in this thesis, including a chemically typed interaction representation, reliably outperformed a ligand-only baseline after correction for multiple comparisons, and that 70 to 90% of the predictor's apparent performance, depending on architecture, is reproducible from a class-level prior with no within-target structure–activity signal at all.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and a dedicated attempt to close the gap by augmenting training data with BindingNet, after removing a compound-level leak found in the combined pool, did not outperform training on CrossDocked alone at matched size.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information does the predictor actually use, and does a chemically typed interaction representation help?</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Representation ladder (IV.6)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 BH-corrected pairwise tests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12/40 wins for structure, 0 for ligand-only; typed PLIP interactions collapse to a size proxy (R² 0.08 → 0.32 after adding one size covariate)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representation of the pocket tested reliably beats a ligand-only baseline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augmenting training data with a larger external affinity data set (BindingNet) close the gap to ligand-only?</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Arm A vs. Arm C (IV.7)</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Validation R² (3 seeds/arm)</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Arm A (pure CrossDocked, matched size) 0.362 vs. Arm C (BindingNet-augmented, leakage-filtered) 0.272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More or different training data did not close the gap at matched size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How much of the apparent performance is a class-level prior rather than within-target structure–activity learning?</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Within-target y-randomisation (IV.8)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under label permutation, descriptor pipeline and the deployed EGNN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70% (descriptor) and 90% (EGNN) of real-label performance reproduced with no within-target signal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resolvable window beyond the class prior is narrower than one confidence interval</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genuine, non-surrogate signal succeed with the identical selection mechanism, generator and pockets?</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target-clustered bootstrap), ligand efficiency, SA/RA-score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Significant improvement (p = 1.9 × 10⁻⁶); ligand efficiency flat (p = 0.756); size and synthesizability both worsen significantly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Harness validated; the guidance failure localises to the signal, not the selection mechanism</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Consistent with the nudge being overwhelmed by the sampler's own step noise for most of the trajectory, rather than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the baseline guidance ablations, a fuller information-content audit of what the predictor reads, a training-data-composition experiment with BindingNet, and a class-prior decomposition and failure analysis by activity cliff, matched molecular pair and protein family. Chapter V reports the architecture and mechanism routes (Tracks A and B) and the gradient diagnostic. Chapter VI reports rejection sampling (Track C) and the positive control that replaces the trained surrogate with a genuine, non-surrogate affinity signal; Chapter VII reports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[44]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[64]. InterDiff conditions a diffusion model on interaction "prompts" detected with BINANA, uses cross-attention to inject them, and adds a cross-entropy loss that classifies protein-atom features into interaction types inside the denoiser [56]. BInD treats non-covalent interactions extracted with PLIP as an additional categorical channel that is generated jointly with atoms and bonds under its own loss, and applies knowledge-based guidance terms after the network prediction [32]. An earlier recurrent generator was constrained by an interaction fingerprint computed on docking poses [62].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[50].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[57]. Re-parameterisations of the function, such as Vinardo, were introduced because the conventional approach of fitting empirical terms by linear regression to experimental affinities does not yield a function with optimal docking capabilities [39].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[59]. PIGNet predicts atom–atom pairwise interaction terms with physics-informed equations whose parameters are produced by a neural network and sums them to obtain the affinity, and augments the training data with additional poses and ligands to improve generalisation [38]. Interformer combines a graph-transformer with an interaction-aware mixture density network for docking and affinity prediction [31], and PLANET is trained with three objectives (affinity, protein–ligand contact map and ligand distance matrix) [63]. A framework that adds an adjustable affinity term to the training of a mixture density network was proposed to balance scoring, docking, ranking and screening powers, which the authors note are rarely achieved simultaneously by a single machine-learned function [47].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[53].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[34].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[45].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[41].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[48].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[40],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[54]. Related work re-scored Vina poses with random forests [33], and a delta model built on a linear empirical baseline and gradient boosting reported Pearson correlations of 0.853, 0.839 and 0.813 on locally optimised, redocked and ensemble-docked poses of the CASF-2016 core set [58].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[60]; and dual balancing acts on both loss scales and gradient magnitudes [36].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[43], [46]. Alternative encodings include the interaction fingerprints of ProLIF [5] and of related tools [14], [55].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QSAR Controls: y-Randomisation, Activity Cliffs and 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standard controls from the QSAR literature, none applied to this project's predictors before Chapter IV.6–IV.9, were adopted there to characterise what the affinity predictors actually learn. y-Randomisation, refitting a model after permuting the response variable and confirming performance collapses to chance, is a long-standing control against chance correlation in QSPR/QSAR modelling [42]; Chapter IV.8 adapts it further, by permuting labels </w:t>
      </w:r>
      <w:r>
        <w:rPr>
          <w:rFonts w:ascii="Times New Roman" w:hAnsi="Times New Roman" w:eastAsia="Times New Roman"/>
          <w:b w:val="0"/>
          <w:i/>
          <w:sz w:val="24"/>
        </w:rPr>
        <w:t>within</w:t>
      </w:r>
      <w:r>
        <w:rPr>
          <w:rFonts w:ascii="Times New Roman" w:hAnsi="Times New Roman" w:eastAsia="Times New Roman"/>
          <w:b w:val="0"/>
          <w:i w:val="0"/>
          <w:sz w:val="24"/>
        </w:rPr>
        <w:t xml:space="preserve"> each protein target rather than globally, into a decomposition of apparent predictive performance into a class-level prior and a within-target structure–activity component. Activity cliffs, pairs of structurally similar ligands with disproportionately different measured affinity, are a standard stress test for whether a model has learned local structure–activity relationship rather than coarse, class-level trends; the MoleculeACE benchmark reports that, across 24 machine-learning approaches evaluated on activity cliffs in 30 targets, descriptor-based models outperform more complex deep-learning architectures specifically on cliff compounds [51]. Matched molecular pairs, which isolate the effect of a single substituent change, are a related and stricter test of local structure–activity capture, reported in the literature to be the easiest case for any model, machine-learned or otherwise, to predict correctly [30]. Chapter IV.9 applies all three to this project's own predictors.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II.9</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[32], [64], and, in one case, as an auxiliary classification loss inside the generator's own denoiser [56]. Residual learning has been applied to scoring with tree ensembles [54], [58]. Multi-objective affinity networks with structural auxiliary targets exist [63].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Separately, best-of-N and best-of-K selection applied to diffusion SBDD generation itself, ranked by a combined QED, SA and Vina score, has been proposed as a novel generation technique by BoKDiff [29]; this thesis's own positive control (Chapter VI.5) reuses the same mechanism, but for a different purpose, as a diagnostic instrument that isolates signal quality from guidance mechanism, and was not found to be anticipated by that study. What was not found, within the limits of the searches described in Appendix B, is a study that (i) evaluates learned affinity or synthesizability guidance for a 3D diffusion generator against independently computed outcomes under a leakage-safe, statistically corrected protocol with an explicit positive control built from a genuine, non-surrogate signal,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negative/positive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[64]</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[56]</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BoKDiff [29]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(best-of-N/K selection by an external QED+SA+Vina score, no separate trained predictor)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Proposed as a generation technique, not framed as a positive control against a prior guidance failure</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[63]</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[54]; Δ-XGBoost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 also a genuine, non-surrogate Vina control</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(tested as a guidance representation, Chapter IV.6; collapses to a size proxy)</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a signal-swapped positive control; Section III.6 and Chapter VI.5)</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Three candidate mechanisms for a guidance failure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route failing its pre-declared criteria does not, by itself, say </w:t>
      </w:r>
      <w:r>
        <w:rPr>
          <w:rFonts w:ascii="Times New Roman" w:hAnsi="Times New Roman" w:eastAsia="Times New Roman"/>
          <w:b w:val="0"/>
          <w:i/>
          <w:sz w:val="24"/>
        </w:rPr>
        <w:t>why</w:t>
      </w:r>
      <w:r>
        <w:rPr>
          <w:rFonts w:ascii="Times New Roman" w:hAnsi="Times New Roman" w:eastAsia="Times New Roman"/>
          <w:b w:val="0"/>
          <w:i w:val="0"/>
          <w:sz w:val="24"/>
        </w:rPr>
        <w:t xml:space="preserve"> it failed, and several of this thesis's methodological choices, the positive control of Chapter VI.5 and the information-content audit of Chapter IV chief among them, were made so that a null result could be read against three candidate mechanisms rather than left unexplained. The three are not mutually exclusive, and a single checkpoint rarely adjudicates all of them at once. </w:t>
      </w:r>
      <w:r>
        <w:rPr>
          <w:rFonts w:ascii="Times New Roman" w:hAnsi="Times New Roman" w:eastAsia="Times New Roman"/>
          <w:b/>
          <w:i w:val="0"/>
          <w:sz w:val="24"/>
        </w:rPr>
        <w:t>F1</w:t>
      </w:r>
      <w:r>
        <w:rPr>
          <w:rFonts w:ascii="Times New Roman" w:hAnsi="Times New Roman" w:eastAsia="Times New Roman"/>
          <w:b w:val="0"/>
          <w:i w:val="0"/>
          <w:sz w:val="24"/>
        </w:rPr>
        <w:t xml:space="preserve">, an uninformative signal: the guidance predictor carries little usable information about the quantity it is meant to steer toward, specifically the true binding interface, so that no mechanism built on it could succeed regardless of how the signal is used. </w:t>
      </w:r>
      <w:r>
        <w:rPr>
          <w:rFonts w:ascii="Times New Roman" w:hAnsi="Times New Roman" w:eastAsia="Times New Roman"/>
          <w:b/>
          <w:i w:val="0"/>
          <w:sz w:val="24"/>
        </w:rPr>
        <w:t>F2</w:t>
      </w:r>
      <w:r>
        <w:rPr>
          <w:rFonts w:ascii="Times New Roman" w:hAnsi="Times New Roman" w:eastAsia="Times New Roman"/>
          <w:b w:val="0"/>
          <w:i w:val="0"/>
          <w:sz w:val="24"/>
        </w:rPr>
        <w:t xml:space="preserve">, a misaligned mechanism: the signal is informative in principle, but the specific way it is turned into guidance, a gradient computed on a clean-data estimate, a particular scale or timing, a top-k selection rule, misapplies it. </w:t>
      </w:r>
      <w:r>
        <w:rPr>
          <w:rFonts w:ascii="Times New Roman" w:hAnsi="Times New Roman" w:eastAsia="Times New Roman"/>
          <w:b/>
          <w:i w:val="0"/>
          <w:sz w:val="24"/>
        </w:rPr>
        <w:t>F3</w:t>
      </w:r>
      <w:r>
        <w:rPr>
          <w:rFonts w:ascii="Times New Roman" w:hAnsi="Times New Roman" w:eastAsia="Times New Roman"/>
          <w:b w:val="0"/>
          <w:i w:val="0"/>
          <w:sz w:val="24"/>
        </w:rPr>
        <w:t>, a gameable objective: the guidance objective can be satisfied in a way that does not correspond to a genuine improvement in the quantity a practitioner cares about, for instance by exploiting a correlate of the evaluation metric, such as molecular size, that a differently shaped objective would not reward. This framework is introduced here because it is used to interpret results throughout the thesis, most directly in Chapter VI.5's positive control, which varies the signal while holding the mechanism fixed, and in Chapter IX.2's synthesis of the evidence for each of the three once every route has reported.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III.1.2</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[34]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[48]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[44]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[59], in which covalent (or covalent-proxy) and non-covalent edges share one message pass and are differentiated by separate MLPs, with the physics-decomposed readout of PIGNet [38]: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[48]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[57];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[57].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A Fuller Information-Content Audit: What Representation Predicts Affinity?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Table 4.4 established that a ligand-only random forest on ECFP4 fingerprints (R² 0.195) did not match the EGNN (0.342). This section asks the same question with a wider and, as it turns out, more damaging set of ligand-only representations, together with every other feature block that could plausibly be swapped in as a guidance signal: pocket-only descriptors, raw and size-normalised contact-count fingerprints (ECIF), and the typed non-covalent interaction counts (PLIP) considered as a guidance representation in Chapter III. All comparisons below use the leakage-safe split of Section IV.4, target-clustered bootstrap confidence intervals (B = 2,000) and Benjamini–Hochberg correction across every pairwise comparison reported together, following the statistical protocol of Section III.6.</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IV.6.1</w:t>
        <w:tab/>
      </w:r>
      <w:r>
        <w:rPr>
          <w:rFonts w:ascii="Times New Roman" w:hAnsi="Times New Roman" w:eastAsia="Times New Roman"/>
          <w:b w:val="0"/>
          <w:i/>
          <w:sz w:val="24"/>
        </w:rPr>
        <w:t>The representation ladder</w:t>
      </w:r>
    </w:p>
    <w:p>
      <w:pPr>
        <w:keepNext w:val="0"/>
        <w:keepLines w:val="0"/>
        <w:widowControl/>
        <w:spacing w:line="480" w:lineRule="auto" w:before="0" w:after="0"/>
        <w:ind w:firstLine="720"/>
        <w:jc w:val="both"/>
      </w:pPr>
      <w:r>
        <w:rPr>
          <w:rFonts w:ascii="Times New Roman" w:hAnsi="Times New Roman" w:eastAsia="Times New Roman"/>
          <w:b w:val="0"/>
          <w:i w:val="0"/>
          <w:sz w:val="24"/>
        </w:rPr>
        <w:t>Table 4.7 reports the held-out R² of eight representation blocks, each paired with the model (ridge regression or a gradient-boosted tree) that performed best on it in a light hyper-parameter search. A 14-descriptor ligand-only block (molecular weight, logP, topological polar surface area, rotatable-bond count and ten related RDKit descriptors, no protein information at all) reaches R² = 0.3531, matching the EGNN's 0.3420 (single seed) and 0.3437 (three-seed mean, SD 0.0377). A single feature, the ligand's heavy-atom count alone, reaches R² = 0.3069, 90% of the structure-aware model's variance explained. A 38-descriptor pocket-only block, with no ligand information and evaluated on unseen targets, reaches R² = 0.2889.</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4.7</w:t>
        <w:tab/>
        <w:t>Representation ladder: held-out R² of each information source (test, 127 target clusters,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539"/>
            <w:shd w:val="clear" w:fill="E7E9EE"/>
          </w:tcPr>
          <w:p>
            <w:pPr>
              <w:keepNext w:val="0"/>
              <w:keepLines w:val="0"/>
              <w:widowControl/>
              <w:spacing w:line="240" w:lineRule="auto" w:before="20" w:after="20"/>
              <w:jc w:val="center"/>
            </w:pPr>
            <w:r>
              <w:rPr>
                <w:rFonts w:ascii="Times New Roman" w:hAnsi="Times New Roman" w:eastAsia="Times New Roman"/>
                <w:b/>
                <w:i w:val="0"/>
                <w:sz w:val="20"/>
              </w:rPr>
              <w:t>Representation block</w:t>
            </w:r>
          </w:p>
        </w:tc>
        <w:tc>
          <w:tcPr>
            <w:tcW w:type="dxa" w:w="758"/>
            <w:shd w:val="clear" w:fill="E7E9EE"/>
          </w:tcPr>
          <w:p>
            <w:pPr>
              <w:keepNext w:val="0"/>
              <w:keepLines w:val="0"/>
              <w:widowControl/>
              <w:spacing w:line="240" w:lineRule="auto" w:before="20" w:after="20"/>
              <w:jc w:val="center"/>
            </w:pPr>
            <w:r>
              <w:rPr>
                <w:rFonts w:ascii="Times New Roman" w:hAnsi="Times New Roman" w:eastAsia="Times New Roman"/>
                <w:b/>
                <w:i w:val="0"/>
                <w:sz w:val="20"/>
              </w:rPr>
              <w:t>Dim.</w:t>
            </w:r>
          </w:p>
        </w:tc>
        <w:tc>
          <w:tcPr>
            <w:tcW w:type="dxa" w:w="1403"/>
            <w:shd w:val="clear" w:fill="E7E9EE"/>
          </w:tcPr>
          <w:p>
            <w:pPr>
              <w:keepNext w:val="0"/>
              <w:keepLines w:val="0"/>
              <w:widowControl/>
              <w:spacing w:line="240" w:lineRule="auto" w:before="20" w:after="20"/>
              <w:jc w:val="center"/>
            </w:pPr>
            <w:r>
              <w:rPr>
                <w:rFonts w:ascii="Times New Roman" w:hAnsi="Times New Roman" w:eastAsia="Times New Roman"/>
                <w:b/>
                <w:i w:val="0"/>
                <w:sz w:val="20"/>
              </w:rPr>
              <w:t>Best model</w:t>
            </w:r>
          </w:p>
        </w:tc>
        <w:tc>
          <w:tcPr>
            <w:tcW w:type="dxa" w:w="2539"/>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1069"/>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Ligand-only (14 RDKit descriptors)</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0.3531</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Heavy-atom count alone</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1</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0.3069</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Pocket-only (38 descriptors, no ligand)</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38</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0.2889</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ECIF, raw contact counts</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varies</w:t>
            </w:r>
          </w:p>
        </w:tc>
        <w:tc>
          <w:tcPr>
            <w:tcW w:type="dxa" w:w="1403"/>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0.3701</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ECIF, size-normalised</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varies</w:t>
            </w:r>
          </w:p>
        </w:tc>
        <w:tc>
          <w:tcPr>
            <w:tcW w:type="dxa" w:w="1403"/>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0.2077</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raw</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403"/>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0.0743</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[−0.093, 0.173]</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size-normalised</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403"/>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0.0822</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[−0.043, 0.173]</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PLIP counts + one size covariate (heavy-atom count)</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5</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0.3241</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[0.167, 0.430]</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Ligand + pocket (both sources combined)</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52</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≈0.35 (tie with ligand alone, see below)</w:t>
            </w:r>
          </w:p>
        </w:tc>
        <w:tc>
          <w:tcPr>
            <w:tcW w:type="dxa" w:w="1069"/>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39"/>
          </w:tcPr>
          <w:p>
            <w:pPr>
              <w:keepNext w:val="0"/>
              <w:keepLines w:val="0"/>
              <w:widowControl/>
              <w:spacing w:line="240" w:lineRule="auto" w:before="20" w:after="20"/>
              <w:jc w:val="left"/>
            </w:pPr>
            <w:r>
              <w:rPr>
                <w:rFonts w:ascii="Times New Roman" w:hAnsi="Times New Roman" w:eastAsia="Times New Roman"/>
                <w:b w:val="0"/>
                <w:i w:val="0"/>
                <w:sz w:val="20"/>
              </w:rPr>
              <w:t>EGNN Stage 0 (three-seed mean)</w:t>
            </w:r>
          </w:p>
        </w:tc>
        <w:tc>
          <w:tcPr>
            <w:tcW w:type="dxa" w:w="758"/>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403"/>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2539"/>
          </w:tcPr>
          <w:p>
            <w:pPr>
              <w:keepNext w:val="0"/>
              <w:keepLines w:val="0"/>
              <w:widowControl/>
              <w:spacing w:line="240" w:lineRule="auto" w:before="20" w:after="20"/>
              <w:jc w:val="center"/>
            </w:pPr>
            <w:r>
              <w:rPr>
                <w:rFonts w:ascii="Times New Roman" w:hAnsi="Times New Roman" w:eastAsia="Times New Roman"/>
                <w:b w:val="0"/>
                <w:i w:val="0"/>
                <w:sz w:val="20"/>
              </w:rPr>
              <w:t>0.3437</w:t>
            </w:r>
          </w:p>
        </w:tc>
        <w:tc>
          <w:tcPr>
            <w:tcW w:type="dxa" w:w="1069"/>
          </w:tcPr>
          <w:p>
            <w:pPr>
              <w:keepNext w:val="0"/>
              <w:keepLines w:val="0"/>
              <w:widowControl/>
              <w:spacing w:line="240" w:lineRule="auto" w:before="20" w:after="20"/>
              <w:jc w:val="left"/>
            </w:pPr>
            <w:r>
              <w:rPr>
                <w:rFonts w:ascii="Times New Roman" w:hAnsi="Times New Roman" w:eastAsia="Times New Roman"/>
                <w:b w:val="0"/>
                <w:i w:val="0"/>
                <w:sz w:val="20"/>
              </w:rPr>
              <w:t>SD 0.0377, n = 3</w:t>
            </w:r>
          </w:p>
        </w:tc>
      </w:tr>
    </w:tbl>
    <w:p>
      <w:pPr>
        <w:keepNext w:val="0"/>
        <w:keepLines w:val="0"/>
        <w:widowControl/>
        <w:spacing w:line="240" w:lineRule="auto" w:before="80" w:after="0"/>
        <w:jc w:val="both"/>
      </w:pPr>
      <w:r>
        <w:rPr>
          <w:rFonts w:ascii="Times New Roman" w:hAnsi="Times New Roman" w:eastAsia="Times New Roman"/>
          <w:b w:val="0"/>
          <w:i w:val="0"/>
          <w:sz w:val="20"/>
        </w:rPr>
        <w:t>Blocks without a listed CI are point estimates from the original representation-ladder run and are compared pairwise, not individually bootstrapped, in the tests below.</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IV.6.2</w:t>
        <w:tab/>
      </w:r>
      <w:r>
        <w:rPr>
          <w:rFonts w:ascii="Times New Roman" w:hAnsi="Times New Roman" w:eastAsia="Times New Roman"/>
          <w:b w:val="0"/>
          <w:i/>
          <w:sz w:val="24"/>
        </w:rPr>
        <w:t>Ligand size, not interaction identity, is the dominant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findings converge. First, combining ligand and pocket information produced no gain over either source alone (ligand+pocket vs. ligand: tie; vs. pocket: tie, after correction), so the two sources are largely redundant rather than complementary on this split. Second, the raw ECIF contact-count fingerprint (0.3701) significantly outperformed its own size-normalised variant (0.2077; ΔR² = +0.1625, q = 0.013), indicating that most of its apparent signal is a re-encoding of ligand size through contact </w:t>
      </w:r>
      <w:r>
        <w:rPr>
          <w:rFonts w:ascii="Times New Roman" w:hAnsi="Times New Roman" w:eastAsia="Times New Roman"/>
          <w:b w:val="0"/>
          <w:i/>
          <w:sz w:val="24"/>
        </w:rPr>
        <w:t>count</w:t>
      </w:r>
      <w:r>
        <w:rPr>
          <w:rFonts w:ascii="Times New Roman" w:hAnsi="Times New Roman" w:eastAsia="Times New Roman"/>
          <w:b w:val="0"/>
          <w:i w:val="0"/>
          <w:sz w:val="24"/>
        </w:rPr>
        <w:t xml:space="preserve"> rather than contact </w:t>
      </w:r>
      <w:r>
        <w:rPr>
          <w:rFonts w:ascii="Times New Roman" w:hAnsi="Times New Roman" w:eastAsia="Times New Roman"/>
          <w:b w:val="0"/>
          <w:i/>
          <w:sz w:val="24"/>
        </w:rPr>
        <w:t>identity</w:t>
      </w:r>
      <w:r>
        <w:rPr>
          <w:rFonts w:ascii="Times New Roman" w:hAnsi="Times New Roman" w:eastAsia="Times New Roman"/>
          <w:b w:val="0"/>
          <w:i w:val="0"/>
          <w:sz w:val="24"/>
        </w:rPr>
        <w:t>; a specific prior claim that a size-normalised interaction fingerprint of this kind should retain the relevant signal (the CORDIAL finding of Brown et al., reviewed in Chapter II) was not supported on this split, since the normalised fingerprint tied with both ligand-only and pocket-only marginals rather than exceeding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Third, and sharper still, the same pattern holds for a representation that is chemically explicit by design rather than only implicitly size-correlated. Four typed non-covalent interaction counts (hydrogen bond, hydrophobic contact, π-stacking and salt bridge, extracted with PLIP and summed per complex, the coarsest possible typed-interaction representation and the one considered for guidance in Chapter III) explain almost no variance on their own (R² 0.07–0.08) and lose significantly to both the ligand-only block (ΔR² = −0.2712, q = 0.003) and the pocket-only block (ΔR² = −0.2066, q = 0.003). Unlike the ECIF pair, the raw and size-normalised PLIP counts did not differ from each other (ΔR² = −0.0080, q = 0.870), so this particular block carries no detectable confound between its raw and normalised forms considered alone; what moves the result is adding a single explicit size covariate (heavy-atom count) to the four interaction counts, which raises R² from 0.0822 to 0.3241 (ΔR² = +0.2419, q &lt; 0.001). A representation built specifically to describe </w:t>
      </w:r>
      <w:r>
        <w:rPr>
          <w:rFonts w:ascii="Times New Roman" w:hAnsi="Times New Roman" w:eastAsia="Times New Roman"/>
          <w:b w:val="0"/>
          <w:i/>
          <w:sz w:val="24"/>
        </w:rPr>
        <w:t>what kind</w:t>
      </w:r>
      <w:r>
        <w:rPr>
          <w:rFonts w:ascii="Times New Roman" w:hAnsi="Times New Roman" w:eastAsia="Times New Roman"/>
          <w:b w:val="0"/>
          <w:i w:val="0"/>
          <w:sz w:val="24"/>
        </w:rPr>
        <w:t xml:space="preserve"> of contact a ligand makes is, on this split, dominated by </w:t>
      </w:r>
      <w:r>
        <w:rPr>
          <w:rFonts w:ascii="Times New Roman" w:hAnsi="Times New Roman" w:eastAsia="Times New Roman"/>
          <w:b w:val="0"/>
          <w:i/>
          <w:sz w:val="24"/>
        </w:rPr>
        <w:t>how big</w:t>
      </w:r>
      <w:r>
        <w:rPr>
          <w:rFonts w:ascii="Times New Roman" w:hAnsi="Times New Roman" w:eastAsia="Times New Roman"/>
          <w:b w:val="0"/>
          <w:i w:val="0"/>
          <w:sz w:val="24"/>
        </w:rPr>
        <w:t xml:space="preserve"> the ligand is to a degree comparable to, and in this instance sharper than, the simpler ECIF count fingerprint.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IV.6.3</w:t>
        <w:tab/>
      </w:r>
      <w:r>
        <w:rPr>
          <w:rFonts w:ascii="Times New Roman" w:hAnsi="Times New Roman" w:eastAsia="Times New Roman"/>
          <w:b w:val="0"/>
          <w:i/>
          <w:sz w:val="24"/>
        </w:rPr>
        <w:t>Structure rarely beats ligand-only, after correction</w:t>
      </w:r>
    </w:p>
    <w:p>
      <w:pPr>
        <w:keepNext w:val="0"/>
        <w:keepLines w:val="0"/>
        <w:widowControl/>
        <w:spacing w:line="480" w:lineRule="auto" w:before="0" w:after="0"/>
        <w:ind w:firstLine="720"/>
        <w:jc w:val="both"/>
      </w:pPr>
      <w:r>
        <w:rPr>
          <w:rFonts w:ascii="Times New Roman" w:hAnsi="Times New Roman" w:eastAsia="Times New Roman"/>
          <w:b w:val="0"/>
          <w:i w:val="0"/>
          <w:sz w:val="24"/>
        </w:rPr>
        <w:t>A systematic pairwise comparison of every representation block against every other, 40 comparisons in total with Benjamini–Hochberg correction, found 12 cases where a structure-aware block significantly outperformed a ligand-only block, 28 ties, and zero cases where a ligand-only block significantly outperformed a structure-aware one. Three nominally significant wins for structure (p = 0.039, 0.044 and 0.049 before correction) did not survive the correction (q = 0.12–0.13) and are reported as ties. This is consistent with, and sharpens, the single comparison of Table 4.4: on a target-disjoint, leakage-safe split, no representation of the binding pocket tested in this thesis, including a chemically typed interaction representation, reliably outperforms a 14-descriptor model of the ligand alone.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IV.7</w:t>
        <w:tab/>
      </w:r>
      <w:r>
        <w:rPr>
          <w:rFonts w:ascii="Times New Roman" w:hAnsi="Times New Roman" w:eastAsia="Times New Roman"/>
          <w:b/>
          <w:i w:val="0"/>
          <w:sz w:val="24"/>
        </w:rPr>
        <w:t>Does More Training Data Close the Gap? Augmenting with BindingNet</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 examined so far was trained only on CrossDocked2020. A separate question is whether its ceiling is a property of the architecture and representation, which the previous section addresses, or simply of training-set size and diversity. BindingNet is a larger, structurally paired affinity data set; this section reports a dedicated training-data-composition study (Arms 0, B, A and C) that augments the CrossDocked training pool with BindingNet rows and asks whether the resulting predictor closes the distance to the ligand-only ceiling (0.3531) or exceeds the class-level prior established in Section IV.8.</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IV.7.1</w:t>
        <w:tab/>
      </w:r>
      <w:r>
        <w:rPr>
          <w:rFonts w:ascii="Times New Roman" w:hAnsi="Times New Roman" w:eastAsia="Times New Roman"/>
          <w:b w:val="0"/>
          <w:i/>
          <w:sz w:val="24"/>
        </w:rPr>
        <w:t>A compound-level leak, found and removed before it could inflate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Before the production arms were run, a compound-level leakage audit of the combined CrossDocked–BindingNet pool found that 423 of 124,973 candidate training rows (0.34%) shared a ligand, by exact structure match, with a row in the validation or test partition. Measured the other way, the affected ligands accounted for 10.12% of evaluation records (1,814 of 17,924) and 8.6% of distinct validation/test ligands, a thirty-fold difference between the two ways of expressing the same leak that illustrates why a leakage audit must be read from the evaluation side, not only from the training side, to judge its practical severity. A seed-by-seed replay of the exact sampling used for an earlier exploratory run (Arm B, seed 2021) found actual per-seed exposure of 3.06–4.65% of evaluation records across three seeds. A filter was built and applied before any production arm was trained, removing the 423 rows (123 distinct compounds) and is enforced in code, not only upstream in a cached file, by `train_surrogate_arm.py`'s `compound_filter=True` default, which raises explicitly if its reference summary file is missing.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IV.7.2</w:t>
        <w:tab/>
      </w:r>
      <w:r>
        <w:rPr>
          <w:rFonts w:ascii="Times New Roman" w:hAnsi="Times New Roman" w:eastAsia="Times New Roman"/>
          <w:b w:val="0"/>
          <w:i/>
          <w:sz w:val="24"/>
        </w:rPr>
        <w:t>Arm A versus Arm C: pure CrossDocked outperforms BindingNet augmentation at matched size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arms, each with three seeds, were trained under the batch-size-1, no-mixed-precision regime validated in Section III.7 (an earlier batch-size-4, mixed-precision configuration was rejected at an explicit quality gate, Section III.7.2, because of oscillating validation R² and markedly worse final quality). Arm A trained on 20,000 CrossDocked rows only. Arm C trained on the production composition (6,000 CrossDocked plus 14,000 BindingNet rows, matched to the total row count of Arm A) drawn from the leakage-filtered pool. Table 4.8 reports the result, alongside the earlier Arm B-match run (the same composition as Arm C, but from the pool </w:t>
      </w:r>
      <w:r>
        <w:rPr>
          <w:rFonts w:ascii="Times New Roman" w:hAnsi="Times New Roman" w:eastAsia="Times New Roman"/>
          <w:b w:val="0"/>
          <w:i/>
          <w:sz w:val="24"/>
        </w:rPr>
        <w:t>before</w:t>
      </w:r>
      <w:r>
        <w:rPr>
          <w:rFonts w:ascii="Times New Roman" w:hAnsi="Times New Roman" w:eastAsia="Times New Roman"/>
          <w:b w:val="0"/>
          <w:i w:val="0"/>
          <w:sz w:val="24"/>
        </w:rPr>
        <w:t xml:space="preserve"> the compound filter existed, included as a check of the filter's practical effect).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4.8</w:t>
        <w:tab/>
        <w:t>Surrogate predictor, training-data composition (3 seeds per arm, validation R²,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Arm</w:t>
            </w:r>
          </w:p>
        </w:tc>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Composition</w:t>
            </w:r>
          </w:p>
        </w:tc>
        <w:tc>
          <w:tcPr>
            <w:tcW w:type="dxa" w:w="1342"/>
            <w:shd w:val="clear" w:fill="E7E9EE"/>
          </w:tcPr>
          <w:p>
            <w:pPr>
              <w:keepNext w:val="0"/>
              <w:keepLines w:val="0"/>
              <w:widowControl/>
              <w:spacing w:line="240" w:lineRule="auto" w:before="20" w:after="20"/>
              <w:jc w:val="center"/>
            </w:pPr>
            <w:r>
              <w:rPr>
                <w:rFonts w:ascii="Times New Roman" w:hAnsi="Times New Roman" w:eastAsia="Times New Roman"/>
                <w:b/>
                <w:i w:val="0"/>
                <w:sz w:val="20"/>
              </w:rPr>
              <w:t>Seed R² values</w:t>
            </w:r>
          </w:p>
        </w:tc>
        <w:tc>
          <w:tcPr>
            <w:tcW w:type="dxa" w:w="75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w:t>
            </w:r>
          </w:p>
        </w:tc>
        <w:tc>
          <w:tcPr>
            <w:tcW w:type="dxa" w:w="847"/>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A</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20,000 rows, CrossDocked only</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0.351, 0.344, 0.391</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0.362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[0.299, 0.425]</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leakage-filtered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0.271, 0.292, 0.253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[0.224, 0.320]</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B-match (pre-filter pool, same composition as 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unfiltered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0.298, 0.254, 0.283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0.278</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[0.223, 0.334]</w:t>
            </w:r>
          </w:p>
        </w:tc>
      </w:tr>
    </w:tbl>
    <w:p>
      <w:pPr>
        <w:keepNext w:val="0"/>
        <w:keepLines w:val="0"/>
        <w:widowControl/>
        <w:spacing w:line="240" w:lineRule="auto" w:before="80" w:after="0"/>
        <w:jc w:val="both"/>
      </w:pPr>
      <w:r>
        <w:rPr>
          <w:rFonts w:ascii="Times New Roman" w:hAnsi="Times New Roman" w:eastAsia="Times New Roman"/>
          <w:b w:val="0"/>
          <w:i w:val="0"/>
          <w:sz w:val="20"/>
        </w:rPr>
        <w:t>Comparisons across arms are descriptive (per-arm point estimate and marginal bootstrap CI, n = 3 seeds); a formal target-clustered paired test on matched evaluation rows was not run and would be needed before a significance claim is made.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follow, both stated with the appropriate caveat. First, Arm A's CI95 [0.299, 0.425] comes close to, but does not clearly exceed, the ligand-only ceiling of 0.3531; Arm C's CI95 [0.224, 0.320] does not reach the ligand-only ceiling at all, and its lower bound sits below the point estimate of the class-level prior established in the next section (0.2468), so Arm C cannot be confidently distinguished from a predictor that has learned no more than the typical affinity of a target's protein class. Augmenting the training pool with BindingNet rows, even after removing the compound-level leak, did not close the distance to the ligand-only ceiling at the row counts tested here, and the pure-CrossDocked arm of matched total size performed descriptively better. Second, the compound-level filter itself had little visible effect once applied (Arm C 0.272 against the unfiltered Arm B-match's 0.278, heavily overlapping CIs): the leak identified above does not appear to have been propping up the earlier Arm B result by a large margin, which is a reassuring, if secondary, methodological finding, even though removing the leak remained the correct decision on principle regardless of its measured impact.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IV.8</w:t>
        <w:tab/>
      </w:r>
      <w:r>
        <w:rPr>
          <w:rFonts w:ascii="Times New Roman" w:hAnsi="Times New Roman" w:eastAsia="Times New Roman"/>
          <w:b/>
          <w:i w:val="0"/>
          <w:sz w:val="24"/>
        </w:rPr>
        <w:t>How Much of the Predictor's Performance Is a Class-Level Prior?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model can appear to read a protein target's binding pocket while, in fact, reading only the target's class membership: a ligand's chemotype can correlate with the typical affinity range of the protein family it was designed against, without the model having learned anything about structure–activity relationships within that target. y-Randomisation, a standard QSAR control against chance correlation [42], was adapted here to isolate this effect specifically: labels are permuted </w:t>
      </w:r>
      <w:r>
        <w:rPr>
          <w:rFonts w:ascii="Times New Roman" w:hAnsi="Times New Roman" w:eastAsia="Times New Roman"/>
          <w:b w:val="0"/>
          <w:i/>
          <w:sz w:val="24"/>
        </w:rPr>
        <w:t>within</w:t>
      </w:r>
      <w:r>
        <w:rPr>
          <w:rFonts w:ascii="Times New Roman" w:hAnsi="Times New Roman" w:eastAsia="Times New Roman"/>
          <w:b w:val="0"/>
          <w:i w:val="0"/>
          <w:sz w:val="24"/>
        </w:rPr>
        <w:t xml:space="preserve"> each target, so the per-target label multiset (and with it, the target's typical affinity range) is preserved, while which ligand carries which label is destroyed. A model that still performs well under this control is reading class membership, not within-target structure–activity relationship.</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IV.8.1</w:t>
        <w:tab/>
      </w:r>
      <w:r>
        <w:rPr>
          <w:rFonts w:ascii="Times New Roman" w:hAnsi="Times New Roman" w:eastAsia="Times New Roman"/>
          <w:b w:val="0"/>
          <w:i/>
          <w:sz w:val="24"/>
        </w:rPr>
        <w:t>Two baselines under within-target permutation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global permutation, which destroys all structure in the labels, served as a first check: the 14-descriptor ligand-only ridge reached a mean R² of only 0.0037 (max 0.0141) under 20 global permutations, far below its real-label performance of 0.3531, confirming that the real-label result is not an artefact of an overly flexible 14-feature model. Under within-target permutation, however, the same ridge model reached R² = 0.2468 (SD 0.0019 across 20 permutations): </w:t>
      </w:r>
      <w:r>
        <w:rPr>
          <w:rFonts w:ascii="Times New Roman" w:hAnsi="Times New Roman" w:eastAsia="Times New Roman"/>
          <w:b/>
          <w:i w:val="0"/>
          <w:sz w:val="24"/>
        </w:rPr>
        <w:t>70% of its real-label performance is reproducible with no within-target signal at all.</w:t>
      </w:r>
      <w:r>
        <w:rPr>
          <w:rFonts w:ascii="Times New Roman" w:hAnsi="Times New Roman" w:eastAsia="Times New Roman"/>
          <w:b w:val="0"/>
          <w:i w:val="0"/>
          <w:sz w:val="24"/>
        </w:rPr>
        <w:t xml:space="preserve"> The same control was then run on the deployed EGNN architecture itself, not only on the descriptor pipeline, by retraining it under its exact Stage 0 hyperparameters and split with training labels permuted within target: it reached R² = 0.307 (Pearson 0.560), compared with 0.342 (Pearson 0.609) for the same architecture trained on real labels. </w:t>
      </w:r>
      <w:r>
        <w:rPr>
          <w:rFonts w:ascii="Times New Roman" w:hAnsi="Times New Roman" w:eastAsia="Times New Roman"/>
          <w:b/>
          <w:i w:val="0"/>
          <w:sz w:val="24"/>
        </w:rPr>
        <w:t>The EGNN reproduces 90% of its own real-label performance (0.307 / 0.342) without any within-target structure–activity signal</w:t>
      </w:r>
      <w:r>
        <w:rPr>
          <w:rFonts w:ascii="Times New Roman" w:hAnsi="Times New Roman" w:eastAsia="Times New Roman"/>
          <w:b w:val="0"/>
          <w:i w:val="0"/>
          <w:sz w:val="24"/>
        </w:rPr>
        <w:t>, a larger fraction than the descriptor baseline's 70%, and by a more direct mechanism: the architecture reads 3-D target geometry at the input, so it can recognise which target it is looking at without needing the indirect chemotype correlation that supplies the descriptor model's class prior.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IV.8.2</w:t>
        <w:tab/>
      </w:r>
      <w:r>
        <w:rPr>
          <w:rFonts w:ascii="Times New Roman" w:hAnsi="Times New Roman" w:eastAsia="Times New Roman"/>
          <w:b w:val="0"/>
          <w:i/>
          <w:sz w:val="24"/>
        </w:rPr>
        <w:t>Consequence: a variance decomposition and a narrower window than it first appears</w:t>
      </w:r>
    </w:p>
    <w:p>
      <w:pPr>
        <w:keepNext w:val="0"/>
        <w:keepLines w:val="0"/>
        <w:widowControl/>
        <w:spacing w:line="480" w:lineRule="auto" w:before="0" w:after="0"/>
        <w:ind w:firstLine="720"/>
        <w:jc w:val="both"/>
      </w:pPr>
      <w:r>
        <w:rPr>
          <w:rFonts w:ascii="Times New Roman" w:hAnsi="Times New Roman" w:eastAsia="Times New Roman"/>
          <w:b w:val="0"/>
          <w:i w:val="0"/>
          <w:sz w:val="24"/>
        </w:rPr>
        <w:t>Table 4.9 assembles the resulting decomposition, using the descriptor pipeline (for which both the chance floor and the class-level prior could be measured without a second GPU retraining) as the reference scale, together with an independently estimated label-noise ceiling (R² ≈ 0.578, from a repeat-measurement correlation of 0.76 reported for this assay class in the literature reviewed in Chapter II).</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4.9</w:t>
        <w:tab/>
        <w:t>Variance decomposition of apparent predictive performance</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385"/>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3924"/>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Chance (labels globally permuted)</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0.0037</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Class-level prior (labels permuted within target)</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0.2468</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Ligand-only ceiling (real labels, 14 descriptors)</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0.3531</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Label-noise ceiling (estimated from repeat-measurement correlation)</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0.5776</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Signal available beyond the class prior (0.3531 − 0.2468)</w:t>
            </w:r>
          </w:p>
        </w:tc>
        <w:tc>
          <w:tcPr>
            <w:tcW w:type="dxa" w:w="3924"/>
          </w:tcPr>
          <w:p>
            <w:pPr>
              <w:keepNext w:val="0"/>
              <w:keepLines w:val="0"/>
              <w:widowControl/>
              <w:spacing w:line="240" w:lineRule="auto" w:before="20" w:after="20"/>
              <w:jc w:val="left"/>
            </w:pPr>
            <w:r>
              <w:rPr>
                <w:rFonts w:ascii="Times New Roman" w:hAnsi="Times New Roman" w:eastAsia="Times New Roman"/>
                <w:b w:val="0"/>
                <w:i w:val="0"/>
                <w:sz w:val="20"/>
              </w:rPr>
              <w:t>0.3308 under best known conditions</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Read from the correct zero point, that is, from the class-level prior rather than from R² = 0, the structure-aware ensemble of Chapter III's uncertainty suite accounts for 48.5% of the remaining headroom above the class prior, a 14-descriptor ligand-only ridge for 32.1%, and the original Vina docking score for only 4.0%. The window within which any of these models' true performance can be distinguished, however, is itself narrow: the gap between the floor (the ligand-only ceiling, 0.3531) and the label-noise ceiling (0.5776) spans only 0.2245 R², which is narrower than the average width of a single target-clustered bootstrap confidence interval measured for this task (0.3871; ratio 0.58). A single comparison reporting a gain of 0.02–0.05 R² against a similarly sized benchmark, a magnitude common in the literature reviewed in Chapter II, cannot in principle resolve where within this window a model sits. This same ceiling is why the argument made earlier in this thesis, that the Stage 0 predictor's moderate correlation (Pearson 0.58–0.65) rules out a trivial explanation for the guidance failures of Chapters V to VII, needs qualification: a model with no protein input at all reaches a comparable correlation by the class-prior route alone, so correlation magnitude on its own does not establish that the predictor has learned pocket-specific structure–activity relationships. This qualification is returned to in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underlying this entire decomposition are themselves heterogeneous: 37% Kd, 37% IC50 and 26% Ki measurements, and this composition shifts between splits (41% Kd / 33% IC50 in training against 46% IC50 / 26% Kd in test), with IC50 the most assay-condition-dependent of the three and over-represented in the test partition. This is disclosed as a further source of irreducible variance contributing to the label-noise ceiling above, not as a new finding.</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IV.9</w:t>
        <w:tab/>
      </w:r>
      <w:r>
        <w:rPr>
          <w:rFonts w:ascii="Times New Roman" w:hAnsi="Times New Roman" w:eastAsia="Times New Roman"/>
          <w:b/>
          <w:i w:val="0"/>
          <w:sz w:val="24"/>
        </w:rPr>
        <w:t>Where Does the Predictor Fail? Activity Cliffs, Matched Pairs and Protein Families</w:t>
      </w:r>
    </w:p>
    <w:p>
      <w:pPr>
        <w:keepNext w:val="0"/>
        <w:keepLines w:val="0"/>
        <w:widowControl/>
        <w:spacing w:line="480" w:lineRule="auto" w:before="0" w:after="0"/>
        <w:ind w:firstLine="720"/>
        <w:jc w:val="both"/>
      </w:pPr>
      <w:r>
        <w:rPr>
          <w:rFonts w:ascii="Times New Roman" w:hAnsi="Times New Roman" w:eastAsia="Times New Roman"/>
          <w:b w:val="0"/>
          <w:i w:val="0"/>
          <w:sz w:val="24"/>
        </w:rPr>
        <w:t>The sections above describe what the predictor reads on average. This section asks where it fails specifically, using three standard diagnostics from the QSAR literature that none of this project's earlier chapters had applied: activity cliffs, matched molecular pairs and stratification by protein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IV.9.1</w:t>
        <w:tab/>
      </w:r>
      <w:r>
        <w:rPr>
          <w:rFonts w:ascii="Times New Roman" w:hAnsi="Times New Roman" w:eastAsia="Times New Roman"/>
          <w:b w:val="0"/>
          <w:i/>
          <w:sz w:val="24"/>
        </w:rPr>
        <w:t>Activity cliffs</w:t>
      </w:r>
    </w:p>
    <w:p>
      <w:pPr>
        <w:keepNext w:val="0"/>
        <w:keepLines w:val="0"/>
        <w:widowControl/>
        <w:spacing w:line="480" w:lineRule="auto" w:before="0" w:after="0"/>
        <w:ind w:firstLine="720"/>
        <w:jc w:val="both"/>
      </w:pPr>
      <w:r>
        <w:rPr>
          <w:rFonts w:ascii="Times New Roman" w:hAnsi="Times New Roman" w:eastAsia="Times New Roman"/>
          <w:b w:val="0"/>
          <w:i w:val="0"/>
          <w:sz w:val="24"/>
        </w:rPr>
        <w:t>Following the convention of the MoleculeACE benchmark [51] (ECFP4 Tanimoto similarity ≥ 0.9, |Δ log-affinity| ≥ 1.0, computed within target only, since the leakage-safe split is target-disjoint and cross-target pairs are not meaningful here), 2,856 activity-cliff pairs were found among 4,050,366 within-target pairs checked across the 11,855 test ligands and 127 test targets, involving 344 distinct compounds (2.9% of the test set). On this cliff stratum, the ligand-only model's R² (0.3611) nominally exceeded the structure-aware model's (0.2904), the pattern reported for a comparable benchmark in the literature [51], but the paired, target-clustered difference (ΔR² = −0.0708, 95% CI [−0.428, 0.065]) did not exclude zero (p = 0.285) and is not reported as a significant finding; on the much larger non-cliff stratum (11,511 pairs' worth of ligands, 126 targets), the structure-aware model's nominal advantage (ΔR² = +0.0594) was likewise not significant (95% CI [−0.032, 0.150]). Neither stratum resolves a winner at this sample size; the honest reading is that activity cliffs do not provide additional evidence either way beyond the aggregate comparison of Section IV.8.3.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IV.9.2</w:t>
        <w:tab/>
      </w:r>
      <w:r>
        <w:rPr>
          <w:rFonts w:ascii="Times New Roman" w:hAnsi="Times New Roman" w:eastAsia="Times New Roman"/>
          <w:b w:val="0"/>
          <w:i/>
          <w:sz w:val="24"/>
        </w:rPr>
        <w:t>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Single-cut matched-molecular-pair fragmentation (the standard Hussain–Rea algorithm, applied within target only, requiring the shared core to be at least 60% of molecular weight) found 183 matched series, 375 pairs, 360 with a non-zero affinity difference. Sign agreement with the true direction of the affinity change, the most local and in principle the easiest structure–activity signal a model could capture [30], was 0.461 for the structure-aware ensemble and 0.483 for the ligand-only ridge, both at or below the 0.5 expected by chance (95% CI [0.399, 0.535] and [0.391, 0.596] respectively, both including 0.5). A paired bootstrap of the difference between the two models on the identical pairs (−0.0222, 95% CI [−0.102, 0.043], p = 0.551) found no significant difference between them. Neither model reliably predicts the direction of the simplest, most local structure–activity relationship this thesis tested, a finding consistent with, and more severe than, the class-prior decomposition of Section IV.8: performance across this project's predictors does not appear to derive from structure–activity capture even at the most local level achievable.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IV.9.3</w:t>
        <w:tab/>
      </w:r>
      <w:r>
        <w:rPr>
          <w:rFonts w:ascii="Times New Roman" w:hAnsi="Times New Roman" w:eastAsia="Times New Roman"/>
          <w:b w:val="0"/>
          <w:i/>
          <w:sz w:val="24"/>
        </w:rPr>
        <w:t>Protein-family stratification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Stratifying the same ligand-only-versus-structure comparison by protein family (Pfam annotation, available for all 127 test targets) found only two of ten family strata with the ten-target-cluster minimum this thesis requires before reporting a verdict: the kinase family PF00069 (11 targets, 3,306 ligands) and a combined "other family" stratum (83 targets, 6,751 ligands); the remaining seven families (3–7 targets each) are marked underpowered rather than given a verdict, because their point estimates varied wildly (one early draft of this analysis printed a spurious ΔR² of +5.8 × 10¹⁶ for a six-row family whose local label variance was close to, but not exactly, zero, a bug fixed with an explicit relative-variance guard before any result was reported from it). Within the two powered strata, neither showed a significant structure-versus-ligand-only difference after correction (kinase: ΔR² = +0.0747, 95% CI [−0.264, 0.365], q = 0.652; other families combined: ΔR² = +0.0459, 95% CI [−0.068, 0.154], q = 0.652). Even within the single largest, practically most consequential family tested, kinases, structure-aware prediction does not significantly outperform a ligand-only baseline, consistent with the aggregate finding of Section IV.8.3 holding down to the family level where it can be tested at all.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IV.10</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Four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weak ligand-only baseline (0.20). This margin did not survive a fuller audit: against a stronger 14-descriptor ligand-only model, the structure-aware predictor is statistically indistinguishable (0.3531 against 0.3420–0.3437), and no representation of the pocket tested in this thesis, including a chemically typed interaction representation, reliably beat ligand-only after correction for multiple comparisons. Second, the size shortcut identified early in this chapter (correlation 0.72 with heavy-atom count) generalises: it reappears, in a sharper form, in a chemically explicit interaction representation, where adding one size covariate to four typed interaction counts more than quadruples the explained variance. Third, 70% (descriptor pipeline) to 90% (the deployed EGNN itself) of the predictor's apparent performance is reproducible from a class-level prior alone, under a within-target label permutation that destroys all genuine structure–activity relationship; what remains after removing this prior is a narrow window, smaller than a single confidence interval on this task, and neither activity cliffs nor matched molecular pairs nor the largest single protein family tested provide evidence that any predictor in this thesis captures local structure–activity relationship within it. A dedicated attempt to close this gap by augmenting training data with a larger external affinity data set (BindingNet) did not succeed at matched training-set size, after a compound-level leak in the combined pool was found and removed. Fourth,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Three questions followed: whether a differently constructed predictor or a differently constructed guidance mechanism could recover a signal (Chapter V), whether the same predictor used without a gradient, as a ranker of finished molecules, would do better (Chapter VI), and, once both of those also failed, whether the failure traced to the signal or the mechanism, a question Chapter VI.5 answers directly with a positive control built from a genuine, non-surrogate affinity signal.</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[59] with hidden size 256, which produce an embedding for each protein and ligand atom. The output is the sum of pairwise energy terms between all ligand and protein atoms, as in PIGNet2 [38]: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VI.5</w:t>
        <w:tab/>
      </w:r>
      <w:r>
        <w:rPr>
          <w:rFonts w:ascii="Times New Roman" w:hAnsi="Times New Roman" w:eastAsia="Times New Roman"/>
          <w:b/>
          <w:i w:val="0"/>
          <w:sz w:val="24"/>
        </w:rPr>
        <w:t>A Positive Control: Reranking by a Genuine, Non-Surrogate Affinity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Everything in this chapter so far has used the Stage 0 EGNN of Chapter IV as the ranker. A question left open at the end of Section VI.4 is whether the Track C failure and the Chapter V gradient failure share a common cause, a predictor that does not read pocket-specific interaction, or whether failure is simply what any selection-based or gradient-based mechanism produces on this generator regardless of the quality of the signal supplied to it. Neither of the two mechanisms examined so far ever varied the </w:t>
      </w:r>
      <w:r>
        <w:rPr>
          <w:rFonts w:ascii="Times New Roman" w:hAnsi="Times New Roman" w:eastAsia="Times New Roman"/>
          <w:b w:val="0"/>
          <w:i/>
          <w:sz w:val="24"/>
        </w:rPr>
        <w:t>signal</w:t>
      </w:r>
      <w:r>
        <w:rPr>
          <w:rFonts w:ascii="Times New Roman" w:hAnsi="Times New Roman" w:eastAsia="Times New Roman"/>
          <w:b w:val="0"/>
          <w:i w:val="0"/>
          <w:sz w:val="24"/>
        </w:rPr>
        <w:t xml:space="preserve"> independently of the </w:t>
      </w:r>
      <w:r>
        <w:rPr>
          <w:rFonts w:ascii="Times New Roman" w:hAnsi="Times New Roman" w:eastAsia="Times New Roman"/>
          <w:b w:val="0"/>
          <w:i/>
          <w:sz w:val="24"/>
        </w:rPr>
        <w:t>mechanism</w:t>
      </w:r>
      <w:r>
        <w:rPr>
          <w:rFonts w:ascii="Times New Roman" w:hAnsi="Times New Roman" w:eastAsia="Times New Roman"/>
          <w:b w:val="0"/>
          <w:i w:val="0"/>
          <w:sz w:val="24"/>
        </w:rPr>
        <w:t>: both Chapter V and this chapter, up to this point, supplied only the same trained EGNN. This section removes that confound directly, by replacing the EGNN ranker with AutoDock Vina itself, applied to the identical generator, the identical 20-pocket, 3-seed set used for the baseline and affinity-guided ablations of Section IV.5, and evaluated by the identical independent docking pass used throughout this chapter and Chapter IV. Vina was never trained on this project's pK labels, supplies no gradient, and is a genuine, zero-shot measure of pose quality rather than a learned surrogate.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VI.5.1</w:t>
        <w:tab/>
      </w:r>
      <w:r>
        <w:rPr>
          <w:rFonts w:ascii="Times New Roman" w:hAnsi="Times New Roman" w:eastAsia="Times New Roman"/>
          <w:b w:val="0"/>
          <w:i/>
          <w:sz w:val="24"/>
        </w:rPr>
        <w:t>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each of the 60 pocket–seed trials, an unguided pool was oversampled at twice the usual yield (K = 2), reconstructed, and scored once with Vina's </w:t>
      </w:r>
      <w:r>
        <w:rPr>
          <w:rFonts w:ascii="Times New Roman" w:hAnsi="Times New Roman" w:eastAsia="Times New Roman"/>
          <w:b w:val="0"/>
          <w:i/>
          <w:sz w:val="24"/>
        </w:rPr>
        <w:t>score_only</w:t>
      </w:r>
      <w:r>
        <w:rPr>
          <w:rFonts w:ascii="Times New Roman" w:hAnsi="Times New Roman" w:eastAsia="Times New Roman"/>
          <w:b w:val="0"/>
          <w:i w:val="0"/>
          <w:sz w:val="24"/>
        </w:rPr>
        <w:t xml:space="preserve"> mode, which has no conformational search and runs in about 0.57 s per molecule. The better-scoring half of each pool was kept. The kept molecules were then evaluated by an independent, full Vina </w:t>
      </w:r>
      <w:r>
        <w:rPr>
          <w:rFonts w:ascii="Times New Roman" w:hAnsi="Times New Roman" w:eastAsia="Times New Roman"/>
          <w:b w:val="0"/>
          <w:i/>
          <w:sz w:val="24"/>
        </w:rPr>
        <w:t>dock</w:t>
      </w:r>
      <w:r>
        <w:rPr>
          <w:rFonts w:ascii="Times New Roman" w:hAnsi="Times New Roman" w:eastAsia="Times New Roman"/>
          <w:b w:val="0"/>
          <w:i w:val="0"/>
          <w:sz w:val="24"/>
        </w:rPr>
        <w:t xml:space="preserve"> pass (exhaustiveness 16, identical settings to the baseline and affinity-only conditions of Section IV.5). The number that decides which molecules survive selection (the cheap score-only pass) is therefore never the number later reported as the result (the independent dock pass); this separation is what keeps the comparison non-circular, since a selection criterion and its own evaluation metric being the same quantity would make an improvement definitional rather than informative. A 6-pocket pilot, stratified by the measured per-pocket wall time of the existing 20-pocket runs, was run first; because the pilot and the full run share an output directory and this project's DONE-marker resumability (Section III.7), the pilot's results were reused, not recomputed, when the run was extended to the full 60 trials.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Table 6.2 reports the outcome. Reranked molecules reached a significantly better independently computed Vina Dock score than the unguided baseline: −8.068 ± 2.660 kcal/mol against −6.813 ± 10.079 (n = 600 reranked, 597 baseline molecules across the 20 pockets; Wilcoxon, paired by pocket, p = 1.9 × 10⁻⁶; Mann–Whitney p = 3.1 × 10⁻¹⁰). A target-clustered bootstrap of the per-pocket delta (B = 2,000) gave −1.267 kcal/mol, 95% CI [−2.149, −0.740], excluding zero.</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6.2</w:t>
        <w:tab/>
        <w:t>Reranking by a genuine Vina signal versus the unguided baseline, 20 pockets × 3 seeds (n = 597 baseline, 600 reranked molecules)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486"/>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981"/>
            <w:shd w:val="clear" w:fill="E7E9EE"/>
          </w:tcPr>
          <w:p>
            <w:pPr>
              <w:keepNext w:val="0"/>
              <w:keepLines w:val="0"/>
              <w:widowControl/>
              <w:spacing w:line="240" w:lineRule="auto" w:before="20" w:after="20"/>
              <w:jc w:val="center"/>
            </w:pPr>
            <w:r>
              <w:rPr>
                <w:rFonts w:ascii="Times New Roman" w:hAnsi="Times New Roman" w:eastAsia="Times New Roman"/>
                <w:b/>
                <w:i w:val="0"/>
                <w:sz w:val="20"/>
              </w:rPr>
              <w:t>Baseline</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Vina-reranked</w:t>
            </w:r>
          </w:p>
        </w:tc>
        <w:tc>
          <w:tcPr>
            <w:tcW w:type="dxa" w:w="176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178"/>
            <w:shd w:val="clear" w:fill="E7E9EE"/>
          </w:tcPr>
          <w:p>
            <w:pPr>
              <w:keepNext w:val="0"/>
              <w:keepLines w:val="0"/>
              <w:widowControl/>
              <w:spacing w:line="240" w:lineRule="auto" w:before="20" w:after="20"/>
              <w:jc w:val="center"/>
            </w:pPr>
            <w:r>
              <w:rPr>
                <w:rFonts w:ascii="Times New Roman" w:hAnsi="Times New Roman" w:eastAsia="Times New Roman"/>
                <w:b/>
                <w:i w:val="0"/>
                <w:sz w:val="20"/>
              </w:rPr>
              <w:t>p</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−8.068 ± 2.660</w:t>
            </w:r>
          </w:p>
        </w:tc>
        <w:tc>
          <w:tcPr>
            <w:tcW w:type="dxa" w:w="1766"/>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1.9 × 10⁻⁶</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Per-pocket delta (target-clustered bootstrap, B = 2,000)</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897"/>
          </w:tcPr>
          <w:p>
            <w:pPr>
              <w:keepNext w:val="0"/>
              <w:keepLines w:val="0"/>
              <w:widowControl/>
              <w:spacing w:line="240" w:lineRule="auto" w:before="20" w:after="20"/>
              <w:jc w:val="left"/>
            </w:pPr>
            <w:r>
              <w:rPr>
                <w:rFonts w:ascii="Times New Roman" w:hAnsi="Times New Roman" w:eastAsia="Times New Roman"/>
                <w:b w:val="0"/>
                <w:i w:val="0"/>
                <w:sz w:val="20"/>
              </w:rPr>
              <w:t>−1.267, 95% CI [−2.149, −0.740]</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excludes zero</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0.601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0.572</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KS</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8.2 × 10⁻⁵</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0.435</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0.353</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KS</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2.67 × 10⁻⁵</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0.449</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KS</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0.154</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Ligand efficiency (kcal/mol per heavy atom)</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−0.340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−0.369</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KS</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0.756</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0.582</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178"/>
          </w:tcPr>
          <w:p>
            <w:pPr>
              <w:keepNext w:val="0"/>
              <w:keepLines w:val="0"/>
              <w:widowControl/>
              <w:spacing w:line="240" w:lineRule="auto" w:before="20" w:after="20"/>
              <w:jc w:val="left"/>
            </w:pPr>
            <w:r>
              <w:rPr>
                <w:rFonts w:ascii="Times New Roman" w:hAnsi="Times New Roman" w:eastAsia="Times New Roman"/>
                <w:b w:val="0"/>
                <w:i w:val="0"/>
                <w:sz w:val="20"/>
              </w:rPr>
              <w:t>held, did not fall</w:t>
            </w:r>
          </w:p>
        </w:tc>
      </w:tr>
      <w:tr>
        <w:trPr>
          <w:cantSplit/>
        </w:trPr>
        <w:tc>
          <w:tcPr>
            <w:tcW w:type="dxa" w:w="2486"/>
          </w:tcPr>
          <w:p>
            <w:pPr>
              <w:keepNext w:val="0"/>
              <w:keepLines w:val="0"/>
              <w:widowControl/>
              <w:spacing w:line="240" w:lineRule="auto" w:before="20" w:after="20"/>
              <w:jc w:val="left"/>
            </w:pPr>
            <w:r>
              <w:rPr>
                <w:rFonts w:ascii="Times New Roman" w:hAnsi="Times New Roman" w:eastAsia="Times New Roman"/>
                <w:b w:val="0"/>
                <w:i w:val="0"/>
                <w:sz w:val="20"/>
              </w:rPr>
              <w:t>Heavy atoms</w:t>
            </w:r>
          </w:p>
        </w:tc>
        <w:tc>
          <w:tcPr>
            <w:tcW w:type="dxa" w:w="981"/>
          </w:tcPr>
          <w:p>
            <w:pPr>
              <w:keepNext w:val="0"/>
              <w:keepLines w:val="0"/>
              <w:widowControl/>
              <w:spacing w:line="240" w:lineRule="auto" w:before="20" w:after="20"/>
              <w:jc w:val="center"/>
            </w:pPr>
            <w:r>
              <w:rPr>
                <w:rFonts w:ascii="Times New Roman" w:hAnsi="Times New Roman" w:eastAsia="Times New Roman"/>
                <w:b w:val="0"/>
                <w:i w:val="0"/>
                <w:sz w:val="20"/>
              </w:rPr>
              <w:t>21.32 ± 9.06</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23.09 ± 8.36</w:t>
            </w:r>
          </w:p>
        </w:tc>
        <w:tc>
          <w:tcPr>
            <w:tcW w:type="dxa" w:w="1766"/>
          </w:tcPr>
          <w:p>
            <w:pPr>
              <w:keepNext w:val="0"/>
              <w:keepLines w:val="0"/>
              <w:widowControl/>
              <w:spacing w:line="240" w:lineRule="auto" w:before="20" w:after="20"/>
              <w:jc w:val="center"/>
            </w:pPr>
            <w:r>
              <w:rPr>
                <w:rFonts w:ascii="Times New Roman" w:hAnsi="Times New Roman" w:eastAsia="Times New Roman"/>
                <w:b w:val="0"/>
                <w:i w:val="0"/>
                <w:sz w:val="20"/>
              </w:rPr>
              <w:t>Mann–Whitney</w:t>
            </w:r>
          </w:p>
        </w:tc>
        <w:tc>
          <w:tcPr>
            <w:tcW w:type="dxa" w:w="1178"/>
          </w:tcPr>
          <w:p>
            <w:pPr>
              <w:keepNext w:val="0"/>
              <w:keepLines w:val="0"/>
              <w:widowControl/>
              <w:spacing w:line="240" w:lineRule="auto" w:before="20" w:after="20"/>
              <w:jc w:val="center"/>
            </w:pPr>
            <w:r>
              <w:rPr>
                <w:rFonts w:ascii="Times New Roman" w:hAnsi="Times New Roman" w:eastAsia="Times New Roman"/>
                <w:b w:val="0"/>
                <w:i w:val="0"/>
                <w:sz w:val="20"/>
              </w:rPr>
              <w:t>0.0002</w:t>
            </w:r>
          </w:p>
        </w:tc>
      </w:tr>
    </w:tbl>
    <w:p>
      <w:pPr>
        <w:keepNext w:val="0"/>
        <w:keepLines w:val="0"/>
        <w:widowControl/>
        <w:spacing w:line="240" w:lineRule="auto" w:before="80" w:after="0"/>
        <w:jc w:val="both"/>
      </w:pPr>
      <w:r>
        <w:rPr>
          <w:rFonts w:ascii="Times New Roman" w:hAnsi="Times New Roman" w:eastAsia="Times New Roman"/>
          <w:b w:val="0"/>
          <w:i w:val="0"/>
          <w:sz w:val="20"/>
        </w:rPr>
        <w:t>p-values are two-sided. The confound in the last row is discussed in the same place it is reported, not held back for a later section.</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VI.5.3</w:t>
        <w:tab/>
      </w:r>
      <w:r>
        <w:rPr>
          <w:rFonts w:ascii="Times New Roman" w:hAnsi="Times New Roman" w:eastAsia="Times New Roman"/>
          <w:b w:val="0"/>
          <w:i/>
          <w:sz w:val="24"/>
        </w:rPr>
        <w:t>The confound, disclosed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reranked molecules are not a free improvement. They are significantly larger (+1.8 heavy atoms on average, p = 0.0002) and significantly less synthetically accessible by both measures used elsewhere in this thesis (SA and RA-score both fall, p &lt; 10⁻⁴), the same size-correlated pattern that undermined the raw-score gain of Section VI.3.2's selection by the EGNN ranker. If this were the whole story, the result would collapse into the same conclusion as the rest of this chapter: a ranker that prefers larger molecules, producing an apparent improvement that a size-normalised metric erases. It is not the whole story, for two reasons visible in the same table. First, ligand efficiency, the metric in this thesis specifically constructed to detect a pure size-inflation artefact, is flat (p = 0.756) rather than degraded, unlike 14 of the 15 pockets of Section VI.3.2. Second, physical validity does not fall; the PoseBusters pass rate holds or rises slightly, the opposite of the pattern that accompanied the EGNN ranker's raw-score gain. The improvement is therefore partly genuine on a per-atom basis and is accompanied by, but not fully reducible to, a shift toward larger molecules; both halves of that sentence are supported by the table and neither should be dropped in summarising 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VI.5.4</w:t>
        <w:tab/>
      </w:r>
      <w:r>
        <w:rPr>
          <w:rFonts w:ascii="Times New Roman" w:hAnsi="Times New Roman" w:eastAsia="Times New Roman"/>
          <w:b w:val="0"/>
          <w:i/>
          <w:sz w:val="24"/>
        </w:rPr>
        <w:t>Interpretation: what this isolates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result answers the question left open at the end of Section VI.4. The selection mechanism tested here, best-of-N selection from an oversampled, unguided pool, scored and evaluated by two separate passes of the same docking program, is mechanistically identical to this chapter's earlier procedure; only the </w:t>
      </w:r>
      <w:r>
        <w:rPr>
          <w:rFonts w:ascii="Times New Roman" w:hAnsi="Times New Roman" w:eastAsia="Times New Roman"/>
          <w:b w:val="0"/>
          <w:i/>
          <w:sz w:val="24"/>
        </w:rPr>
        <w:t>signal</w:t>
      </w:r>
      <w:r>
        <w:rPr>
          <w:rFonts w:ascii="Times New Roman" w:hAnsi="Times New Roman" w:eastAsia="Times New Roman"/>
          <w:b w:val="0"/>
          <w:i w:val="0"/>
          <w:sz w:val="24"/>
        </w:rPr>
        <w:t xml:space="preserve"> changed, from a trained EGNN surrogate to Vina's own zero-shot score. Reranking by the genuine signal succeeds, on the same generator, the same 20 pockets and the same independent evaluation protocol on which reranking by the trained surrogate failed by over-selecting on size alone. This localises the cause of the Track A, B and C failures toward the </w:t>
      </w:r>
      <w:r>
        <w:rPr>
          <w:rFonts w:ascii="Times New Roman" w:hAnsi="Times New Roman" w:eastAsia="Times New Roman"/>
          <w:b w:val="0"/>
          <w:i/>
          <w:sz w:val="24"/>
        </w:rPr>
        <w:t>signal</w:t>
      </w:r>
      <w:r>
        <w:rPr>
          <w:rFonts w:ascii="Times New Roman" w:hAnsi="Times New Roman" w:eastAsia="Times New Roman"/>
          <w:b w:val="0"/>
          <w:i w:val="0"/>
          <w:sz w:val="24"/>
        </w:rPr>
        <w:t xml:space="preserve"> rather than the </w:t>
      </w:r>
      <w:r>
        <w:rPr>
          <w:rFonts w:ascii="Times New Roman" w:hAnsi="Times New Roman" w:eastAsia="Times New Roman"/>
          <w:b w:val="0"/>
          <w:i/>
          <w:sz w:val="24"/>
        </w:rPr>
        <w:t>mechanism</w:t>
      </w:r>
      <w:r>
        <w:rPr>
          <w:rFonts w:ascii="Times New Roman" w:hAnsi="Times New Roman" w:eastAsia="Times New Roman"/>
          <w:b w:val="0"/>
          <w:i w:val="0"/>
          <w:sz w:val="24"/>
        </w:rPr>
        <w:t>: it supports F1, the hypothesis that the guidance predictor does not carry usable information about the true binding interface (Section V.4's gradient-field diagnostic and the representation-ladder audit of Chapter IV point the same way), and it weakens F2, a correctly informative signal misapplied by a flawed mechanism, as the explanation for the EGNN-based failures specifically, because the same family of mechanism, best-of-N selection, succeeds once supplied with a signal that is actually informative. This does not rule out F2 for the gradient-guidance routes of Chapter V on its own terms, because Vina is not differentiable and this section never tested a gradient mechanism with the genuine signal; Chapter IX returns to this limit and to the particle-guidance extension (SVDD, paired with a genuine value function rather than a trained surrogate) that this result motivates as future work but that was not run for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section's own novelty should not be overstated. Best-of-N and best-of-K selection applied to diffusion-based structure-based drug design, ranked by a combined QED, SA and Vina score, was proposed independently as a generation technique by BoKDiff [29], which explicitly describes itself as the first application of this family of techniques to this problem; Reinforcement-learning-based molecule generation guided directly by docking scores has also been reported to succeed in an unrelated, 2-D setting [49]. The selection mechanism used in this section is therefore prior art, not a new technique. Its contribution is narrower and different in kind: using that established mechanism as a </w:t>
      </w:r>
      <w:r>
        <w:rPr>
          <w:rFonts w:ascii="Times New Roman" w:hAnsi="Times New Roman" w:eastAsia="Times New Roman"/>
          <w:b w:val="0"/>
          <w:i/>
          <w:sz w:val="24"/>
        </w:rPr>
        <w:t>diagnostic instrument</w:t>
      </w:r>
      <w:r>
        <w:rPr>
          <w:rFonts w:ascii="Times New Roman" w:hAnsi="Times New Roman" w:eastAsia="Times New Roman"/>
          <w:b w:val="0"/>
          <w:i w:val="0"/>
          <w:sz w:val="24"/>
        </w:rPr>
        <w:t>, a signal-swapped positive control run on the same generator and pockets as this thesis's own gradient-guidance and rejection-sampling failures, and read against the F1/F2/F3 mechanism framework of Section III.1 in a way the original study does not attempt.</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[48],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[40], [54], [58].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[43],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[54], [58],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[64]), as co-generated diffusion outputs (BInD [32]), and as an auxiliary classification loss inside the generator's own denoiser (InterDiff [56]).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Signal swapped: Vina's own score replaces the trained surrogate, identical mechanism and pockets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gain (p = 1.9 × 10⁻⁶, 20 pockets × 3 seeds); ligand efficiency flat; PoseBusters held; size and synthesizability both worsen significantly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Only the selection mechanism was tested with a genuine signal; a gradient-based version was not, since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The same selection mechanism succeeds once supplied with a genuine, non-surrogate affinity signal, localising the Track A–C failures to signal quality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Vina Dock improvement (p = 1.9 × 10⁻⁶), per-pocket bootstrap CI excluding zero; ligand efficiency flat (p = 0.756); PoseBusters pass rate did not fall</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Vina-score reranking, K = 2 oversampling, the same 20 pockets × 3 seeds as the main ablations; the gain is accompanied by, but not reducible to, a significant size increase (+1.8 heavy atoms) and lower synthesizability; a gradient analogue was not tested because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dissociation has a sharper explanation than "accuracy and usefulness are different properties" in the abstract: Chapter IV.8 shows that accuracy itself, on this task, is not what it appears to be. A predictor with no protein input at all reproduces 70% (a 14-descriptor ridge model) to 90% (the deployed EGNN, retrained under a within-target label permutation) of a structure-aware model's real-label performance, and the correlation figures quoted above (Pearson 0.58 to 0.65) sit well inside the range a class-level prior alone can reach. The repeated observation in this thesis that "the predictor is reasonably accurate, yet guidance still fails" is therefore not as puzzling as it first appears: a predictor can be </w:t>
      </w:r>
      <w:r>
        <w:rPr>
          <w:rFonts w:ascii="Times New Roman" w:hAnsi="Times New Roman" w:eastAsia="Times New Roman"/>
          <w:b w:val="0"/>
          <w:i/>
          <w:sz w:val="24"/>
        </w:rPr>
        <w:t>reasonably accurate by a class-prior route</w:t>
      </w:r>
      <w:r>
        <w:rPr>
          <w:rFonts w:ascii="Times New Roman" w:hAnsi="Times New Roman" w:eastAsia="Times New Roman"/>
          <w:b w:val="0"/>
          <w:i w:val="0"/>
          <w:sz w:val="24"/>
        </w:rPr>
        <w:t xml:space="preserve"> while still carrying little or no usable information about the specific interface a generator would need to exploit, and the representation-ladder audit of Chapter IV.6, which found no pocket representation, including a chemically typed interaction representation, reliably beating a ligand-only baseline after correction, is the direct structural counterpart of this statistical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and a chemically typed interaction representation shows the same pattern in sharper form (Chapter IV.6). (ii) Selection by the trained-surrogate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 (v) Replacing the trained surrogate with a genuine, non-surrogate affinity signal (Vina's own score) in the identical selection mechanism, pockets and evaluation protocol produces a significant, largely size-independent improvement (Chapter VI.5).</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trained-surrogate ranker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and so is the representation-ladder finding that no pocket representation reliably beats ligand-only (Chapter IV.6). Earlier drafts of this synthesis described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as indirect, since the two failures have different measured signatures: the gradient is not correlated with heaviness in the direction a size shortcut would predict (Section V.4), while the ranker's selection is dominated by size (Chapter VI). Measurement (v) changes this. It does not merge the two signatures into one, but it supplies a </w:t>
      </w:r>
      <w:r>
        <w:rPr>
          <w:rFonts w:ascii="Times New Roman" w:hAnsi="Times New Roman" w:eastAsia="Times New Roman"/>
          <w:b w:val="0"/>
          <w:i/>
          <w:sz w:val="24"/>
        </w:rPr>
        <w:t>direct</w:t>
      </w:r>
      <w:r>
        <w:rPr>
          <w:rFonts w:ascii="Times New Roman" w:hAnsi="Times New Roman" w:eastAsia="Times New Roman"/>
          <w:b w:val="0"/>
          <w:i w:val="0"/>
          <w:sz w:val="24"/>
        </w:rPr>
        <w:t xml:space="preserve"> test of the shared hypothesis that both signatures point toward, by holding the mechanism fixed and varying only the signal: when the EGNN surrogate is replaced by a genuinely informative, non-surrogate signal, the selection mechanism that failed in Chapter VI succeeds. This is the strongest evidence in this thesis that the limiting factor across the gradient and ranking routes alike is the </w:t>
      </w:r>
      <w:r>
        <w:rPr>
          <w:rFonts w:ascii="Times New Roman" w:hAnsi="Times New Roman" w:eastAsia="Times New Roman"/>
          <w:b w:val="0"/>
          <w:i/>
          <w:sz w:val="24"/>
        </w:rPr>
        <w:t>information content of the learned predictors</w:t>
      </w:r>
      <w:r>
        <w:rPr>
          <w:rFonts w:ascii="Times New Roman" w:hAnsi="Times New Roman" w:eastAsia="Times New Roman"/>
          <w:b w:val="0"/>
          <w:i w:val="0"/>
          <w:sz w:val="24"/>
        </w:rPr>
        <w:t>, consistent with F1 in the terminology of Section III.1, rather than a property of either guidance mechanism considered on its own (F2), though F2 is not thereby excluded for the gradient-guidance routes specifically, since a gradient-based analogue of the positive control could not be run with a non-differentiable signal like Vina.</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Even the most local structure–activity test available failed.</w:t>
      </w:r>
      <w:r>
        <w:rPr>
          <w:rFonts w:ascii="Times New Roman" w:hAnsi="Times New Roman" w:eastAsia="Times New Roman"/>
          <w:b w:val="0"/>
          <w:i w:val="0"/>
          <w:sz w:val="24"/>
        </w:rPr>
        <w:t xml:space="preserve"> Activity cliffs and matched molecular pairs are, by construction, the stress tests least forgiving of a model that has learned only coarse, class-level trends (Chapter IV.9). Neither this thesis's structure-aware predictors nor its ligand-only baselines beat chance sign-agreement on matched-pair direction, and neither significantly outperformed the other on the activity-cliff stratum. This null result at the most local level is consistent with, and strengthens, the class-prior decomposition of Chapter IV.8: it is not only that a large share of apparent performance is explained by class membership, but that the residual, within-target signal that remains is not demonstrably captured even by the measure best suited to detect it.</w:t>
      </w:r>
    </w:p>
    <w:p>
      <w:pPr>
        <w:keepNext w:val="0"/>
        <w:keepLines w:val="0"/>
        <w:widowControl/>
        <w:spacing w:line="480" w:lineRule="auto" w:before="0" w:after="0"/>
        <w:ind w:firstLine="720"/>
        <w:jc w:val="both"/>
      </w:pPr>
      <w:r>
        <w:rPr>
          <w:rFonts w:ascii="Times New Roman" w:hAnsi="Times New Roman" w:eastAsia="Times New Roman"/>
          <w:b w:val="0"/>
          <w:i/>
          <w:sz w:val="24"/>
        </w:rPr>
        <w:t>A leakage audit run before, not after, a production experiment.</w:t>
      </w:r>
      <w:r>
        <w:rPr>
          <w:rFonts w:ascii="Times New Roman" w:hAnsi="Times New Roman" w:eastAsia="Times New Roman"/>
          <w:b w:val="0"/>
          <w:i w:val="0"/>
          <w:sz w:val="24"/>
        </w:rPr>
        <w:t xml:space="preserve"> The compound-level leak identified in the combined CrossDocked–BindingNet pool (Chapter IV.7) was found and a filter applied before the production Arm A and Arm C runs were trained, rather than discovered after the fact and used to discount an already-reported result, as happened with the sequence-level leak of Section IV.2. This ordering is itself a transferable practice: a leakage audit is most useful, and least liable to be read as after-the-fact rationalisation, when it precedes the experiment whose validity it protects.</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[57];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[57]; Chapter VI shows the mechanism in an isolated setting, a ranker whose selection is dominated by size, although the observation of that study concerned evaluation and not gradient guidance. Second, learned affinity predictors are sensitive to leakage and to ligand-only shortcuts [19], [34], [53];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[32], [56], [64],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val="0"/>
        <w:keepLines w:val="0"/>
        <w:widowControl/>
        <w:spacing w:line="480" w:lineRule="auto" w:before="0" w:after="0"/>
        <w:ind w:firstLine="720"/>
        <w:jc w:val="both"/>
      </w:pPr>
      <w:r>
        <w:rPr>
          <w:rFonts w:ascii="Times New Roman" w:hAnsi="Times New Roman" w:eastAsia="Times New Roman"/>
          <w:b w:val="0"/>
          <w:i w:val="0"/>
          <w:sz w:val="24"/>
        </w:rPr>
        <w:t>The positive control of Chapter VI.5 narrows, without closing, one specific branch of this discrepancy: the question of whether this thesis's own evaluation harness, rather than gradient guidance in general, is responsible for the null result. Because the identical generator, pocket set and independent evaluation protocol detect a significant, largely size-independent improvement once a genuinely informative signal is substituted for the trained surrogate, an insensitive harness cannot by itself explain the gradient-guidance and rejection-sampling nulls reported in Chapters IV to VI; whatever accounts for the discrepancy with BADGER, it is not that this project's statistics are too conservative to detect a real effect of the size BADGER reports. This leaves the remaining candidate explanations, a different predictor's information content and a different gradient mechanism, as the more probable sources of the discrepancy, which is consistent with, though it does not prove, the first and second explanations above.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five checks that can be made cheaply before a costly sampling study: (i) evaluate the predictor with a target-disjoint split and target-clustered intervals; (ii) test its output against ligand size and against ligand-only baselines, including a within-target label-permutation control to establish how much of its apparent accuracy is a class-level prior rather than within-target structure–activity signal (Chapter IV.8); (iii) measure the direction of its gradient against pocket-contact proximity on captured mid-trajectory states, a diagnostic that took about 20 minutes in this work; (iv) evaluate any docking gain after normalising by size and with a validity check, since both the raw gain and the loss of validity were visible in the same data; and (v), where a cheap genuine signal exists even if it cannot itself be used for production guidance, run it through the same selection or gradient mechanism as a positive control before concluding that a null result reflects the signal rather than an insensitive evaluation harness, since this was the single check that converted an otherwise indirect inference into a direct one in this thesis (Chapter VI.5).</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built on a trained surrogate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predictors reached Pearson correlations of 0.58 to 0.65 on leakage-safe test sets, and this was originally read as ruling out low predictor accuracy as the explanation. Conclusion (4) below revises this reading: a predictor with no protein input at all reaches a comparable correlation through a class-level prior alone, so correlation magnitude on its own does not establish that these predictors had learned pocket-specific structure–activity relationship.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of the trained surrogate were artefacts, and a positive control localises the cause to the signal.</w:t>
      </w:r>
      <w:r>
        <w:rPr>
          <w:rFonts w:ascii="Times New Roman" w:hAnsi="Times New Roman" w:eastAsia="Times New Roman"/>
          <w:b w:val="0"/>
          <w:i w:val="0"/>
          <w:sz w:val="24"/>
        </w:rPr>
        <w:t xml:space="preserve"> The only large and consistent effect obtained with the trained EGNN,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 A pre-registered positive control then replaced the trained surrogate with AutoDock Vina's own zero-shot score in the identical selection mechanism, on the identical 20 pockets, 3 seeds and independent evaluation protocol: this succeeded, with a significant, largely size-independent improvement (Vina Dock −8.068 against −6.813 kcal/mol, Wilcoxon p = 1.9 × 10⁻⁶; ligand efficiency flat, p = 0.756; PoseBusters pass rate held). This is the single most important result of this thesis for interpreting everything that preceded it: it shows directly that the evaluation harness can detect a genuine improvement when one is present, and it localises the repeated gradient and ranking failures to the </w:t>
      </w:r>
      <w:r>
        <w:rPr>
          <w:rFonts w:ascii="Times New Roman" w:hAnsi="Times New Roman" w:eastAsia="Times New Roman"/>
          <w:b w:val="0"/>
          <w:i/>
          <w:sz w:val="24"/>
        </w:rPr>
        <w:t>information content of the trained predictors</w:t>
      </w:r>
      <w:r>
        <w:rPr>
          <w:rFonts w:ascii="Times New Roman" w:hAnsi="Times New Roman" w:eastAsia="Times New Roman"/>
          <w:b w:val="0"/>
          <w:i w:val="0"/>
          <w:sz w:val="24"/>
        </w:rPr>
        <w:t>, not to an insensitive evaluation design or to the selection and gradient mechanisms as such.</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Measured properties of the predictors and their gradients were consistent with the failures, and a fuller audit identifies what the predictors actually read.</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An eight-block information-content audit (Chapter IV.6) extended this into a systematic comparison: across 40 pairwise, Benjamini–Hochberg-corrected tests, a structure-aware representation significantly beat a ligand-only one in 12 cases, tied in 28, and never lost; a chemically explicit, typed interaction representation (hydrogen bond, hydrophobic, π-stacking and salt-bridge counts) explained almost no variance on its own (R² 0.07–0.08) until a single size covariate was added, at which point it explained four times as much. No representation of the binding pocket tested in this thesis reliably outperformed a model of the ligand alone.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 and a fuller audit shows the margin this revealed did not survive a stronger baseline.</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weak ligand-only baseline (R² 0.20) that was not tested pairwise with target-level resampling. Against a stronger, 14-descriptor ligand-only model built later in the project (R² = 0.3531), this margin disappeared: the structure-aware predictor was statistically indistinguishable from it (0.3420–0.3437 across three seeds).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(5a) </w:t>
      </w:r>
      <w:r>
        <w:rPr>
          <w:rFonts w:ascii="Times New Roman" w:hAnsi="Times New Roman" w:eastAsia="Times New Roman"/>
          <w:b w:val="0"/>
          <w:i/>
          <w:sz w:val="24"/>
        </w:rPr>
        <w:t>Most of the predictors' apparent performance is a class-level prior, not structure–activity learning, and this holds for the deployed architecture itself.</w:t>
      </w:r>
      <w:r>
        <w:rPr>
          <w:rFonts w:ascii="Times New Roman" w:hAnsi="Times New Roman" w:eastAsia="Times New Roman"/>
          <w:b w:val="0"/>
          <w:i w:val="0"/>
          <w:sz w:val="24"/>
        </w:rPr>
        <w:t xml:space="preserve"> A within-target label permutation, which preserves each target's typical affinity range while destroying which ligand carries which label, reproduced 70% of the 14-descriptor model's real-label performance and, when the identical control was run on the deployed EGNN architecture by full retraining, 90% of the EGNN's own real-label performance. The resolvable window beyond this prior, bounded below by the ligand-only ceiling and above by an estimated label-noise ceiling, spans only 0.22 R², narrower than the average width of a single confidence interval measured for this task. Neither activity cliffs nor matched molecular pairs, the two standard diagnostics most sensitive to genuine local structure–activity capture, provide evidence that any predictor in this thesis captures it: sign agreement on the direction of a matched pair's affinity change was at or below chance for both a structure-aware ensemble and a ligand-only model.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(5b) </w:t>
      </w:r>
      <w:r>
        <w:rPr>
          <w:rFonts w:ascii="Times New Roman" w:hAnsi="Times New Roman" w:eastAsia="Times New Roman"/>
          <w:b w:val="0"/>
          <w:i/>
          <w:sz w:val="24"/>
        </w:rPr>
        <w:t>Augmenting training data with a larger external data set did not close the gap, after a compound-level leak was found and removed before, not after, the production run.</w:t>
      </w:r>
      <w:r>
        <w:rPr>
          <w:rFonts w:ascii="Times New Roman" w:hAnsi="Times New Roman" w:eastAsia="Times New Roman"/>
          <w:b w:val="0"/>
          <w:i w:val="0"/>
          <w:sz w:val="24"/>
        </w:rPr>
        <w:t xml:space="preserve"> A combined CrossDocked–BindingNet training pool was found to share 0.34% of its rows, but 10.12% of evaluation records by ligand identity, with the validation and test partitions; a filter removing these rows was built and enforced in code before three further training arms were run. A predictor trained on 20,000 CrossDocked rows alone (R² = 0.362, 3 seeds) performed descriptively better than one trained on a matched total of CrossDocked plus leakage-filtered BindingNet rows (R² = 0.272), and the filtered and unfiltered BindingNet-augmented arms performed nearly identically (0.272 against 0.278), indicating the leak identified had not substantially inflated the earlier result even though removing it remained the correct decision in principle.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pre-registered positive control, built from a genuine, non-surrogate affinity signal applied through the identical selection mechanism, pockets and evaluation protocol as the thesis's own null results, that validates the evaluation harness directly and localises the repeated guidance failures to the information content of the trained predictors rather than to an insensitive design or to the selection and gradient mechanisms themselves.</w:t>
      </w:r>
    </w:p>
    <w:p>
      <w:pPr>
        <w:keepNext w:val="0"/>
        <w:keepLines w:val="0"/>
        <w:widowControl/>
        <w:spacing w:line="480" w:lineRule="auto" w:before="0" w:after="0"/>
        <w:ind w:firstLine="720"/>
        <w:jc w:val="both"/>
      </w:pPr>
      <w:r>
        <w:rPr>
          <w:rFonts w:ascii="Times New Roman" w:hAnsi="Times New Roman" w:eastAsia="Times New Roman"/>
          <w:b w:val="0"/>
          <w:i w:val="0"/>
          <w:sz w:val="24"/>
        </w:rPr>
        <w:t>(iii)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(iv) A systematic, eight-block information-content audit of what representation predicts binding affinity on this split, extending a single ligand-only comparison into a corrected, pairwise test across ligand, pocket, raw and size-normalised contact fingerprints and a chemically typed interaction representation, together with a class-prior decomposition, via within-target label permutation, that was run not only for a descriptor pipeline but for the deployed 3-D equivariant architecture itself.</w:t>
      </w:r>
    </w:p>
    <w:p>
      <w:pPr>
        <w:keepNext w:val="0"/>
        <w:keepLines w:val="0"/>
        <w:widowControl/>
        <w:spacing w:line="480" w:lineRule="auto" w:before="0" w:after="0"/>
        <w:ind w:firstLine="720"/>
        <w:jc w:val="both"/>
      </w:pPr>
      <w:r>
        <w:rPr>
          <w:rFonts w:ascii="Times New Roman" w:hAnsi="Times New Roman" w:eastAsia="Times New Roman"/>
          <w:b w:val="0"/>
          <w:i w:val="0"/>
          <w:sz w:val="24"/>
        </w:rPr>
        <w:t>(v)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(vi)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(vii) A training-data-composition study (BindingNet augmentation) that found and removed a compound-level leak before, rather than after, its production runs, and that found augmentation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(viii)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The target-disjoint split used throughout is easier than a leave-superfamily-out split would be, and 40.1% of test-set ligands sit on a scaffold that also occurs somewhere in training, so "held-out target" should not be read as "held-out chemistry" when interpreting any of the predictor-quality results. The experimental labels mix Kd, Ki and IC50 measurements whose composition differs between training and test, a further source of irreducible variance folded into the label-noise ceiling of Chapter IV.8. The positive control of Chapter VI.5 is itself bounded: it tests only a selection-based mechanism, since Vina is not differentiable and a gradient-based analogue with a genuine signal could not be constructed; it therefore directly supports F1 (the trained predictors are uninformative) without directly excluding F2 (a correctly informative signal misapplied by the specific gradient mechanisms of Chapter V) for the gradient-guidance routes considered on their own.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 Sixth, and directly motivated by the positive control of Chapter VI.5, a gradient-free particle-guidance mechanism such as SVDD, which requires only an evaluable rather than a differentiable value function, could be paired with a genuine signal such as Vina in place of a trained surrogate, to test whether a more sophisticated mechanism adds value on top of simple reranking once the signal itself is no longer the limiting factor; this was considered and deliberately not run for this thesis, both because of its implementation cost and because the positive control already supplies strong indirect evidence for what such an experiment would show when paired with the trained surrogates examined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X.4.1</w:t>
        <w:tab/>
      </w:r>
      <w:r>
        <w:rPr>
          <w:rFonts w:ascii="Times New Roman" w:hAnsi="Times New Roman" w:eastAsia="Times New Roman"/>
          <w:b w:val="0"/>
          <w:i/>
          <w:sz w:val="24"/>
        </w:rPr>
        <w:t>A proposed extension: uncertainty-aware acquisition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The extension described here has not been implemented or tested in this thesis, and no result is claimed for it. It combines a predictor with an uncertainty estimate, an acquisition rule that uses that estimate, and a conflict-aware treatment of the two guidance gradients. Each component is stated with a hypothesis that could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surrogate would be an affinity predictor with Monte Carlo dropout, giving a mean μ and an uncertainty σ for each complex. Before σ is used for acquisition, its calibration must be shown: σ should correlate with the absolute error on held-out targets of a leakage-safe split. If it does not, an upper-confidence or expected-improvement rule has no basis. This calibration test is the first hypothesis of the extension, and it is to be run before any sampling study.</w:t>
      </w:r>
    </w:p>
    <w:p>
      <w:pPr>
        <w:keepNext w:val="0"/>
        <w:keepLines w:val="0"/>
        <w:widowControl/>
        <w:spacing w:line="480" w:lineRule="auto" w:before="0" w:after="0"/>
        <w:ind w:firstLine="720"/>
        <w:jc w:val="both"/>
      </w:pPr>
      <w:r>
        <w:rPr>
          <w:rFonts w:ascii="Times New Roman" w:hAnsi="Times New Roman" w:eastAsia="Times New Roman"/>
          <w:b w:val="0"/>
          <w:i w:val="0"/>
          <w:sz w:val="24"/>
        </w:rPr>
        <w:t>An upper confidence bound (μ + κσ) or an expected-improvement criterion would enter the reverse trajectory as a correction to the guidance gradient, with a time-dependent weight λ_t that favours exploration early and exploitation late. The weight is written λ_t rather than β_t to avoid a clash with the noise schedule of the diffusion model. The second hypothesis is that the acquisition-guided sampler gives no significant gain on independently computed scores over a random-acquisition control with the same number of steps.</w:t>
      </w:r>
    </w:p>
    <w:p>
      <w:pPr>
        <w:keepNext w:val="0"/>
        <w:keepLines w:val="0"/>
        <w:widowControl/>
        <w:spacing w:line="480" w:lineRule="auto" w:before="0" w:after="0"/>
        <w:ind w:firstLine="720"/>
        <w:jc w:val="both"/>
      </w:pPr>
      <w:r>
        <w:rPr>
          <w:rFonts w:ascii="Times New Roman" w:hAnsi="Times New Roman" w:eastAsia="Times New Roman"/>
          <w:b w:val="0"/>
          <w:i w:val="0"/>
          <w:sz w:val="24"/>
        </w:rPr>
        <w:t>Projecting conflicting gradients (PCGrad) between the affinity and the RA-score gradient would be tested as a remedy for the divergence reported in Chapter VII. The third hypothesis is that the frequency of opposing gradient directions falls without a gain in RA-score.</w:t>
      </w:r>
    </w:p>
    <w:p>
      <w:pPr>
        <w:keepNext w:val="0"/>
        <w:keepLines w:val="0"/>
        <w:widowControl/>
        <w:spacing w:line="480" w:lineRule="auto" w:before="0" w:after="0"/>
        <w:ind w:firstLine="720"/>
        <w:jc w:val="both"/>
      </w:pPr>
      <w:r>
        <w:rPr>
          <w:rFonts w:ascii="Times New Roman" w:hAnsi="Times New Roman" w:eastAsia="Times New Roman"/>
          <w:b w:val="0"/>
          <w:i w:val="0"/>
          <w:sz w:val="24"/>
        </w:rPr>
        <w:t>Any such extension would be judged by the protocol of this thesis: Kolmogorov–Smirnov tests with Benjamini–Hochberg correction, target-clustered bootstrap intervals, and negative controls (random acquisition and shuffled σ). Before any improvement is claimed, ligand efficiency, heavy-atom count and PoseBusters validity must be checked; a gain in docking score alone would not be accepted, for the reasons given in Chapter VI.</w:t>
      </w:r>
    </w:p>
    <w:p>
      <w:pPr>
        <w:keepNext w:val="0"/>
        <w:keepLines w:val="0"/>
        <w:widowControl/>
        <w:spacing w:line="480" w:lineRule="auto" w:before="0" w:after="0"/>
        <w:ind w:firstLine="720"/>
        <w:jc w:val="both"/>
      </w:pPr>
      <w:r>
        <w:rPr>
          <w:rFonts w:ascii="Times New Roman" w:hAnsi="Times New Roman" w:eastAsia="Times New Roman"/>
          <w:b w:val="0"/>
          <w:i w:val="0"/>
          <w:sz w:val="24"/>
        </w:rPr>
        <w:t>A closed-loop simulation, in which docking scores retrain the surrogate and the acquisition function screens generated molecules, would be a simulation only. It would not establish synthesizability or biological activity. Its principal risk is that it optimises the docking score, which Chapter VI showed can be raised by increasing molecular size. The fourth hypothesis is that under such a loop the heavy-atom count rises across iterations while ligand efficiency falls. If the gates above are not passed, the output of the loop is not evidence of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These hypotheses are stated so that they can fail, and a null result would be reported in the same way as the results of this thesis.</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N. Khodabandeh Yalabadi, M. Yazdani-Jahromi, and O. Garibay, “BoKDiff: Best-of-K and best-of-N alignment for diffusion-based structure-based drug design,” arXiv:2501.15631, 2025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K. Kwapien, E. Nittinger, J. He, C. Margreitter, A. Voronov, and C. Tyrchan, “Implications of additivity and nonadditivity for machine learning and deep learning models in drug design,” </w:t>
      </w:r>
      <w:r>
        <w:rPr>
          <w:rFonts w:ascii="Times New Roman" w:hAnsi="Times New Roman" w:eastAsia="Times New Roman"/>
          <w:b w:val="0"/>
          <w:i/>
          <w:sz w:val="24"/>
        </w:rPr>
        <w:t>ACS Omega / J. Chem. Inf. Model.</w:t>
      </w:r>
      <w:r>
        <w:rPr>
          <w:rFonts w:ascii="Times New Roman" w:hAnsi="Times New Roman" w:eastAsia="Times New Roman"/>
          <w:b w:val="0"/>
          <w:i w:val="0"/>
          <w:sz w:val="24"/>
        </w:rPr>
        <w:t>, 2022.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Rücker, G. Rücker, and M. Meringer, “y-Randomization and its variants in QSPR/QSAR,” </w:t>
      </w:r>
      <w:r>
        <w:rPr>
          <w:rFonts w:ascii="Times New Roman" w:hAnsi="Times New Roman" w:eastAsia="Times New Roman"/>
          <w:b w:val="0"/>
          <w:i/>
          <w:sz w:val="24"/>
        </w:rPr>
        <w:t>J. Chem. Inf. Model.</w:t>
      </w:r>
      <w:r>
        <w:rPr>
          <w:rFonts w:ascii="Times New Roman" w:hAnsi="Times New Roman" w:eastAsia="Times New Roman"/>
          <w:b w:val="0"/>
          <w:i w:val="0"/>
          <w:sz w:val="24"/>
        </w:rPr>
        <w:t>, vol. 47, no. 6, pp. 2345–2357, 2007.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M. Thomas, R. T. Smith, N. M. O’Boyle, C. de Graaf, and A. Bender, “Comparison of structure- and ligand-based scoring functions for deep generative models: a GPCR case study,” </w:t>
      </w:r>
      <w:r>
        <w:rPr>
          <w:rFonts w:ascii="Times New Roman" w:hAnsi="Times New Roman" w:eastAsia="Times New Roman"/>
          <w:b w:val="0"/>
          <w:i/>
          <w:sz w:val="24"/>
        </w:rPr>
        <w:t>J. Cheminform.</w:t>
      </w:r>
      <w:r>
        <w:rPr>
          <w:rFonts w:ascii="Times New Roman" w:hAnsi="Times New Roman" w:eastAsia="Times New Roman"/>
          <w:b w:val="0"/>
          <w:i w:val="0"/>
          <w:sz w:val="24"/>
        </w:rPr>
        <w:t>, vol. 13, art. 39, 2021.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D. van Tilborg, A. Alenicheva, and F. Grisoni, “Exposing the limitations of molecular machine learning with activity cliffs,” </w:t>
      </w:r>
      <w:r>
        <w:rPr>
          <w:rFonts w:ascii="Times New Roman" w:hAnsi="Times New Roman" w:eastAsia="Times New Roman"/>
          <w:b w:val="0"/>
          <w:i/>
          <w:sz w:val="24"/>
        </w:rPr>
        <w:t>J. Chem. Inf. Model.</w:t>
      </w:r>
      <w:r>
        <w:rPr>
          <w:rFonts w:ascii="Times New Roman" w:hAnsi="Times New Roman" w:eastAsia="Times New Roman"/>
          <w:b w:val="0"/>
          <w:i w:val="0"/>
          <w:sz w:val="24"/>
        </w:rPr>
        <w:t>, vol. 62, no. 23, pp. 5938–5951, 2022.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[60]</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[61]</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[62]</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[63]</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[64]</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[35]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[43]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[37],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[52]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[61],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 Figure E.12 and Figure E.13 render the two molecules of this pair in their docked 3D binding context, the same pair whose 2D structures and position trajectory are given in Figure E.11 and Table E.6.</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Diagnosing Guidance Failure in Diffusion-Based Structure-Based Drug Design: A Leakage-Safe, Falsification-Driven Study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