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widowControl/>
        <w:spacing w:line="288" w:lineRule="auto" w:before="0" w:after="40"/>
        <w:jc w:val="center"/>
      </w:pPr>
      <w:r>
        <w:rPr>
          <w:rFonts w:ascii="Times New Roman" w:hAnsi="Times New Roman" w:eastAsia="Times New Roman"/>
          <w:b/>
          <w:i w:val="0"/>
          <w:sz w:val="24"/>
        </w:rPr>
        <w:t>RESEARCH METHODOLOGY IN COMPUTER SCIENCE</w:t>
      </w:r>
    </w:p>
    <w:p>
      <w:pPr>
        <w:widowControl/>
        <w:spacing w:line="288" w:lineRule="auto" w:before="0" w:after="720"/>
        <w:jc w:val="center"/>
      </w:pPr>
      <w:r>
        <w:rPr>
          <w:rFonts w:ascii="Times New Roman" w:hAnsi="Times New Roman" w:eastAsia="Times New Roman"/>
          <w:b w:val="0"/>
          <w:i w:val="0"/>
          <w:sz w:val="24"/>
        </w:rPr>
        <w:t>Week 5 Assignment — Chapter I &amp; II Draft</w:t>
      </w:r>
    </w:p>
    <w:p>
      <w:pPr>
        <w:widowControl/>
        <w:spacing w:line="288" w:lineRule="auto" w:before="0" w:after="0"/>
        <w:jc w:val="center"/>
      </w:pPr>
      <w:r>
        <w:rPr>
          <w:rFonts w:ascii="Times New Roman" w:hAnsi="Times New Roman" w:eastAsia="Times New Roman"/>
          <w:b/>
          <w:i w:val="0"/>
          <w:sz w:val="30"/>
        </w:rPr>
        <w:t>Coupled Affinity–Synthesizability Guidance for</w:t>
      </w:r>
    </w:p>
    <w:p>
      <w:pPr>
        <w:widowControl/>
        <w:spacing w:line="288" w:lineRule="auto" w:before="0" w:after="0"/>
        <w:jc w:val="center"/>
      </w:pPr>
      <w:r>
        <w:rPr>
          <w:rFonts w:ascii="Times New Roman" w:hAnsi="Times New Roman" w:eastAsia="Times New Roman"/>
          <w:b/>
          <w:i w:val="0"/>
          <w:sz w:val="30"/>
        </w:rPr>
        <w:t>Target-Conditional Molecular Diffusion in</w:t>
      </w:r>
    </w:p>
    <w:p>
      <w:pPr>
        <w:widowControl/>
        <w:spacing w:line="288" w:lineRule="auto" w:before="0" w:after="0"/>
        <w:jc w:val="center"/>
      </w:pPr>
      <w:r>
        <w:rPr>
          <w:rFonts w:ascii="Times New Roman" w:hAnsi="Times New Roman" w:eastAsia="Times New Roman"/>
          <w:b/>
          <w:i w:val="0"/>
          <w:sz w:val="30"/>
        </w:rPr>
        <w:t>Structure-Based Drug Design:</w:t>
      </w:r>
    </w:p>
    <w:p>
      <w:pPr>
        <w:widowControl/>
        <w:spacing w:line="288" w:lineRule="auto" w:before="0" w:after="600"/>
        <w:jc w:val="center"/>
      </w:pPr>
      <w:r>
        <w:rPr>
          <w:rFonts w:ascii="Times New Roman" w:hAnsi="Times New Roman" w:eastAsia="Times New Roman"/>
          <w:b/>
          <w:i w:val="0"/>
          <w:sz w:val="30"/>
        </w:rPr>
        <w:t>A Falsification-Driven Evaluation</w:t>
      </w:r>
    </w:p>
    <w:p>
      <w:pPr>
        <w:widowControl/>
        <w:spacing w:line="288" w:lineRule="auto" w:before="0" w:after="720"/>
        <w:jc w:val="center"/>
      </w:pPr>
      <w:r>
        <w:rPr>
          <w:rFonts w:ascii="Times New Roman" w:hAnsi="Times New Roman" w:eastAsia="Times New Roman"/>
          <w:b w:val="0"/>
          <w:i/>
          <w:sz w:val="22"/>
        </w:rPr>
        <w:t>(Working draft, built directly from the author’s ongoing M.Sc. thesis research)</w:t>
      </w:r>
    </w:p>
    <w:p/>
    <w:p/>
    <w:p/>
    <w:p/>
    <w:p/>
    <w:p/>
    <w:p>
      <w:pPr>
        <w:widowControl/>
        <w:spacing w:line="288" w:lineRule="auto" w:before="0" w:after="0"/>
        <w:jc w:val="center"/>
      </w:pPr>
      <w:r>
        <w:rPr>
          <w:rFonts w:ascii="Times New Roman" w:hAnsi="Times New Roman" w:eastAsia="Times New Roman"/>
          <w:b w:val="0"/>
          <w:i w:val="0"/>
          <w:sz w:val="24"/>
        </w:rPr>
        <w:t>[Author Name]</w:t>
      </w:r>
    </w:p>
    <w:p>
      <w:pPr>
        <w:widowControl/>
        <w:spacing w:line="288" w:lineRule="auto" w:before="0" w:after="480"/>
        <w:jc w:val="center"/>
      </w:pPr>
      <w:r>
        <w:rPr>
          <w:rFonts w:ascii="Times New Roman" w:hAnsi="Times New Roman" w:eastAsia="Times New Roman"/>
          <w:b w:val="0"/>
          <w:i w:val="0"/>
          <w:sz w:val="24"/>
        </w:rPr>
        <w:t>[Student Identification Number]</w:t>
      </w:r>
    </w:p>
    <w:p>
      <w:pPr>
        <w:widowControl/>
        <w:spacing w:line="288" w:lineRule="auto" w:before="0" w:after="0"/>
        <w:jc w:val="center"/>
      </w:pPr>
      <w:r>
        <w:rPr>
          <w:rFonts w:ascii="Times New Roman" w:hAnsi="Times New Roman" w:eastAsia="Times New Roman"/>
          <w:b w:val="0"/>
          <w:i w:val="0"/>
          <w:sz w:val="24"/>
        </w:rPr>
        <w:t>October 2026</w:t>
      </w:r>
    </w:p>
    <w:p>
      <w:r>
        <w:br w:type="page"/>
      </w:r>
    </w:p>
    <w:p>
      <w:pPr>
        <w:keepNext/>
        <w:widowControl/>
        <w:spacing w:line="288" w:lineRule="auto" w:before="0" w:after="360"/>
        <w:jc w:val="center"/>
      </w:pPr>
      <w:r>
        <w:rPr>
          <w:rFonts w:ascii="Times New Roman" w:hAnsi="Times New Roman" w:eastAsia="Times New Roman"/>
          <w:b/>
          <w:i w:val="0"/>
          <w:sz w:val="32"/>
        </w:rPr>
        <w:t>CHAPTER I — INTRODUCTION</w:t>
      </w:r>
    </w:p>
    <w:p>
      <w:pPr>
        <w:keepNext/>
        <w:widowControl/>
        <w:spacing w:line="288" w:lineRule="auto" w:before="360" w:after="160"/>
        <w:jc w:val="left"/>
      </w:pPr>
      <w:r>
        <w:rPr>
          <w:rFonts w:ascii="Times New Roman" w:hAnsi="Times New Roman" w:eastAsia="Times New Roman"/>
          <w:b/>
          <w:i w:val="0"/>
          <w:sz w:val="26"/>
        </w:rPr>
        <w:t>1.1  Background</w:t>
      </w:r>
    </w:p>
    <w:p>
      <w:pPr>
        <w:widowControl/>
        <w:spacing w:line="360" w:lineRule="auto" w:before="0" w:after="160"/>
        <w:ind w:firstLine="432"/>
        <w:jc w:val="both"/>
      </w:pPr>
      <w:r>
        <w:rPr>
          <w:rFonts w:ascii="Times New Roman" w:hAnsi="Times New Roman" w:eastAsia="Times New Roman"/>
          <w:b w:val="0"/>
          <w:i w:val="0"/>
          <w:sz w:val="24"/>
        </w:rPr>
        <w:t>Structure-based drug design (SBDD) seeks small molecules that bind a protein of known three-dimensional structure. Classically, candidates are proposed by medicinal chemists or drawn from large compound libraries, placed in the binding pocket by docking programs, and ranked by scoring functions such as the empirical function of AutoDock Vina [4,31]. In recent years, deep generative models have been added to this workflow. Pocket-conditioned three-dimensional diffusion models, of which TargetDiff is a representative example [10], learn the joint distribution of atom types and coordinates of ligands inside a pocket and can produce new molecules directly in the binding site, following the general principle of denoising diffusion probabilistic models [11].</w:t>
      </w:r>
    </w:p>
    <w:p>
      <w:pPr>
        <w:widowControl/>
        <w:spacing w:line="360" w:lineRule="auto" w:before="0" w:after="160"/>
        <w:ind w:firstLine="432"/>
        <w:jc w:val="both"/>
      </w:pPr>
      <w:r>
        <w:rPr>
          <w:rFonts w:ascii="Times New Roman" w:hAnsi="Times New Roman" w:eastAsia="Times New Roman"/>
          <w:b w:val="0"/>
          <w:i w:val="0"/>
          <w:sz w:val="24"/>
        </w:rPr>
        <w:t xml:space="preserve">A generative model that reproduces its training distribution is not, by itself, a drug-design tool: most sampled molecules bind poorly, cannot be synthesized, or are physically implausible. A natural remedy, borrowed from image generation, is </w:t>
      </w:r>
      <w:r>
        <w:rPr>
          <w:rFonts w:ascii="Times New Roman" w:hAnsi="Times New Roman" w:eastAsia="Times New Roman"/>
          <w:b/>
          <w:i w:val="0"/>
          <w:sz w:val="24"/>
        </w:rPr>
        <w:t>guidance</w:t>
      </w:r>
      <w:r>
        <w:rPr>
          <w:rFonts w:ascii="Times New Roman" w:hAnsi="Times New Roman" w:eastAsia="Times New Roman"/>
          <w:b w:val="0"/>
          <w:i w:val="0"/>
          <w:sz w:val="24"/>
        </w:rPr>
        <w:t xml:space="preserve">. In classifier guidance, the gradient of an auxiliary predictor is used to steer each denoising step toward inputs that the predictor scores highly [3]. For drug design, the auxiliary predictors are learned models of binding affinity and of synthesizability, and the appeal is obvious: the generator remains fixed, and only a small, cheaply trained predictor must be supplied. This idea motivates the research programme that this chapter introduces — the coupled use of an affinity signal and a synthesizability signal to steer a target-conditional diffusion model, and, when that fails to help, a systematic, falsification-driven diagnosis of </w:t>
      </w:r>
      <w:r>
        <w:rPr>
          <w:rFonts w:ascii="Times New Roman" w:hAnsi="Times New Roman" w:eastAsia="Times New Roman"/>
          <w:b w:val="0"/>
          <w:i/>
          <w:sz w:val="24"/>
        </w:rPr>
        <w:t>why</w:t>
      </w:r>
      <w:r>
        <w:rPr>
          <w:rFonts w:ascii="Times New Roman" w:hAnsi="Times New Roman" w:eastAsia="Times New Roman"/>
          <w:b w:val="0"/>
          <w:i w:val="0"/>
          <w:sz w:val="24"/>
        </w:rPr>
        <w:t xml:space="preserve"> it fails.</w:t>
      </w:r>
    </w:p>
    <w:p>
      <w:pPr>
        <w:keepNext/>
        <w:widowControl/>
        <w:spacing w:line="288" w:lineRule="auto" w:before="360" w:after="160"/>
        <w:jc w:val="left"/>
      </w:pPr>
      <w:r>
        <w:rPr>
          <w:rFonts w:ascii="Times New Roman" w:hAnsi="Times New Roman" w:eastAsia="Times New Roman"/>
          <w:b/>
          <w:i w:val="0"/>
          <w:sz w:val="26"/>
        </w:rPr>
        <w:t>1.2  Problem Formulation</w:t>
      </w:r>
    </w:p>
    <w:p>
      <w:pPr>
        <w:keepNext/>
        <w:widowControl/>
        <w:spacing w:line="288" w:lineRule="auto" w:before="240" w:after="80"/>
        <w:jc w:val="left"/>
      </w:pPr>
      <w:r>
        <w:rPr>
          <w:rFonts w:ascii="Times New Roman" w:hAnsi="Times New Roman" w:eastAsia="Times New Roman"/>
          <w:b/>
          <w:i/>
          <w:sz w:val="24"/>
        </w:rPr>
        <w:t>1.2.1  From Topic to Problem</w:t>
      </w:r>
    </w:p>
    <w:tbl>
      <w:tblPr>
        <w:tblStyle w:val="TableGrid"/>
        <w:tblW w:type="auto" w:w="0"/>
        <w:jc w:val="center"/>
        <w:tblLook w:firstColumn="1" w:firstRow="1" w:lastColumn="0" w:lastRow="0" w:noHBand="0" w:noVBand="1" w:val="04A0"/>
      </w:tblPr>
      <w:tblGrid>
        <w:gridCol w:w="2890"/>
        <w:gridCol w:w="2890"/>
        <w:gridCol w:w="2890"/>
      </w:tblGrid>
      <w:tr>
        <w:tc>
          <w:tcPr>
            <w:tcW w:type="dxa" w:w="2304"/>
          </w:tcPr>
          <w:p>
            <w:pPr>
              <w:widowControl/>
              <w:spacing w:line="240" w:lineRule="auto" w:before="0" w:after="0"/>
              <w:jc w:val="left"/>
            </w:pPr>
            <w:r/>
            <w:r>
              <w:rPr>
                <w:rFonts w:ascii="Times New Roman" w:hAnsi="Times New Roman" w:eastAsia="Times New Roman"/>
                <w:b/>
                <w:i w:val="0"/>
                <w:sz w:val="21"/>
              </w:rPr>
              <w:t>Topic</w:t>
            </w:r>
          </w:p>
        </w:tc>
        <w:tc>
          <w:tcPr>
            <w:tcW w:type="dxa" w:w="3456"/>
          </w:tcPr>
          <w:p>
            <w:pPr>
              <w:widowControl/>
              <w:spacing w:line="240" w:lineRule="auto" w:before="0" w:after="0"/>
              <w:jc w:val="left"/>
            </w:pPr>
            <w:r/>
            <w:r>
              <w:rPr>
                <w:rFonts w:ascii="Times New Roman" w:hAnsi="Times New Roman" w:eastAsia="Times New Roman"/>
                <w:b/>
                <w:i w:val="0"/>
                <w:sz w:val="21"/>
              </w:rPr>
              <w:t>Problem</w:t>
            </w:r>
          </w:p>
        </w:tc>
        <w:tc>
          <w:tcPr>
            <w:tcW w:type="dxa" w:w="3456"/>
          </w:tcPr>
          <w:p>
            <w:pPr>
              <w:widowControl/>
              <w:spacing w:line="240" w:lineRule="auto" w:before="0" w:after="0"/>
              <w:jc w:val="left"/>
            </w:pPr>
            <w:r/>
            <w:r>
              <w:rPr>
                <w:rFonts w:ascii="Times New Roman" w:hAnsi="Times New Roman" w:eastAsia="Times New Roman"/>
                <w:b/>
                <w:i w:val="0"/>
                <w:sz w:val="21"/>
              </w:rPr>
              <w:t>Research gap</w:t>
            </w:r>
          </w:p>
        </w:tc>
      </w:tr>
      <w:tr>
        <w:tc>
          <w:tcPr>
            <w:tcW w:type="dxa" w:w="2304"/>
          </w:tcPr>
          <w:p>
            <w:pPr>
              <w:widowControl/>
              <w:spacing w:line="240" w:lineRule="auto" w:before="0" w:after="0"/>
              <w:jc w:val="left"/>
            </w:pPr>
            <w:r/>
            <w:r>
              <w:rPr>
                <w:rFonts w:ascii="Times New Roman" w:hAnsi="Times New Roman" w:eastAsia="Times New Roman"/>
                <w:b w:val="0"/>
                <w:i w:val="0"/>
                <w:sz w:val="21"/>
              </w:rPr>
              <w:t>Guided generative structure-based drug design with pocket-conditioned diffusion models.</w:t>
            </w:r>
          </w:p>
        </w:tc>
        <w:tc>
          <w:tcPr>
            <w:tcW w:type="dxa" w:w="3456"/>
          </w:tcPr>
          <w:p>
            <w:pPr>
              <w:widowControl/>
              <w:spacing w:line="240" w:lineRule="auto" w:before="0" w:after="0"/>
              <w:jc w:val="left"/>
            </w:pPr>
            <w:r/>
            <w:r>
              <w:rPr>
                <w:rFonts w:ascii="Times New Roman" w:hAnsi="Times New Roman" w:eastAsia="Times New Roman"/>
                <w:b w:val="0"/>
                <w:i w:val="0"/>
                <w:sz w:val="21"/>
              </w:rPr>
              <w:t>It is not established whether learned guidance signals — gradient-based or selection-based — improve generated molecules on outcomes computed independently of the guidance model itself, as opposed to improving only the guidance model’s own score.</w:t>
            </w:r>
          </w:p>
        </w:tc>
        <w:tc>
          <w:tcPr>
            <w:tcW w:type="dxa" w:w="3456"/>
          </w:tcPr>
          <w:p>
            <w:pPr>
              <w:widowControl/>
              <w:spacing w:line="240" w:lineRule="auto" w:before="0" w:after="0"/>
              <w:jc w:val="left"/>
            </w:pPr>
            <w:r/>
            <w:r>
              <w:rPr>
                <w:rFonts w:ascii="Times New Roman" w:hAnsi="Times New Roman" w:eastAsia="Times New Roman"/>
                <w:b w:val="0"/>
                <w:i w:val="0"/>
                <w:sz w:val="21"/>
              </w:rPr>
              <w:t>No published evaluation of learned guidance for a 3D diffusion SBDD generator combines a leakage-safe, target-disjoint evaluation split with statistically corrected significance testing, an explicit positive control that demonstrates the evaluation harness can detect a genuine improvement, and mechanism-level diagnostics that explain a null result rather than merely report it.</w:t>
            </w:r>
          </w:p>
        </w:tc>
      </w:tr>
    </w:tbl>
    <w:p/>
    <w:p>
      <w:pPr>
        <w:keepNext/>
        <w:widowControl/>
        <w:spacing w:line="288" w:lineRule="auto" w:before="240" w:after="80"/>
        <w:jc w:val="left"/>
      </w:pPr>
      <w:r>
        <w:rPr>
          <w:rFonts w:ascii="Times New Roman" w:hAnsi="Times New Roman" w:eastAsia="Times New Roman"/>
          <w:b/>
          <w:i/>
          <w:sz w:val="24"/>
        </w:rPr>
        <w:t>1.2.2  Anatomy of the Problem Statement</w:t>
      </w:r>
    </w:p>
    <w:p>
      <w:pPr>
        <w:widowControl/>
        <w:spacing w:line="360" w:lineRule="auto" w:before="0" w:after="160"/>
        <w:ind w:firstLine="720"/>
        <w:jc w:val="both"/>
      </w:pPr>
      <w:r>
        <w:rPr>
          <w:rFonts w:ascii="Times New Roman" w:hAnsi="Times New Roman" w:eastAsia="Times New Roman"/>
          <w:b/>
          <w:i/>
          <w:sz w:val="24"/>
        </w:rPr>
        <w:t xml:space="preserve">Context.  </w:t>
      </w:r>
      <w:r>
        <w:rPr>
          <w:rFonts w:ascii="Times New Roman" w:hAnsi="Times New Roman" w:eastAsia="Times New Roman"/>
          <w:b w:val="0"/>
          <w:i w:val="0"/>
          <w:sz w:val="24"/>
        </w:rPr>
        <w:t>Pocket-conditioned 3-D diffusion generation for SBDD, specifically TargetDiff trained on CrossDocked2020 [7,10], and the practitioners who would rely on a guided variant of such a model to prioritise synthesis candidates under a limited compute budget.</w:t>
      </w:r>
    </w:p>
    <w:p>
      <w:pPr>
        <w:widowControl/>
        <w:spacing w:line="360" w:lineRule="auto" w:before="0" w:after="160"/>
        <w:ind w:firstLine="720"/>
        <w:jc w:val="both"/>
      </w:pPr>
      <w:r>
        <w:rPr>
          <w:rFonts w:ascii="Times New Roman" w:hAnsi="Times New Roman" w:eastAsia="Times New Roman"/>
          <w:b/>
          <w:i/>
          <w:sz w:val="24"/>
        </w:rPr>
        <w:t xml:space="preserve">Current knowledge.  </w:t>
      </w:r>
      <w:r>
        <w:rPr>
          <w:rFonts w:ascii="Times New Roman" w:hAnsi="Times New Roman" w:eastAsia="Times New Roman"/>
          <w:b w:val="0"/>
          <w:i w:val="0"/>
          <w:sz w:val="24"/>
        </w:rPr>
        <w:t>Gradient-based affinity guidance of diffusion SBDD generators has been reported to work: BADGER applies the gradient of a separately trained affinity predictor to a frozen diffusion generator and reports up to a 60% improvement in binding affinity [14]; DiffGui integrates affinity and drug-likeness guidance trained jointly with the generator and reports improved binding affinity together with limited wet-laboratory validation [12]. A related, older literature on 2-D generative chemistry shows that docking-score guidance of a reinforcement-learning generator (REINVENT) can work [30], which is part of why a positive effect was a reasonable prior expectation for this project. In parallel, a separate body of work shows that (a) docking scores used to evaluate such claims are known to be biased toward larger molecules [8,35]; (b) learned affinity predictors are frequently inflated by data leakage between training and test complexes [9,19,33]; and (c) best-of-N selection among unguided diffusion samples is itself an established, effective technique for structure-based generation, independent of any gradient mechanism [15].</w:t>
      </w:r>
    </w:p>
    <w:p>
      <w:pPr>
        <w:widowControl/>
        <w:spacing w:line="360" w:lineRule="auto" w:before="0" w:after="160"/>
        <w:ind w:firstLine="720"/>
        <w:jc w:val="both"/>
      </w:pPr>
      <w:r>
        <w:rPr>
          <w:rFonts w:ascii="Times New Roman" w:hAnsi="Times New Roman" w:eastAsia="Times New Roman"/>
          <w:b/>
          <w:i/>
          <w:sz w:val="24"/>
        </w:rPr>
        <w:t xml:space="preserve">Gap.  </w:t>
      </w:r>
      <w:r>
        <w:rPr>
          <w:rFonts w:ascii="Times New Roman" w:hAnsi="Times New Roman" w:eastAsia="Times New Roman"/>
          <w:b w:val="0"/>
          <w:i w:val="0"/>
          <w:sz w:val="24"/>
        </w:rPr>
        <w:t>No source examined in Chapter II states that it reports all four of the following together: a leakage-safe, target-disjoint split; a multiple-comparison-corrected significance test; a positive or negative control that shows the evaluation harness is sensitive to a real effect; and an explicit check that a measured gain in docking score is not simply a gain in molecular size. Most gradient-guidance papers in SBDD do not report a positive control at all.</w:t>
      </w:r>
    </w:p>
    <w:p>
      <w:pPr>
        <w:widowControl/>
        <w:spacing w:line="360" w:lineRule="auto" w:before="0" w:after="160"/>
        <w:ind w:firstLine="720"/>
        <w:jc w:val="both"/>
      </w:pPr>
      <w:r>
        <w:rPr>
          <w:rFonts w:ascii="Times New Roman" w:hAnsi="Times New Roman" w:eastAsia="Times New Roman"/>
          <w:b/>
          <w:i/>
          <w:sz w:val="24"/>
        </w:rPr>
        <w:t xml:space="preserve">Consequence.  </w:t>
      </w:r>
      <w:r>
        <w:rPr>
          <w:rFonts w:ascii="Times New Roman" w:hAnsi="Times New Roman" w:eastAsia="Times New Roman"/>
          <w:b w:val="0"/>
          <w:i w:val="0"/>
          <w:sz w:val="24"/>
        </w:rPr>
        <w:t>Without these checks, a reported guidance improvement cannot be distinguished from three alternative explanations that imply different and partly incompatible next steps for the field: the predictor may carry no usable signal about the interface (better predictors are needed); the predictor may be informative but the gradient mechanism may misalign with it (better guidance mechanisms are needed); or the apparent improvement may be an artefact that a differently shaped objective could exploit without a genuinely better binder (the guidance paradigm itself needs reconsideration for this generator family). Resolving which one holds is therefore not a cosmetic detail of method, it is the difference between three incompatible research agendas.</w:t>
      </w:r>
    </w:p>
    <w:p>
      <w:pPr>
        <w:widowControl/>
        <w:spacing w:line="360" w:lineRule="auto" w:before="0" w:after="160"/>
        <w:ind w:firstLine="720"/>
        <w:jc w:val="both"/>
      </w:pPr>
      <w:r>
        <w:rPr>
          <w:rFonts w:ascii="Times New Roman" w:hAnsi="Times New Roman" w:eastAsia="Times New Roman"/>
          <w:b/>
          <w:i/>
          <w:sz w:val="24"/>
        </w:rPr>
        <w:t xml:space="preserve">Direction.  </w:t>
      </w:r>
      <w:r>
        <w:rPr>
          <w:rFonts w:ascii="Times New Roman" w:hAnsi="Times New Roman" w:eastAsia="Times New Roman"/>
          <w:b w:val="0"/>
          <w:i w:val="0"/>
          <w:sz w:val="24"/>
        </w:rPr>
        <w:t>This research implements gradient-based guidance on a frozen TargetDiff checkpoint with a leakage-safe affinity predictor, tests it under a pre-registered, multiply-corrected statistical protocol, adds an explicit positive control built from a genuine (non-surrogate) affinity signal, and — whichever result obtains — follows up with mechanism-level diagnostics (gradient-field analysis, representation ablations, class-prior decomposition) designed to adjudicate among the three candidate explanations above.</w:t>
      </w:r>
    </w:p>
    <w:p>
      <w:pPr>
        <w:keepNext/>
        <w:widowControl/>
        <w:spacing w:line="288" w:lineRule="auto" w:before="240" w:after="80"/>
        <w:jc w:val="left"/>
      </w:pPr>
      <w:r>
        <w:rPr>
          <w:rFonts w:ascii="Times New Roman" w:hAnsi="Times New Roman" w:eastAsia="Times New Roman"/>
          <w:b/>
          <w:i/>
          <w:sz w:val="24"/>
        </w:rPr>
        <w:t>1.2.3  Problem Statement</w:t>
      </w:r>
    </w:p>
    <w:p>
      <w:pPr>
        <w:widowControl/>
        <w:spacing w:line="360" w:lineRule="auto" w:before="0" w:after="200"/>
        <w:ind w:firstLine="720"/>
        <w:jc w:val="both"/>
      </w:pPr>
      <w:r>
        <w:rPr>
          <w:rFonts w:ascii="Times New Roman" w:hAnsi="Times New Roman" w:eastAsia="Times New Roman"/>
          <w:b w:val="0"/>
          <w:i/>
          <w:sz w:val="24"/>
        </w:rPr>
        <w:t>“Given a frozen, pretrained, pocket-conditioned diffusion model and learned predictors of binding affinity and synthesizability that are accurate on a leakage-safe, target-disjoint held-out split, do gradient-based guidance and post-hoc, selection-based guidance built on these predictors produce statistically detectable, non-degenerate improvements in independently computed docking score, physical validity, ligand efficiency, and synthesizability — and, when they do not, which of three candidate mechanisms (an uninformative guidance signal, a correctly informative signal misapplied through the guidance mechanism, or an objective whose apparent gain can be obtained without a genuine improvement) explains the failure?”</w:t>
      </w:r>
    </w:p>
    <w:p>
      <w:pPr>
        <w:keepNext/>
        <w:widowControl/>
        <w:spacing w:line="288" w:lineRule="auto" w:before="240" w:after="80"/>
        <w:jc w:val="left"/>
      </w:pPr>
      <w:r>
        <w:rPr>
          <w:rFonts w:ascii="Times New Roman" w:hAnsi="Times New Roman" w:eastAsia="Times New Roman"/>
          <w:b/>
          <w:i/>
          <w:sz w:val="24"/>
        </w:rPr>
        <w:t>1.2.4  Feasibility and Significance Check</w:t>
      </w:r>
    </w:p>
    <w:p>
      <w:pPr>
        <w:widowControl/>
        <w:spacing w:line="360" w:lineRule="auto" w:before="0" w:after="160"/>
        <w:ind w:firstLine="720"/>
        <w:jc w:val="both"/>
      </w:pPr>
      <w:r>
        <w:rPr>
          <w:rFonts w:ascii="Times New Roman" w:hAnsi="Times New Roman" w:eastAsia="Times New Roman"/>
          <w:b/>
          <w:i/>
          <w:sz w:val="24"/>
        </w:rPr>
        <w:t xml:space="preserve">Significant.  </w:t>
      </w:r>
      <w:r>
        <w:rPr>
          <w:rFonts w:ascii="Times New Roman" w:hAnsi="Times New Roman" w:eastAsia="Times New Roman"/>
          <w:b w:val="0"/>
          <w:i w:val="0"/>
          <w:sz w:val="24"/>
        </w:rPr>
        <w:t>Guidance is the central mechanism by which generative SBDD methods are expected to move from valid-molecule generation to practically useful candidate prioritisation; whether it works, and why it does or does not, has direct consequences for how the field allocates further modelling effort.</w:t>
      </w:r>
    </w:p>
    <w:p>
      <w:pPr>
        <w:widowControl/>
        <w:spacing w:line="360" w:lineRule="auto" w:before="0" w:after="160"/>
        <w:ind w:firstLine="720"/>
        <w:jc w:val="both"/>
      </w:pPr>
      <w:r>
        <w:rPr>
          <w:rFonts w:ascii="Times New Roman" w:hAnsi="Times New Roman" w:eastAsia="Times New Roman"/>
          <w:b/>
          <w:i/>
          <w:sz w:val="24"/>
        </w:rPr>
        <w:t xml:space="preserve">Researchable.  </w:t>
      </w:r>
      <w:r>
        <w:rPr>
          <w:rFonts w:ascii="Times New Roman" w:hAnsi="Times New Roman" w:eastAsia="Times New Roman"/>
          <w:b w:val="0"/>
          <w:i w:val="0"/>
          <w:sz w:val="24"/>
        </w:rPr>
        <w:t>A frozen, publicly documented checkpoint (TargetDiff), a public cross-docked benchmark (CrossDocked2020), and learned predictors trained on it are all available. The full experimental programme was executed on a single consumer GPU (4 GB VRAM) under an explicit thermal budget, using a purpose-built, thermally gated job queue (Chapter III) that makes the work tractable on the hardware actually available for this degree.</w:t>
      </w:r>
    </w:p>
    <w:p>
      <w:pPr>
        <w:widowControl/>
        <w:spacing w:line="360" w:lineRule="auto" w:before="0" w:after="160"/>
        <w:ind w:firstLine="720"/>
        <w:jc w:val="both"/>
      </w:pPr>
      <w:r>
        <w:rPr>
          <w:rFonts w:ascii="Times New Roman" w:hAnsi="Times New Roman" w:eastAsia="Times New Roman"/>
          <w:b/>
          <w:i/>
          <w:sz w:val="24"/>
        </w:rPr>
        <w:t xml:space="preserve">Novel enough.  </w:t>
      </w:r>
      <w:r>
        <w:rPr>
          <w:rFonts w:ascii="Times New Roman" w:hAnsi="Times New Roman" w:eastAsia="Times New Roman"/>
          <w:b w:val="0"/>
          <w:i w:val="0"/>
          <w:sz w:val="24"/>
        </w:rPr>
        <w:t xml:space="preserve">Section 1.6 and Section 2.10 detail five claims that survived an eight-round literature search as defensible contributions: a factorial ablation separating interface </w:t>
      </w:r>
      <w:r>
        <w:rPr>
          <w:rFonts w:ascii="Times New Roman" w:hAnsi="Times New Roman" w:eastAsia="Times New Roman"/>
          <w:b w:val="0"/>
          <w:i/>
          <w:sz w:val="24"/>
        </w:rPr>
        <w:t>identity</w:t>
      </w:r>
      <w:r>
        <w:rPr>
          <w:rFonts w:ascii="Times New Roman" w:hAnsi="Times New Roman" w:eastAsia="Times New Roman"/>
          <w:b w:val="0"/>
          <w:i w:val="0"/>
          <w:sz w:val="24"/>
        </w:rPr>
        <w:t xml:space="preserve"> from interface </w:t>
      </w:r>
      <w:r>
        <w:rPr>
          <w:rFonts w:ascii="Times New Roman" w:hAnsi="Times New Roman" w:eastAsia="Times New Roman"/>
          <w:b w:val="0"/>
          <w:i/>
          <w:sz w:val="24"/>
        </w:rPr>
        <w:t>quantity</w:t>
      </w:r>
      <w:r>
        <w:rPr>
          <w:rFonts w:ascii="Times New Roman" w:hAnsi="Times New Roman" w:eastAsia="Times New Roman"/>
          <w:b w:val="0"/>
          <w:i w:val="0"/>
          <w:sz w:val="24"/>
        </w:rPr>
        <w:t>; a class-prior decomposition of apparent predictive performance, replicated for the deployed architecture itself; a task-level statistical power analysis; the explicit connection from an information audit of the predictor to the observed guidance failure; and ternary (1.58-bit) quantization-aware training of a 3-D equivariant affinity network, validated on both accuracy and geometric equivariance.</w:t>
      </w:r>
    </w:p>
    <w:p>
      <w:pPr>
        <w:widowControl/>
        <w:spacing w:line="360" w:lineRule="auto" w:before="0" w:after="160"/>
        <w:ind w:firstLine="720"/>
        <w:jc w:val="both"/>
      </w:pPr>
      <w:r>
        <w:rPr>
          <w:rFonts w:ascii="Times New Roman" w:hAnsi="Times New Roman" w:eastAsia="Times New Roman"/>
          <w:b/>
          <w:i/>
          <w:sz w:val="24"/>
        </w:rPr>
        <w:t xml:space="preserve">Scoped.  </w:t>
      </w:r>
      <w:r>
        <w:rPr>
          <w:rFonts w:ascii="Times New Roman" w:hAnsi="Times New Roman" w:eastAsia="Times New Roman"/>
          <w:b w:val="0"/>
          <w:i w:val="0"/>
          <w:sz w:val="24"/>
        </w:rPr>
        <w:t>Five mechanistically distinct guidance routes — two gradient-mechanism families, one selection-based route, one synthesizability-guidance route, and one predictor-redesign route — share a single evaluation harness, a single frozen generator, and one family of predictors, so extending the investigation from one route to the next required no new infrastructure, only a new predictor or a new sampling-time hook. This keeps a five-route falsification programme tractable within a master’s timeline and a 4 GB GPU.</w:t>
      </w:r>
    </w:p>
    <w:p>
      <w:pPr>
        <w:keepNext/>
        <w:widowControl/>
        <w:spacing w:line="288" w:lineRule="auto" w:before="360" w:after="160"/>
        <w:jc w:val="left"/>
      </w:pPr>
      <w:r>
        <w:rPr>
          <w:rFonts w:ascii="Times New Roman" w:hAnsi="Times New Roman" w:eastAsia="Times New Roman"/>
          <w:b/>
          <w:i w:val="0"/>
          <w:sz w:val="26"/>
        </w:rPr>
        <w:t>1.3  Research Questions and Hypotheses</w:t>
      </w:r>
    </w:p>
    <w:p>
      <w:pPr>
        <w:widowControl/>
        <w:spacing w:line="360" w:lineRule="auto" w:before="0" w:after="160"/>
        <w:ind w:firstLine="432"/>
        <w:jc w:val="both"/>
      </w:pPr>
      <w:r>
        <w:rPr>
          <w:rFonts w:ascii="Times New Roman" w:hAnsi="Times New Roman" w:eastAsia="Times New Roman"/>
          <w:b w:val="0"/>
          <w:i w:val="0"/>
          <w:sz w:val="24"/>
        </w:rPr>
        <w:t>The problem statement above is decomposed into six research questions. Each is tagged by its question form, following the taxonomy of descriptive, comparative, relational, and causal questions. Four of the six admit a sharp null/alternative hypothesis pair and a pre-registered statistical test; the remaining two are diagnostic or decompositional and are answered by estimation (a correlation, or a variance decomposition with a confidence interval) rather than by a single significance test — a distinction the course materials themselves draw between hypothesis-testing and other legitimate forms of quantitative inference. Status lines summarise what has already been measured; full statistical detail is deferred to the methodology and results chapters of the underlying thesis.</w:t>
      </w:r>
    </w:p>
    <w:p>
      <w:pPr>
        <w:widowControl/>
        <w:spacing w:line="360" w:lineRule="auto" w:before="0" w:after="160"/>
        <w:ind w:firstLine="720"/>
        <w:jc w:val="both"/>
      </w:pPr>
      <w:r>
        <w:rPr>
          <w:rFonts w:ascii="Times New Roman" w:hAnsi="Times New Roman" w:eastAsia="Times New Roman"/>
          <w:b/>
          <w:i/>
          <w:sz w:val="24"/>
        </w:rPr>
        <w:t xml:space="preserve">RQ1 [Causal — primary].  </w:t>
      </w:r>
      <w:r>
        <w:rPr>
          <w:rFonts w:ascii="Times New Roman" w:hAnsi="Times New Roman" w:eastAsia="Times New Roman"/>
          <w:b w:val="0"/>
          <w:i w:val="0"/>
          <w:sz w:val="24"/>
        </w:rPr>
        <w:t>Under a leakage-safe, target-disjoint evaluation protocol, does gradient-based guidance from a learned affinity predictor, applied to a frozen pocket-conditioned diffusion generator, produce a statistically significant, non-degenerate improvement in independently computed docking score relative to an unguided baseline?</w:t>
      </w:r>
    </w:p>
    <w:p>
      <w:pPr>
        <w:widowControl/>
        <w:spacing w:line="360" w:lineRule="auto" w:before="0" w:after="160"/>
        <w:ind w:firstLine="720"/>
        <w:jc w:val="both"/>
      </w:pPr>
      <w:r>
        <w:rPr>
          <w:rFonts w:ascii="Times New Roman" w:hAnsi="Times New Roman" w:eastAsia="Times New Roman"/>
          <w:b/>
          <w:i/>
          <w:sz w:val="24"/>
        </w:rPr>
        <w:t xml:space="preserve">   H0 / H1.  </w:t>
      </w:r>
      <w:r>
        <w:rPr>
          <w:rFonts w:ascii="Times New Roman" w:hAnsi="Times New Roman" w:eastAsia="Times New Roman"/>
          <w:b w:val="0"/>
          <w:i w:val="0"/>
          <w:sz w:val="24"/>
        </w:rPr>
        <w:t xml:space="preserve">H0: the median independently computed Vina Dock score of guided samples is not different from the unguided baseline. H1: guided samples show a significantly more negative (better) docking score, without a significant degradation in ligand efficiency or physical validity. </w:t>
      </w:r>
      <w:r>
        <w:rPr>
          <w:rFonts w:ascii="Times New Roman" w:hAnsi="Times New Roman" w:eastAsia="Times New Roman"/>
          <w:b w:val="0"/>
          <w:i/>
          <w:sz w:val="24"/>
        </w:rPr>
        <w:t>Status:</w:t>
      </w:r>
      <w:r>
        <w:rPr>
          <w:rFonts w:ascii="Times New Roman" w:hAnsi="Times New Roman" w:eastAsia="Times New Roman"/>
          <w:b w:val="0"/>
          <w:i w:val="0"/>
          <w:sz w:val="24"/>
        </w:rPr>
        <w:t xml:space="preserve"> refuted for the gradient route at every tested guidance strength and under two predictor architectures and three mechanism variants (no condition produced a significant effect; one mechanism variant was significantly </w:t>
      </w:r>
      <w:r>
        <w:rPr>
          <w:rFonts w:ascii="Times New Roman" w:hAnsi="Times New Roman" w:eastAsia="Times New Roman"/>
          <w:b w:val="0"/>
          <w:i/>
          <w:sz w:val="24"/>
        </w:rPr>
        <w:t>worse</w:t>
      </w:r>
      <w:r>
        <w:rPr>
          <w:rFonts w:ascii="Times New Roman" w:hAnsi="Times New Roman" w:eastAsia="Times New Roman"/>
          <w:b w:val="0"/>
          <w:i w:val="0"/>
          <w:sz w:val="24"/>
        </w:rPr>
        <w:t>).</w:t>
      </w:r>
    </w:p>
    <w:p>
      <w:pPr>
        <w:widowControl/>
        <w:spacing w:line="360" w:lineRule="auto" w:before="0" w:after="160"/>
        <w:ind w:firstLine="720"/>
        <w:jc w:val="both"/>
      </w:pPr>
      <w:r>
        <w:rPr>
          <w:rFonts w:ascii="Times New Roman" w:hAnsi="Times New Roman" w:eastAsia="Times New Roman"/>
          <w:b/>
          <w:i/>
          <w:sz w:val="24"/>
        </w:rPr>
        <w:t xml:space="preserve">RQ2 [Causal — harness validation / positive control].  </w:t>
      </w:r>
      <w:r>
        <w:rPr>
          <w:rFonts w:ascii="Times New Roman" w:hAnsi="Times New Roman" w:eastAsia="Times New Roman"/>
          <w:b w:val="0"/>
          <w:i w:val="0"/>
          <w:sz w:val="24"/>
        </w:rPr>
        <w:t>Does post-hoc, best-of-N selection using a genuine, non-circular binding-affinity signal (AutoDock Vina itself, not the trained surrogate) produce a detectable improvement on the same generator, the same pockets, and the same independent evaluation pass used for RQ1 — thereby showing that the evaluation harness is capable of detecting an improvement when a genuinely informative signal is available?</w:t>
      </w:r>
    </w:p>
    <w:p>
      <w:pPr>
        <w:widowControl/>
        <w:spacing w:line="360" w:lineRule="auto" w:before="0" w:after="160"/>
        <w:ind w:firstLine="720"/>
        <w:jc w:val="both"/>
      </w:pPr>
      <w:r>
        <w:rPr>
          <w:rFonts w:ascii="Times New Roman" w:hAnsi="Times New Roman" w:eastAsia="Times New Roman"/>
          <w:b/>
          <w:i/>
          <w:sz w:val="24"/>
        </w:rPr>
        <w:t xml:space="preserve">   H0 / H1.  </w:t>
      </w:r>
      <w:r>
        <w:rPr>
          <w:rFonts w:ascii="Times New Roman" w:hAnsi="Times New Roman" w:eastAsia="Times New Roman"/>
          <w:b w:val="0"/>
          <w:i w:val="0"/>
          <w:sz w:val="24"/>
        </w:rPr>
        <w:t xml:space="preserve">H0: no difference between Vina-reranked and unguided baseline samples. H1: Vina-reranked samples show a significantly better independently computed docking score. </w:t>
      </w:r>
      <w:r>
        <w:rPr>
          <w:rFonts w:ascii="Times New Roman" w:hAnsi="Times New Roman" w:eastAsia="Times New Roman"/>
          <w:b w:val="0"/>
          <w:i/>
          <w:sz w:val="24"/>
        </w:rPr>
        <w:t>Status:</w:t>
      </w:r>
      <w:r>
        <w:rPr>
          <w:rFonts w:ascii="Times New Roman" w:hAnsi="Times New Roman" w:eastAsia="Times New Roman"/>
          <w:b w:val="0"/>
          <w:i w:val="0"/>
          <w:sz w:val="24"/>
        </w:rPr>
        <w:t xml:space="preserve"> </w:t>
      </w:r>
      <w:r>
        <w:rPr>
          <w:rFonts w:ascii="Times New Roman" w:hAnsi="Times New Roman" w:eastAsia="Times New Roman"/>
          <w:b/>
          <w:i w:val="0"/>
          <w:sz w:val="24"/>
        </w:rPr>
        <w:t>confirmed</w:t>
      </w:r>
      <w:r>
        <w:rPr>
          <w:rFonts w:ascii="Times New Roman" w:hAnsi="Times New Roman" w:eastAsia="Times New Roman"/>
          <w:b w:val="0"/>
          <w:i w:val="0"/>
          <w:sz w:val="24"/>
        </w:rPr>
        <w:t xml:space="preserve"> on 60 pocket–seed trials (20 pockets × 3 seeds): Vina Dock −8.07 ± 2.66 kcal/mol (reranked) vs. −6.81 ± 10.08 kcal/mol (baseline), Wilcoxon p = 1.9 × 10⁻⁶, target-clustered bootstrap CI for the per-pocket delta [−2.15, −0.74] kcal/mol, excluding zero. This directly validates the evaluation harness and localises the RQ1 failure to the </w:t>
      </w:r>
      <w:r>
        <w:rPr>
          <w:rFonts w:ascii="Times New Roman" w:hAnsi="Times New Roman" w:eastAsia="Times New Roman"/>
          <w:b w:val="0"/>
          <w:i/>
          <w:sz w:val="24"/>
        </w:rPr>
        <w:t>signal</w:t>
      </w:r>
      <w:r>
        <w:rPr>
          <w:rFonts w:ascii="Times New Roman" w:hAnsi="Times New Roman" w:eastAsia="Times New Roman"/>
          <w:b w:val="0"/>
          <w:i w:val="0"/>
          <w:sz w:val="24"/>
        </w:rPr>
        <w:t>, not to an insensitive harness — though a real confound must be disclosed alongside it: reranked molecules are on average 1.8 heavy atoms larger (p = 0.0002) and less synthetically accessible (SA and RA score both drop significantly, p &lt; 10⁻⁴), while ligand efficiency stays flat (p = 0.756) and physical validity does not fall.</w:t>
      </w:r>
    </w:p>
    <w:p>
      <w:pPr>
        <w:widowControl/>
        <w:spacing w:line="360" w:lineRule="auto" w:before="0" w:after="160"/>
        <w:ind w:firstLine="720"/>
        <w:jc w:val="both"/>
      </w:pPr>
      <w:r>
        <w:rPr>
          <w:rFonts w:ascii="Times New Roman" w:hAnsi="Times New Roman" w:eastAsia="Times New Roman"/>
          <w:b/>
          <w:i/>
          <w:sz w:val="24"/>
        </w:rPr>
        <w:t xml:space="preserve">RQ3 [Relational / diagnostic].  </w:t>
      </w:r>
      <w:r>
        <w:rPr>
          <w:rFonts w:ascii="Times New Roman" w:hAnsi="Times New Roman" w:eastAsia="Times New Roman"/>
          <w:b w:val="0"/>
          <w:i w:val="0"/>
          <w:sz w:val="24"/>
        </w:rPr>
        <w:t>What does the gradient of the learned affinity predictor actually encode with respect to atomic position — is its magnitude related to proximity to the true binding interface, as a correctly functioning guidance signal would require?</w:t>
      </w:r>
    </w:p>
    <w:p>
      <w:pPr>
        <w:widowControl/>
        <w:spacing w:line="360" w:lineRule="auto" w:before="0" w:after="160"/>
        <w:ind w:firstLine="720"/>
        <w:jc w:val="both"/>
      </w:pPr>
      <w:r>
        <w:rPr>
          <w:rFonts w:ascii="Times New Roman" w:hAnsi="Times New Roman" w:eastAsia="Times New Roman"/>
          <w:b/>
          <w:i/>
          <w:sz w:val="24"/>
        </w:rPr>
        <w:t xml:space="preserve">   Status.  </w:t>
      </w:r>
      <w:r>
        <w:rPr>
          <w:rFonts w:ascii="Times New Roman" w:hAnsi="Times New Roman" w:eastAsia="Times New Roman"/>
          <w:b w:val="0"/>
          <w:i w:val="0"/>
          <w:sz w:val="24"/>
        </w:rPr>
        <w:t xml:space="preserve">A factorial ablation that removes exactly 50% of protein atoms under three conditions (nearest half kept — interface intact; farthest half kept — interface destroyed; random half kept) shows the predictor is roughly 4.5× more sensitive to </w:t>
      </w:r>
      <w:r>
        <w:rPr>
          <w:rFonts w:ascii="Times New Roman" w:hAnsi="Times New Roman" w:eastAsia="Times New Roman"/>
          <w:b w:val="0"/>
          <w:i/>
          <w:sz w:val="24"/>
        </w:rPr>
        <w:t>how many</w:t>
      </w:r>
      <w:r>
        <w:rPr>
          <w:rFonts w:ascii="Times New Roman" w:hAnsi="Times New Roman" w:eastAsia="Times New Roman"/>
          <w:b w:val="0"/>
          <w:i w:val="0"/>
          <w:sz w:val="24"/>
        </w:rPr>
        <w:t xml:space="preserve"> protein atoms are present than to </w:t>
      </w:r>
      <w:r>
        <w:rPr>
          <w:rFonts w:ascii="Times New Roman" w:hAnsi="Times New Roman" w:eastAsia="Times New Roman"/>
          <w:b w:val="0"/>
          <w:i/>
          <w:sz w:val="24"/>
        </w:rPr>
        <w:t>whether</w:t>
      </w:r>
      <w:r>
        <w:rPr>
          <w:rFonts w:ascii="Times New Roman" w:hAnsi="Times New Roman" w:eastAsia="Times New Roman"/>
          <w:b w:val="0"/>
          <w:i w:val="0"/>
          <w:sz w:val="24"/>
        </w:rPr>
        <w:t xml:space="preserve"> the interface is intact (destroying real contacts is, if anything, cheaper than removing atoms that never touch the ligand). A complementary measurement finds the gradient’s magnitude </w:t>
      </w:r>
      <w:r>
        <w:rPr>
          <w:rFonts w:ascii="Times New Roman" w:hAnsi="Times New Roman" w:eastAsia="Times New Roman"/>
          <w:b w:val="0"/>
          <w:i/>
          <w:sz w:val="24"/>
        </w:rPr>
        <w:t>increases</w:t>
      </w:r>
      <w:r>
        <w:rPr>
          <w:rFonts w:ascii="Times New Roman" w:hAnsi="Times New Roman" w:eastAsia="Times New Roman"/>
          <w:b w:val="0"/>
          <w:i w:val="0"/>
          <w:sz w:val="24"/>
        </w:rPr>
        <w:t xml:space="preserve"> with distance from the pocket in the sampled states — the wrong direction for a signal that is meant to pull atoms toward contact-forming positions.</w:t>
      </w:r>
    </w:p>
    <w:p>
      <w:pPr>
        <w:widowControl/>
        <w:spacing w:line="360" w:lineRule="auto" w:before="0" w:after="160"/>
        <w:ind w:firstLine="720"/>
        <w:jc w:val="both"/>
      </w:pPr>
      <w:r>
        <w:rPr>
          <w:rFonts w:ascii="Times New Roman" w:hAnsi="Times New Roman" w:eastAsia="Times New Roman"/>
          <w:b/>
          <w:i/>
          <w:sz w:val="24"/>
        </w:rPr>
        <w:t xml:space="preserve">RQ4 [Comparative].  </w:t>
      </w:r>
      <w:r>
        <w:rPr>
          <w:rFonts w:ascii="Times New Roman" w:hAnsi="Times New Roman" w:eastAsia="Times New Roman"/>
          <w:b w:val="0"/>
          <w:i w:val="0"/>
          <w:sz w:val="24"/>
        </w:rPr>
        <w:t>Does a typed, chemically explicit interaction representation (hydrogen-bond, hydrophobic, π-stacking and salt-bridge contact counts, extracted with PLIP) provide additional predictive information about binding affinity beyond ligand-only or pocket-only descriptors, once the confound of molecular/pocket size is controlled for?</w:t>
      </w:r>
    </w:p>
    <w:p>
      <w:pPr>
        <w:widowControl/>
        <w:spacing w:line="360" w:lineRule="auto" w:before="0" w:after="160"/>
        <w:ind w:firstLine="720"/>
        <w:jc w:val="both"/>
      </w:pPr>
      <w:r>
        <w:rPr>
          <w:rFonts w:ascii="Times New Roman" w:hAnsi="Times New Roman" w:eastAsia="Times New Roman"/>
          <w:b/>
          <w:i/>
          <w:sz w:val="24"/>
        </w:rPr>
        <w:t xml:space="preserve">   H0 / H1.  </w:t>
      </w:r>
      <w:r>
        <w:rPr>
          <w:rFonts w:ascii="Times New Roman" w:hAnsi="Times New Roman" w:eastAsia="Times New Roman"/>
          <w:b w:val="0"/>
          <w:i w:val="0"/>
          <w:sz w:val="24"/>
        </w:rPr>
        <w:t xml:space="preserve">H0: no significant difference in target-clustered R² between a model trained on the typed-interaction block and models trained on ligand-only or pocket-only blocks, after Benjamini–Hochberg correction. H1: the typed-interaction block yields significantly higher R². </w:t>
      </w:r>
      <w:r>
        <w:rPr>
          <w:rFonts w:ascii="Times New Roman" w:hAnsi="Times New Roman" w:eastAsia="Times New Roman"/>
          <w:b w:val="0"/>
          <w:i/>
          <w:sz w:val="24"/>
        </w:rPr>
        <w:t>Status:</w:t>
      </w:r>
      <w:r>
        <w:rPr>
          <w:rFonts w:ascii="Times New Roman" w:hAnsi="Times New Roman" w:eastAsia="Times New Roman"/>
          <w:b w:val="0"/>
          <w:i w:val="0"/>
          <w:sz w:val="24"/>
        </w:rPr>
        <w:t xml:space="preserve"> </w:t>
      </w:r>
      <w:r>
        <w:rPr>
          <w:rFonts w:ascii="Times New Roman" w:hAnsi="Times New Roman" w:eastAsia="Times New Roman"/>
          <w:b/>
          <w:i w:val="0"/>
          <w:sz w:val="24"/>
        </w:rPr>
        <w:t>H0 retained</w:t>
      </w:r>
      <w:r>
        <w:rPr>
          <w:rFonts w:ascii="Times New Roman" w:hAnsi="Times New Roman" w:eastAsia="Times New Roman"/>
          <w:b w:val="0"/>
          <w:i w:val="0"/>
          <w:sz w:val="24"/>
        </w:rPr>
        <w:t xml:space="preserve"> — the four typed-interaction counts, summed crudely per complex, reach only R² = 0.07–0.08 and lose significantly to both the ligand-only block (R² = 0.353, q = 0.003) and the pocket-only block (R² = 0.289, q = 0.003); adding a single size covariate (heavy-atom count) alone raises R² to 0.324 (ΔR² = +0.242, q &lt; 0.001). Almost all of the usable signal in this block is size, not interaction type.</w:t>
      </w:r>
    </w:p>
    <w:p>
      <w:pPr>
        <w:widowControl/>
        <w:spacing w:line="360" w:lineRule="auto" w:before="0" w:after="160"/>
        <w:ind w:firstLine="720"/>
        <w:jc w:val="both"/>
      </w:pPr>
      <w:r>
        <w:rPr>
          <w:rFonts w:ascii="Times New Roman" w:hAnsi="Times New Roman" w:eastAsia="Times New Roman"/>
          <w:b/>
          <w:i/>
          <w:sz w:val="24"/>
        </w:rPr>
        <w:t xml:space="preserve">RQ5 [Descriptive / relational — class-prior decomposition].  </w:t>
      </w:r>
      <w:r>
        <w:rPr>
          <w:rFonts w:ascii="Times New Roman" w:hAnsi="Times New Roman" w:eastAsia="Times New Roman"/>
          <w:b w:val="0"/>
          <w:i w:val="0"/>
          <w:sz w:val="24"/>
        </w:rPr>
        <w:t>What fraction of a learned affinity model’s apparent predictive performance is attributable to a class-level prior (the typical affinity of the protein family or chemotype class targeted) rather than genuine within-target structure–activity relationships, and does this fraction hold for the deployed 3-D equivariant architecture itself, not only for a descriptor-based baseline?</w:t>
      </w:r>
    </w:p>
    <w:p>
      <w:pPr>
        <w:widowControl/>
        <w:spacing w:line="360" w:lineRule="auto" w:before="0" w:after="160"/>
        <w:ind w:firstLine="720"/>
        <w:jc w:val="both"/>
      </w:pPr>
      <w:r>
        <w:rPr>
          <w:rFonts w:ascii="Times New Roman" w:hAnsi="Times New Roman" w:eastAsia="Times New Roman"/>
          <w:b/>
          <w:i/>
          <w:sz w:val="24"/>
        </w:rPr>
        <w:t xml:space="preserve">   Status.  </w:t>
      </w:r>
      <w:r>
        <w:rPr>
          <w:rFonts w:ascii="Times New Roman" w:hAnsi="Times New Roman" w:eastAsia="Times New Roman"/>
          <w:b w:val="0"/>
          <w:i w:val="0"/>
          <w:sz w:val="24"/>
        </w:rPr>
        <w:t xml:space="preserve">Measured by within-target label permutation (the per-target label multiset is preserved, but which ligand carries which label is randomised): a 14-descriptor ridge regression reaches R² = 0.247 ± 0.002 under this control, i.e. 70% of its real-label performance (0.353) is reproducible without any within-target signal. The same control, run directly on the deployed EGNN architecture, reaches R² = 0.307 — </w:t>
      </w:r>
      <w:r>
        <w:rPr>
          <w:rFonts w:ascii="Times New Roman" w:hAnsi="Times New Roman" w:eastAsia="Times New Roman"/>
          <w:b/>
          <w:i w:val="0"/>
          <w:sz w:val="24"/>
        </w:rPr>
        <w:t>90%</w:t>
      </w:r>
      <w:r>
        <w:rPr>
          <w:rFonts w:ascii="Times New Roman" w:hAnsi="Times New Roman" w:eastAsia="Times New Roman"/>
          <w:b w:val="0"/>
          <w:i w:val="0"/>
          <w:sz w:val="24"/>
        </w:rPr>
        <w:t xml:space="preserve"> of the EGNN’s own real-label performance (0.342). The architecture reaches its class prior through a more direct route (reading 3-D target geometry directly) rather than through chemotype correlation, but the share of apparent performance explained by class membership, not local structure–activity relationship, is larger for the deployed model than for the descriptor baseline, not smaller.</w:t>
      </w:r>
    </w:p>
    <w:p>
      <w:pPr>
        <w:widowControl/>
        <w:spacing w:line="360" w:lineRule="auto" w:before="0" w:after="160"/>
        <w:ind w:firstLine="720"/>
        <w:jc w:val="both"/>
      </w:pPr>
      <w:r>
        <w:rPr>
          <w:rFonts w:ascii="Times New Roman" w:hAnsi="Times New Roman" w:eastAsia="Times New Roman"/>
          <w:b/>
          <w:i/>
          <w:sz w:val="24"/>
        </w:rPr>
        <w:t xml:space="preserve">RQ6 [Relational].  </w:t>
      </w:r>
      <w:r>
        <w:rPr>
          <w:rFonts w:ascii="Times New Roman" w:hAnsi="Times New Roman" w:eastAsia="Times New Roman"/>
          <w:b w:val="0"/>
          <w:i w:val="0"/>
          <w:sz w:val="24"/>
        </w:rPr>
        <w:t>Given the measured ceiling imposed by experimental label noise and the measured between-seed variance of the deployed architecture, is the window within which two models’ true performance can be distinguished statistically wider or narrower than a single confidence interval on this task?</w:t>
      </w:r>
    </w:p>
    <w:p>
      <w:pPr>
        <w:widowControl/>
        <w:spacing w:line="360" w:lineRule="auto" w:before="0" w:after="160"/>
        <w:ind w:firstLine="720"/>
        <w:jc w:val="both"/>
      </w:pPr>
      <w:r>
        <w:rPr>
          <w:rFonts w:ascii="Times New Roman" w:hAnsi="Times New Roman" w:eastAsia="Times New Roman"/>
          <w:b/>
          <w:i/>
          <w:sz w:val="24"/>
        </w:rPr>
        <w:t xml:space="preserve">   Status.  </w:t>
      </w:r>
      <w:r>
        <w:rPr>
          <w:rFonts w:ascii="Times New Roman" w:hAnsi="Times New Roman" w:eastAsia="Times New Roman"/>
          <w:b w:val="0"/>
          <w:i w:val="0"/>
          <w:sz w:val="24"/>
        </w:rPr>
        <w:t xml:space="preserve">The window between the floor set by the weakest defensible baseline (ligand-only ridge, R² = 0.353) and the ceiling set by label noise (R² = 0.578, estimated from repeat-measurement correlation) spans only 0.225 R², which is </w:t>
      </w:r>
      <w:r>
        <w:rPr>
          <w:rFonts w:ascii="Times New Roman" w:hAnsi="Times New Roman" w:eastAsia="Times New Roman"/>
          <w:b w:val="0"/>
          <w:i/>
          <w:sz w:val="24"/>
        </w:rPr>
        <w:t>narrower</w:t>
      </w:r>
      <w:r>
        <w:rPr>
          <w:rFonts w:ascii="Times New Roman" w:hAnsi="Times New Roman" w:eastAsia="Times New Roman"/>
          <w:b w:val="0"/>
          <w:i w:val="0"/>
          <w:sz w:val="24"/>
        </w:rPr>
        <w:t xml:space="preserve"> than the average width of a single target-clustered bootstrap confidence interval on this task (0.387; ratio 0.58). A single benchmark comparison reporting a gain of 0.02–0.05 R² on similarly sized data is, by this measure, not able to resolve where within that window a model actually sits.</w:t>
      </w:r>
    </w:p>
    <w:p>
      <w:pPr>
        <w:keepNext/>
        <w:widowControl/>
        <w:spacing w:line="288" w:lineRule="auto" w:before="360" w:after="160"/>
        <w:jc w:val="left"/>
      </w:pPr>
      <w:r>
        <w:rPr>
          <w:rFonts w:ascii="Times New Roman" w:hAnsi="Times New Roman" w:eastAsia="Times New Roman"/>
          <w:b/>
          <w:i w:val="0"/>
          <w:sz w:val="26"/>
        </w:rPr>
        <w:t>1.4  Operational Definitions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304"/>
          </w:tcPr>
          <w:p>
            <w:pPr>
              <w:widowControl/>
              <w:spacing w:line="240" w:lineRule="auto" w:before="0" w:after="0"/>
              <w:jc w:val="left"/>
            </w:pPr>
            <w:r/>
            <w:r>
              <w:rPr>
                <w:rFonts w:ascii="Times New Roman" w:hAnsi="Times New Roman" w:eastAsia="Times New Roman"/>
                <w:b/>
                <w:i w:val="0"/>
                <w:sz w:val="21"/>
              </w:rPr>
              <w:t>Construct</w:t>
            </w:r>
          </w:p>
        </w:tc>
        <w:tc>
          <w:tcPr>
            <w:tcW w:type="dxa" w:w="3312"/>
          </w:tcPr>
          <w:p>
            <w:pPr>
              <w:widowControl/>
              <w:spacing w:line="240" w:lineRule="auto" w:before="0" w:after="0"/>
              <w:jc w:val="left"/>
            </w:pPr>
            <w:r/>
            <w:r>
              <w:rPr>
                <w:rFonts w:ascii="Times New Roman" w:hAnsi="Times New Roman" w:eastAsia="Times New Roman"/>
                <w:b/>
                <w:i w:val="0"/>
                <w:sz w:val="21"/>
              </w:rPr>
              <w:t>Operational measure</w:t>
            </w:r>
          </w:p>
        </w:tc>
        <w:tc>
          <w:tcPr>
            <w:tcW w:type="dxa" w:w="1584"/>
          </w:tcPr>
          <w:p>
            <w:pPr>
              <w:widowControl/>
              <w:spacing w:line="240" w:lineRule="auto" w:before="0" w:after="0"/>
              <w:jc w:val="left"/>
            </w:pPr>
            <w:r/>
            <w:r>
              <w:rPr>
                <w:rFonts w:ascii="Times New Roman" w:hAnsi="Times New Roman" w:eastAsia="Times New Roman"/>
                <w:b/>
                <w:i w:val="0"/>
                <w:sz w:val="21"/>
              </w:rPr>
              <w:t>Unit of analysis</w:t>
            </w:r>
          </w:p>
        </w:tc>
        <w:tc>
          <w:tcPr>
            <w:tcW w:type="dxa" w:w="3312"/>
          </w:tcPr>
          <w:p>
            <w:pPr>
              <w:widowControl/>
              <w:spacing w:line="240" w:lineRule="auto" w:before="0" w:after="0"/>
              <w:jc w:val="left"/>
            </w:pPr>
            <w:r/>
            <w:r>
              <w:rPr>
                <w:rFonts w:ascii="Times New Roman" w:hAnsi="Times New Roman" w:eastAsia="Times New Roman"/>
                <w:b/>
                <w:i w:val="0"/>
                <w:sz w:val="21"/>
              </w:rPr>
              <w:t>Measurement rule</w:t>
            </w:r>
          </w:p>
        </w:tc>
      </w:tr>
      <w:tr>
        <w:tc>
          <w:tcPr>
            <w:tcW w:type="dxa" w:w="2304"/>
          </w:tcPr>
          <w:p>
            <w:pPr>
              <w:widowControl/>
              <w:spacing w:line="240" w:lineRule="auto" w:before="0" w:after="0"/>
              <w:jc w:val="left"/>
            </w:pPr>
            <w:r/>
            <w:r>
              <w:rPr>
                <w:rFonts w:ascii="Times New Roman" w:hAnsi="Times New Roman" w:eastAsia="Times New Roman"/>
                <w:b w:val="0"/>
                <w:i w:val="0"/>
                <w:sz w:val="21"/>
              </w:rPr>
              <w:t>Guidance effectiveness (RQ1, RQ2)</w:t>
            </w:r>
          </w:p>
        </w:tc>
        <w:tc>
          <w:tcPr>
            <w:tcW w:type="dxa" w:w="3312"/>
          </w:tcPr>
          <w:p>
            <w:pPr>
              <w:widowControl/>
              <w:spacing w:line="240" w:lineRule="auto" w:before="0" w:after="0"/>
              <w:jc w:val="left"/>
            </w:pPr>
            <w:r/>
            <w:r>
              <w:rPr>
                <w:rFonts w:ascii="Times New Roman" w:hAnsi="Times New Roman" w:eastAsia="Times New Roman"/>
                <w:b w:val="0"/>
                <w:i w:val="0"/>
                <w:sz w:val="21"/>
              </w:rPr>
              <w:t>Independently computed AutoDock Vina Dock score (mode = dock, exhaustiveness = 16), plus ligand efficiency, PoseBusters validity, QED, SA score and RA score as co-reported quality checks.</w:t>
            </w:r>
          </w:p>
        </w:tc>
        <w:tc>
          <w:tcPr>
            <w:tcW w:type="dxa" w:w="1584"/>
          </w:tcPr>
          <w:p>
            <w:pPr>
              <w:widowControl/>
              <w:spacing w:line="240" w:lineRule="auto" w:before="0" w:after="0"/>
              <w:jc w:val="left"/>
            </w:pPr>
            <w:r/>
            <w:r>
              <w:rPr>
                <w:rFonts w:ascii="Times New Roman" w:hAnsi="Times New Roman" w:eastAsia="Times New Roman"/>
                <w:b w:val="0"/>
                <w:i w:val="0"/>
                <w:sz w:val="21"/>
              </w:rPr>
              <w:t>One generated molecule–pocket trial.</w:t>
            </w:r>
          </w:p>
        </w:tc>
        <w:tc>
          <w:tcPr>
            <w:tcW w:type="dxa" w:w="3312"/>
          </w:tcPr>
          <w:p>
            <w:pPr>
              <w:widowControl/>
              <w:spacing w:line="240" w:lineRule="auto" w:before="0" w:after="0"/>
              <w:jc w:val="left"/>
            </w:pPr>
            <w:r/>
            <w:r>
              <w:rPr>
                <w:rFonts w:ascii="Times New Roman" w:hAnsi="Times New Roman" w:eastAsia="Times New Roman"/>
                <w:b w:val="0"/>
                <w:i w:val="0"/>
                <w:sz w:val="21"/>
              </w:rPr>
              <w:t>Guidance (gradient or selection) is applied only during sampling or candidate selection; the final score is always computed by a separate Vina pass with the same settings used for the unguided baseline, never by the selection-time score itself (avoids circularity).</w:t>
            </w:r>
          </w:p>
        </w:tc>
      </w:tr>
      <w:tr>
        <w:tc>
          <w:tcPr>
            <w:tcW w:type="dxa" w:w="2304"/>
          </w:tcPr>
          <w:p>
            <w:pPr>
              <w:widowControl/>
              <w:spacing w:line="240" w:lineRule="auto" w:before="0" w:after="0"/>
              <w:jc w:val="left"/>
            </w:pPr>
            <w:r/>
            <w:r>
              <w:rPr>
                <w:rFonts w:ascii="Times New Roman" w:hAnsi="Times New Roman" w:eastAsia="Times New Roman"/>
                <w:b w:val="0"/>
                <w:i w:val="0"/>
                <w:sz w:val="21"/>
              </w:rPr>
              <w:t>Binding-affinity predictive quality (RQ4, RQ5, RQ6)</w:t>
            </w:r>
          </w:p>
        </w:tc>
        <w:tc>
          <w:tcPr>
            <w:tcW w:type="dxa" w:w="3312"/>
          </w:tcPr>
          <w:p>
            <w:pPr>
              <w:widowControl/>
              <w:spacing w:line="240" w:lineRule="auto" w:before="0" w:after="0"/>
              <w:jc w:val="left"/>
            </w:pPr>
            <w:r/>
            <w:r>
              <w:rPr>
                <w:rFonts w:ascii="Times New Roman" w:hAnsi="Times New Roman" w:eastAsia="Times New Roman"/>
                <w:b w:val="0"/>
                <w:i w:val="0"/>
                <w:sz w:val="21"/>
              </w:rPr>
              <w:t>Coefficient of determination (R²) between predicted and experimental pK on a held-out split.</w:t>
            </w:r>
          </w:p>
        </w:tc>
        <w:tc>
          <w:tcPr>
            <w:tcW w:type="dxa" w:w="1584"/>
          </w:tcPr>
          <w:p>
            <w:pPr>
              <w:widowControl/>
              <w:spacing w:line="240" w:lineRule="auto" w:before="0" w:after="0"/>
              <w:jc w:val="left"/>
            </w:pPr>
            <w:r/>
            <w:r>
              <w:rPr>
                <w:rFonts w:ascii="Times New Roman" w:hAnsi="Times New Roman" w:eastAsia="Times New Roman"/>
                <w:b w:val="0"/>
                <w:i w:val="0"/>
                <w:sz w:val="21"/>
              </w:rPr>
              <w:t>Target cluster (for bootstrap confidence intervals); individual protein–ligand complex (for the underlying point predictions).</w:t>
            </w:r>
          </w:p>
        </w:tc>
        <w:tc>
          <w:tcPr>
            <w:tcW w:type="dxa" w:w="3312"/>
          </w:tcPr>
          <w:p>
            <w:pPr>
              <w:widowControl/>
              <w:spacing w:line="240" w:lineRule="auto" w:before="0" w:after="0"/>
              <w:jc w:val="left"/>
            </w:pPr>
            <w:r/>
            <w:r>
              <w:rPr>
                <w:rFonts w:ascii="Times New Roman" w:hAnsi="Times New Roman" w:eastAsia="Times New Roman"/>
                <w:b w:val="0"/>
                <w:i w:val="0"/>
                <w:sz w:val="21"/>
              </w:rPr>
              <w:t>Leakage-safe, target-disjoint split (an LP-PDBBind-style adaptation applied to CrossDocked2020); target-clustered bootstrap, B = 2000; Benjamini–Hochberg correction across all paired comparisons reported together.</w:t>
            </w:r>
          </w:p>
        </w:tc>
      </w:tr>
      <w:tr>
        <w:tc>
          <w:tcPr>
            <w:tcW w:type="dxa" w:w="2304"/>
          </w:tcPr>
          <w:p>
            <w:pPr>
              <w:widowControl/>
              <w:spacing w:line="240" w:lineRule="auto" w:before="0" w:after="0"/>
              <w:jc w:val="left"/>
            </w:pPr>
            <w:r/>
            <w:r>
              <w:rPr>
                <w:rFonts w:ascii="Times New Roman" w:hAnsi="Times New Roman" w:eastAsia="Times New Roman"/>
                <w:b w:val="0"/>
                <w:i w:val="0"/>
                <w:sz w:val="21"/>
              </w:rPr>
              <w:t>Chemical novelty of a test ligand</w:t>
            </w:r>
          </w:p>
        </w:tc>
        <w:tc>
          <w:tcPr>
            <w:tcW w:type="dxa" w:w="3312"/>
          </w:tcPr>
          <w:p>
            <w:pPr>
              <w:widowControl/>
              <w:spacing w:line="240" w:lineRule="auto" w:before="0" w:after="0"/>
              <w:jc w:val="left"/>
            </w:pPr>
            <w:r/>
            <w:r>
              <w:rPr>
                <w:rFonts w:ascii="Times New Roman" w:hAnsi="Times New Roman" w:eastAsia="Times New Roman"/>
                <w:b w:val="0"/>
                <w:i w:val="0"/>
                <w:sz w:val="21"/>
              </w:rPr>
              <w:t>Maximum ECFP4 Tanimoto similarity to any training-set ligand, binned into four tiers (novel &lt; 0.35, distant 0.35–0.50, related 0.50–0.70, same series ≥ 0.70).</w:t>
            </w:r>
          </w:p>
        </w:tc>
        <w:tc>
          <w:tcPr>
            <w:tcW w:type="dxa" w:w="1584"/>
          </w:tcPr>
          <w:p>
            <w:pPr>
              <w:widowControl/>
              <w:spacing w:line="240" w:lineRule="auto" w:before="0" w:after="0"/>
              <w:jc w:val="left"/>
            </w:pPr>
            <w:r/>
            <w:r>
              <w:rPr>
                <w:rFonts w:ascii="Times New Roman" w:hAnsi="Times New Roman" w:eastAsia="Times New Roman"/>
                <w:b w:val="0"/>
                <w:i w:val="0"/>
                <w:sz w:val="21"/>
              </w:rPr>
              <w:t>Individual test-set ligand.</w:t>
            </w:r>
          </w:p>
        </w:tc>
        <w:tc>
          <w:tcPr>
            <w:tcW w:type="dxa" w:w="3312"/>
          </w:tcPr>
          <w:p>
            <w:pPr>
              <w:widowControl/>
              <w:spacing w:line="240" w:lineRule="auto" w:before="0" w:after="0"/>
              <w:jc w:val="left"/>
            </w:pPr>
            <w:r/>
            <w:r>
              <w:rPr>
                <w:rFonts w:ascii="Times New Roman" w:hAnsi="Times New Roman" w:eastAsia="Times New Roman"/>
                <w:b w:val="0"/>
                <w:i w:val="0"/>
                <w:sz w:val="21"/>
              </w:rPr>
              <w:t>Computed once against the full training pool after the leakage-safe split is fixed; tiers are defined before any performance analysis is run on them.</w:t>
            </w:r>
          </w:p>
        </w:tc>
      </w:tr>
      <w:tr>
        <w:tc>
          <w:tcPr>
            <w:tcW w:type="dxa" w:w="2304"/>
          </w:tcPr>
          <w:p>
            <w:pPr>
              <w:widowControl/>
              <w:spacing w:line="240" w:lineRule="auto" w:before="0" w:after="0"/>
              <w:jc w:val="left"/>
            </w:pPr>
            <w:r/>
            <w:r>
              <w:rPr>
                <w:rFonts w:ascii="Times New Roman" w:hAnsi="Times New Roman" w:eastAsia="Times New Roman"/>
                <w:b w:val="0"/>
                <w:i w:val="0"/>
                <w:sz w:val="21"/>
              </w:rPr>
              <w:t>Class-level prior (RQ5)</w:t>
            </w:r>
          </w:p>
        </w:tc>
        <w:tc>
          <w:tcPr>
            <w:tcW w:type="dxa" w:w="3312"/>
          </w:tcPr>
          <w:p>
            <w:pPr>
              <w:widowControl/>
              <w:spacing w:line="240" w:lineRule="auto" w:before="0" w:after="0"/>
              <w:jc w:val="left"/>
            </w:pPr>
            <w:r/>
            <w:r>
              <w:rPr>
                <w:rFonts w:ascii="Times New Roman" w:hAnsi="Times New Roman" w:eastAsia="Times New Roman"/>
                <w:b w:val="0"/>
                <w:i w:val="0"/>
                <w:sz w:val="21"/>
              </w:rPr>
              <w:t xml:space="preserve">R² of a model whose features are unchanged but whose training labels are permuted </w:t>
            </w:r>
            <w:r>
              <w:rPr>
                <w:rFonts w:ascii="Times New Roman" w:hAnsi="Times New Roman" w:eastAsia="Times New Roman"/>
                <w:b w:val="0"/>
                <w:i/>
                <w:sz w:val="21"/>
              </w:rPr>
              <w:t>within</w:t>
            </w:r>
            <w:r>
              <w:rPr>
                <w:rFonts w:ascii="Times New Roman" w:hAnsi="Times New Roman" w:eastAsia="Times New Roman"/>
                <w:b w:val="0"/>
                <w:i w:val="0"/>
                <w:sz w:val="21"/>
              </w:rPr>
              <w:t xml:space="preserve"> each target (so the per-target label multiset, i.e. the class-typical affinity range, is preserved while ligand-to-label assignment is destroyed).</w:t>
            </w:r>
          </w:p>
        </w:tc>
        <w:tc>
          <w:tcPr>
            <w:tcW w:type="dxa" w:w="1584"/>
          </w:tcPr>
          <w:p>
            <w:pPr>
              <w:widowControl/>
              <w:spacing w:line="240" w:lineRule="auto" w:before="0" w:after="0"/>
              <w:jc w:val="left"/>
            </w:pPr>
            <w:r/>
            <w:r>
              <w:rPr>
                <w:rFonts w:ascii="Times New Roman" w:hAnsi="Times New Roman" w:eastAsia="Times New Roman"/>
                <w:b w:val="0"/>
                <w:i w:val="0"/>
                <w:sz w:val="21"/>
              </w:rPr>
              <w:t>Protein target (permutation is applied within each target’s rows).</w:t>
            </w:r>
          </w:p>
        </w:tc>
        <w:tc>
          <w:tcPr>
            <w:tcW w:type="dxa" w:w="3312"/>
          </w:tcPr>
          <w:p>
            <w:pPr>
              <w:widowControl/>
              <w:spacing w:line="240" w:lineRule="auto" w:before="0" w:after="0"/>
              <w:jc w:val="left"/>
            </w:pPr>
            <w:r/>
            <w:r>
              <w:rPr>
                <w:rFonts w:ascii="Times New Roman" w:hAnsi="Times New Roman" w:eastAsia="Times New Roman"/>
                <w:b w:val="0"/>
                <w:i w:val="0"/>
                <w:sz w:val="21"/>
              </w:rPr>
              <w:t>20 permutations for the descriptor pipeline; one full retraining run under a fixed seed for the EGNN architecture, using the same hyperparameters and split as the deployed checkpoint.</w:t>
            </w:r>
          </w:p>
        </w:tc>
      </w:tr>
    </w:tbl>
    <w:p/>
    <w:p>
      <w:pPr>
        <w:keepNext/>
        <w:widowControl/>
        <w:spacing w:line="288" w:lineRule="auto" w:before="360" w:after="160"/>
        <w:jc w:val="left"/>
      </w:pPr>
      <w:r>
        <w:rPr>
          <w:rFonts w:ascii="Times New Roman" w:hAnsi="Times New Roman" w:eastAsia="Times New Roman"/>
          <w:b/>
          <w:i w:val="0"/>
          <w:sz w:val="26"/>
        </w:rPr>
        <w:t>1.5  Research Design Overview</w:t>
      </w:r>
    </w:p>
    <w:p>
      <w:pPr>
        <w:widowControl/>
        <w:spacing w:line="360" w:lineRule="auto" w:before="0" w:after="160"/>
        <w:ind w:firstLine="432"/>
        <w:jc w:val="both"/>
      </w:pPr>
      <w:r>
        <w:rPr>
          <w:rFonts w:ascii="Times New Roman" w:hAnsi="Times New Roman" w:eastAsia="Times New Roman"/>
          <w:b w:val="0"/>
          <w:i w:val="0"/>
          <w:sz w:val="24"/>
        </w:rPr>
        <w:t>Table 1.2 aligns each research question with the design type used to answer it, following the question-to-design-to-claim mapping introduced in the course materials. All designs reuse one frozen generator, one pocket set, and one statistical protocol (target-clustered bootstrap with Benjamini–Hochberg correction), so that a claim of “no effect” in one route is comparable in strength to a claim of “effect” in another.</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720"/>
          </w:tcPr>
          <w:p>
            <w:pPr>
              <w:widowControl/>
              <w:spacing w:line="240" w:lineRule="auto" w:before="0" w:after="0"/>
              <w:jc w:val="left"/>
            </w:pPr>
            <w:r/>
            <w:r>
              <w:rPr>
                <w:rFonts w:ascii="Times New Roman" w:hAnsi="Times New Roman" w:eastAsia="Times New Roman"/>
                <w:b/>
                <w:i w:val="0"/>
                <w:sz w:val="21"/>
              </w:rPr>
              <w:t>RQ</w:t>
            </w:r>
          </w:p>
        </w:tc>
        <w:tc>
          <w:tcPr>
            <w:tcW w:type="dxa" w:w="2880"/>
          </w:tcPr>
          <w:p>
            <w:pPr>
              <w:widowControl/>
              <w:spacing w:line="240" w:lineRule="auto" w:before="0" w:after="0"/>
              <w:jc w:val="left"/>
            </w:pPr>
            <w:r/>
            <w:r>
              <w:rPr>
                <w:rFonts w:ascii="Times New Roman" w:hAnsi="Times New Roman" w:eastAsia="Times New Roman"/>
                <w:b/>
                <w:i w:val="0"/>
                <w:sz w:val="21"/>
              </w:rPr>
              <w:t>Design type</w:t>
            </w:r>
          </w:p>
        </w:tc>
        <w:tc>
          <w:tcPr>
            <w:tcW w:type="dxa" w:w="3312"/>
          </w:tcPr>
          <w:p>
            <w:pPr>
              <w:widowControl/>
              <w:spacing w:line="240" w:lineRule="auto" w:before="0" w:after="0"/>
              <w:jc w:val="left"/>
            </w:pPr>
            <w:r/>
            <w:r>
              <w:rPr>
                <w:rFonts w:ascii="Times New Roman" w:hAnsi="Times New Roman" w:eastAsia="Times New Roman"/>
                <w:b/>
                <w:i w:val="0"/>
                <w:sz w:val="21"/>
              </w:rPr>
              <w:t>Comparison / manipulation</w:t>
            </w:r>
          </w:p>
        </w:tc>
        <w:tc>
          <w:tcPr>
            <w:tcW w:type="dxa" w:w="2448"/>
          </w:tcPr>
          <w:p>
            <w:pPr>
              <w:widowControl/>
              <w:spacing w:line="240" w:lineRule="auto" w:before="0" w:after="0"/>
              <w:jc w:val="left"/>
            </w:pPr>
            <w:r/>
            <w:r>
              <w:rPr>
                <w:rFonts w:ascii="Times New Roman" w:hAnsi="Times New Roman" w:eastAsia="Times New Roman"/>
                <w:b/>
                <w:i w:val="0"/>
                <w:sz w:val="21"/>
              </w:rPr>
              <w:t>Primary outcome</w:t>
            </w:r>
          </w:p>
        </w:tc>
      </w:tr>
      <w:tr>
        <w:tc>
          <w:tcPr>
            <w:tcW w:type="dxa" w:w="720"/>
          </w:tcPr>
          <w:p>
            <w:pPr>
              <w:widowControl/>
              <w:spacing w:line="240" w:lineRule="auto" w:before="0" w:after="0"/>
              <w:jc w:val="left"/>
            </w:pPr>
            <w:r/>
            <w:r>
              <w:rPr>
                <w:rFonts w:ascii="Times New Roman" w:hAnsi="Times New Roman" w:eastAsia="Times New Roman"/>
                <w:b w:val="0"/>
                <w:i w:val="0"/>
                <w:sz w:val="21"/>
              </w:rPr>
              <w:t>RQ1</w:t>
            </w:r>
          </w:p>
        </w:tc>
        <w:tc>
          <w:tcPr>
            <w:tcW w:type="dxa" w:w="2880"/>
          </w:tcPr>
          <w:p>
            <w:pPr>
              <w:widowControl/>
              <w:spacing w:line="240" w:lineRule="auto" w:before="0" w:after="0"/>
              <w:jc w:val="left"/>
            </w:pPr>
            <w:r/>
            <w:r>
              <w:rPr>
                <w:rFonts w:ascii="Times New Roman" w:hAnsi="Times New Roman" w:eastAsia="Times New Roman"/>
                <w:b w:val="0"/>
                <w:i w:val="0"/>
                <w:sz w:val="21"/>
              </w:rPr>
              <w:t>Within-generator repeated-measures experiment (benchmarking, replicated across targets)</w:t>
            </w:r>
          </w:p>
        </w:tc>
        <w:tc>
          <w:tcPr>
            <w:tcW w:type="dxa" w:w="3312"/>
          </w:tcPr>
          <w:p>
            <w:pPr>
              <w:widowControl/>
              <w:spacing w:line="240" w:lineRule="auto" w:before="0" w:after="0"/>
              <w:jc w:val="left"/>
            </w:pPr>
            <w:r/>
            <w:r>
              <w:rPr>
                <w:rFonts w:ascii="Times New Roman" w:hAnsi="Times New Roman" w:eastAsia="Times New Roman"/>
                <w:b w:val="0"/>
                <w:i w:val="0"/>
                <w:sz w:val="21"/>
              </w:rPr>
              <w:t>Gradient-guided vs. unguided sampling, same pockets, two predictor architectures, three mechanism variants</w:t>
            </w:r>
          </w:p>
        </w:tc>
        <w:tc>
          <w:tcPr>
            <w:tcW w:type="dxa" w:w="2448"/>
          </w:tcPr>
          <w:p>
            <w:pPr>
              <w:widowControl/>
              <w:spacing w:line="240" w:lineRule="auto" w:before="0" w:after="0"/>
              <w:jc w:val="left"/>
            </w:pPr>
            <w:r/>
            <w:r>
              <w:rPr>
                <w:rFonts w:ascii="Times New Roman" w:hAnsi="Times New Roman" w:eastAsia="Times New Roman"/>
                <w:b w:val="0"/>
                <w:i w:val="0"/>
                <w:sz w:val="21"/>
              </w:rPr>
              <w:t>Independently computed Vina Dock score</w:t>
            </w:r>
          </w:p>
        </w:tc>
      </w:tr>
      <w:tr>
        <w:tc>
          <w:tcPr>
            <w:tcW w:type="dxa" w:w="720"/>
          </w:tcPr>
          <w:p>
            <w:pPr>
              <w:widowControl/>
              <w:spacing w:line="240" w:lineRule="auto" w:before="0" w:after="0"/>
              <w:jc w:val="left"/>
            </w:pPr>
            <w:r/>
            <w:r>
              <w:rPr>
                <w:rFonts w:ascii="Times New Roman" w:hAnsi="Times New Roman" w:eastAsia="Times New Roman"/>
                <w:b w:val="0"/>
                <w:i w:val="0"/>
                <w:sz w:val="21"/>
              </w:rPr>
              <w:t>RQ2</w:t>
            </w:r>
          </w:p>
        </w:tc>
        <w:tc>
          <w:tcPr>
            <w:tcW w:type="dxa" w:w="2880"/>
          </w:tcPr>
          <w:p>
            <w:pPr>
              <w:widowControl/>
              <w:spacing w:line="240" w:lineRule="auto" w:before="0" w:after="0"/>
              <w:jc w:val="left"/>
            </w:pPr>
            <w:r/>
            <w:r>
              <w:rPr>
                <w:rFonts w:ascii="Times New Roman" w:hAnsi="Times New Roman" w:eastAsia="Times New Roman"/>
                <w:b w:val="0"/>
                <w:i w:val="0"/>
                <w:sz w:val="21"/>
              </w:rPr>
              <w:t>Within-generator repeated-measures experiment (positive control)</w:t>
            </w:r>
          </w:p>
        </w:tc>
        <w:tc>
          <w:tcPr>
            <w:tcW w:type="dxa" w:w="3312"/>
          </w:tcPr>
          <w:p>
            <w:pPr>
              <w:widowControl/>
              <w:spacing w:line="240" w:lineRule="auto" w:before="0" w:after="0"/>
              <w:jc w:val="left"/>
            </w:pPr>
            <w:r/>
            <w:r>
              <w:rPr>
                <w:rFonts w:ascii="Times New Roman" w:hAnsi="Times New Roman" w:eastAsia="Times New Roman"/>
                <w:b w:val="0"/>
                <w:i w:val="0"/>
                <w:sz w:val="21"/>
              </w:rPr>
              <w:t>Best-of-N Vina-score reranking vs. unguided sampling, same pockets and independent evaluation pass</w:t>
            </w:r>
          </w:p>
        </w:tc>
        <w:tc>
          <w:tcPr>
            <w:tcW w:type="dxa" w:w="2448"/>
          </w:tcPr>
          <w:p>
            <w:pPr>
              <w:widowControl/>
              <w:spacing w:line="240" w:lineRule="auto" w:before="0" w:after="0"/>
              <w:jc w:val="left"/>
            </w:pPr>
            <w:r/>
            <w:r>
              <w:rPr>
                <w:rFonts w:ascii="Times New Roman" w:hAnsi="Times New Roman" w:eastAsia="Times New Roman"/>
                <w:b w:val="0"/>
                <w:i w:val="0"/>
                <w:sz w:val="21"/>
              </w:rPr>
              <w:t>Independently computed Vina Dock score, plus quality-degradation checks</w:t>
            </w:r>
          </w:p>
        </w:tc>
      </w:tr>
      <w:tr>
        <w:tc>
          <w:tcPr>
            <w:tcW w:type="dxa" w:w="720"/>
          </w:tcPr>
          <w:p>
            <w:pPr>
              <w:widowControl/>
              <w:spacing w:line="240" w:lineRule="auto" w:before="0" w:after="0"/>
              <w:jc w:val="left"/>
            </w:pPr>
            <w:r/>
            <w:r>
              <w:rPr>
                <w:rFonts w:ascii="Times New Roman" w:hAnsi="Times New Roman" w:eastAsia="Times New Roman"/>
                <w:b w:val="0"/>
                <w:i w:val="0"/>
                <w:sz w:val="21"/>
              </w:rPr>
              <w:t>RQ3</w:t>
            </w:r>
          </w:p>
        </w:tc>
        <w:tc>
          <w:tcPr>
            <w:tcW w:type="dxa" w:w="2880"/>
          </w:tcPr>
          <w:p>
            <w:pPr>
              <w:widowControl/>
              <w:spacing w:line="240" w:lineRule="auto" w:before="0" w:after="0"/>
              <w:jc w:val="left"/>
            </w:pPr>
            <w:r/>
            <w:r>
              <w:rPr>
                <w:rFonts w:ascii="Times New Roman" w:hAnsi="Times New Roman" w:eastAsia="Times New Roman"/>
                <w:b w:val="0"/>
                <w:i w:val="0"/>
                <w:sz w:val="21"/>
              </w:rPr>
              <w:t>Observational / diagnostic (no experimental manipulation of the generator)</w:t>
            </w:r>
          </w:p>
        </w:tc>
        <w:tc>
          <w:tcPr>
            <w:tcW w:type="dxa" w:w="3312"/>
          </w:tcPr>
          <w:p>
            <w:pPr>
              <w:widowControl/>
              <w:spacing w:line="240" w:lineRule="auto" w:before="0" w:after="0"/>
              <w:jc w:val="left"/>
            </w:pPr>
            <w:r/>
            <w:r>
              <w:rPr>
                <w:rFonts w:ascii="Times New Roman" w:hAnsi="Times New Roman" w:eastAsia="Times New Roman"/>
                <w:b w:val="0"/>
                <w:i w:val="0"/>
                <w:sz w:val="21"/>
              </w:rPr>
              <w:t>Gradient magnitude as a function of atomic distance from the pocket; factorial atom-removal ablation</w:t>
            </w:r>
          </w:p>
        </w:tc>
        <w:tc>
          <w:tcPr>
            <w:tcW w:type="dxa" w:w="2448"/>
          </w:tcPr>
          <w:p>
            <w:pPr>
              <w:widowControl/>
              <w:spacing w:line="240" w:lineRule="auto" w:before="0" w:after="0"/>
              <w:jc w:val="left"/>
            </w:pPr>
            <w:r/>
            <w:r>
              <w:rPr>
                <w:rFonts w:ascii="Times New Roman" w:hAnsi="Times New Roman" w:eastAsia="Times New Roman"/>
                <w:b w:val="0"/>
                <w:i w:val="0"/>
                <w:sz w:val="21"/>
              </w:rPr>
              <w:t>Spearman correlation; per-condition mean |Δ prediction|, target-clustered CI</w:t>
            </w:r>
          </w:p>
        </w:tc>
      </w:tr>
      <w:tr>
        <w:tc>
          <w:tcPr>
            <w:tcW w:type="dxa" w:w="720"/>
          </w:tcPr>
          <w:p>
            <w:pPr>
              <w:widowControl/>
              <w:spacing w:line="240" w:lineRule="auto" w:before="0" w:after="0"/>
              <w:jc w:val="left"/>
            </w:pPr>
            <w:r/>
            <w:r>
              <w:rPr>
                <w:rFonts w:ascii="Times New Roman" w:hAnsi="Times New Roman" w:eastAsia="Times New Roman"/>
                <w:b w:val="0"/>
                <w:i w:val="0"/>
                <w:sz w:val="21"/>
              </w:rPr>
              <w:t>RQ4</w:t>
            </w:r>
          </w:p>
        </w:tc>
        <w:tc>
          <w:tcPr>
            <w:tcW w:type="dxa" w:w="2880"/>
          </w:tcPr>
          <w:p>
            <w:pPr>
              <w:widowControl/>
              <w:spacing w:line="240" w:lineRule="auto" w:before="0" w:after="0"/>
              <w:jc w:val="left"/>
            </w:pPr>
            <w:r/>
            <w:r>
              <w:rPr>
                <w:rFonts w:ascii="Times New Roman" w:hAnsi="Times New Roman" w:eastAsia="Times New Roman"/>
                <w:b w:val="0"/>
                <w:i w:val="0"/>
                <w:sz w:val="21"/>
              </w:rPr>
              <w:t>Comparative benchmarking (representation ablation / factorial feature blocks)</w:t>
            </w:r>
          </w:p>
        </w:tc>
        <w:tc>
          <w:tcPr>
            <w:tcW w:type="dxa" w:w="3312"/>
          </w:tcPr>
          <w:p>
            <w:pPr>
              <w:widowControl/>
              <w:spacing w:line="240" w:lineRule="auto" w:before="0" w:after="0"/>
              <w:jc w:val="left"/>
            </w:pPr>
            <w:r/>
            <w:r>
              <w:rPr>
                <w:rFonts w:ascii="Times New Roman" w:hAnsi="Times New Roman" w:eastAsia="Times New Roman"/>
                <w:b w:val="0"/>
                <w:i w:val="0"/>
                <w:sz w:val="21"/>
              </w:rPr>
              <w:t>Typed-interaction features vs. ligand-only / pocket-only / interaction-plus-size feature blocks</w:t>
            </w:r>
          </w:p>
        </w:tc>
        <w:tc>
          <w:tcPr>
            <w:tcW w:type="dxa" w:w="2448"/>
          </w:tcPr>
          <w:p>
            <w:pPr>
              <w:widowControl/>
              <w:spacing w:line="240" w:lineRule="auto" w:before="0" w:after="0"/>
              <w:jc w:val="left"/>
            </w:pPr>
            <w:r/>
            <w:r>
              <w:rPr>
                <w:rFonts w:ascii="Times New Roman" w:hAnsi="Times New Roman" w:eastAsia="Times New Roman"/>
                <w:b w:val="0"/>
                <w:i w:val="0"/>
                <w:sz w:val="21"/>
              </w:rPr>
              <w:t>Target-clustered, BH-corrected R²</w:t>
            </w:r>
          </w:p>
        </w:tc>
      </w:tr>
      <w:tr>
        <w:tc>
          <w:tcPr>
            <w:tcW w:type="dxa" w:w="720"/>
          </w:tcPr>
          <w:p>
            <w:pPr>
              <w:widowControl/>
              <w:spacing w:line="240" w:lineRule="auto" w:before="0" w:after="0"/>
              <w:jc w:val="left"/>
            </w:pPr>
            <w:r/>
            <w:r>
              <w:rPr>
                <w:rFonts w:ascii="Times New Roman" w:hAnsi="Times New Roman" w:eastAsia="Times New Roman"/>
                <w:b w:val="0"/>
                <w:i w:val="0"/>
                <w:sz w:val="21"/>
              </w:rPr>
              <w:t>RQ5</w:t>
            </w:r>
          </w:p>
        </w:tc>
        <w:tc>
          <w:tcPr>
            <w:tcW w:type="dxa" w:w="2880"/>
          </w:tcPr>
          <w:p>
            <w:pPr>
              <w:widowControl/>
              <w:spacing w:line="240" w:lineRule="auto" w:before="0" w:after="0"/>
              <w:jc w:val="left"/>
            </w:pPr>
            <w:r/>
            <w:r>
              <w:rPr>
                <w:rFonts w:ascii="Times New Roman" w:hAnsi="Times New Roman" w:eastAsia="Times New Roman"/>
                <w:b w:val="0"/>
                <w:i w:val="0"/>
                <w:sz w:val="21"/>
              </w:rPr>
              <w:t>Quasi-experimental manipulation (within-target label permutation, a randomisation-test design)</w:t>
            </w:r>
          </w:p>
        </w:tc>
        <w:tc>
          <w:tcPr>
            <w:tcW w:type="dxa" w:w="3312"/>
          </w:tcPr>
          <w:p>
            <w:pPr>
              <w:widowControl/>
              <w:spacing w:line="240" w:lineRule="auto" w:before="0" w:after="0"/>
              <w:jc w:val="left"/>
            </w:pPr>
            <w:r/>
            <w:r>
              <w:rPr>
                <w:rFonts w:ascii="Times New Roman" w:hAnsi="Times New Roman" w:eastAsia="Times New Roman"/>
                <w:b w:val="0"/>
                <w:i w:val="0"/>
                <w:sz w:val="21"/>
              </w:rPr>
              <w:t>Real labels vs. within-target-permuted labels, same architecture, hyperparameters and split</w:t>
            </w:r>
          </w:p>
        </w:tc>
        <w:tc>
          <w:tcPr>
            <w:tcW w:type="dxa" w:w="2448"/>
          </w:tcPr>
          <w:p>
            <w:pPr>
              <w:widowControl/>
              <w:spacing w:line="240" w:lineRule="auto" w:before="0" w:after="0"/>
              <w:jc w:val="left"/>
            </w:pPr>
            <w:r/>
            <w:r>
              <w:rPr>
                <w:rFonts w:ascii="Times New Roman" w:hAnsi="Times New Roman" w:eastAsia="Times New Roman"/>
                <w:b w:val="0"/>
                <w:i w:val="0"/>
                <w:sz w:val="21"/>
              </w:rPr>
              <w:t>R² under permutation vs. R² under real labels</w:t>
            </w:r>
          </w:p>
        </w:tc>
      </w:tr>
      <w:tr>
        <w:tc>
          <w:tcPr>
            <w:tcW w:type="dxa" w:w="720"/>
          </w:tcPr>
          <w:p>
            <w:pPr>
              <w:widowControl/>
              <w:spacing w:line="240" w:lineRule="auto" w:before="0" w:after="0"/>
              <w:jc w:val="left"/>
            </w:pPr>
            <w:r/>
            <w:r>
              <w:rPr>
                <w:rFonts w:ascii="Times New Roman" w:hAnsi="Times New Roman" w:eastAsia="Times New Roman"/>
                <w:b w:val="0"/>
                <w:i w:val="0"/>
                <w:sz w:val="21"/>
              </w:rPr>
              <w:t>RQ6</w:t>
            </w:r>
          </w:p>
        </w:tc>
        <w:tc>
          <w:tcPr>
            <w:tcW w:type="dxa" w:w="2880"/>
          </w:tcPr>
          <w:p>
            <w:pPr>
              <w:widowControl/>
              <w:spacing w:line="240" w:lineRule="auto" w:before="0" w:after="0"/>
              <w:jc w:val="left"/>
            </w:pPr>
            <w:r/>
            <w:r>
              <w:rPr>
                <w:rFonts w:ascii="Times New Roman" w:hAnsi="Times New Roman" w:eastAsia="Times New Roman"/>
                <w:b w:val="0"/>
                <w:i w:val="0"/>
                <w:sz w:val="21"/>
              </w:rPr>
              <w:t>Observational statistical power analysis, derived from repeat-measurement label noise and measured between-seed model variance</w:t>
            </w:r>
          </w:p>
        </w:tc>
        <w:tc>
          <w:tcPr>
            <w:tcW w:type="dxa" w:w="3312"/>
          </w:tcPr>
          <w:p>
            <w:pPr>
              <w:widowControl/>
              <w:spacing w:line="240" w:lineRule="auto" w:before="0" w:after="0"/>
              <w:jc w:val="left"/>
            </w:pPr>
            <w:r/>
            <w:r>
              <w:rPr>
                <w:rFonts w:ascii="Times New Roman" w:hAnsi="Times New Roman" w:eastAsia="Times New Roman"/>
                <w:b w:val="0"/>
                <w:i w:val="0"/>
                <w:sz w:val="21"/>
              </w:rPr>
              <w:t>Noise-imposed ceiling vs. ligand-only floor vs. average CI width</w:t>
            </w:r>
          </w:p>
        </w:tc>
        <w:tc>
          <w:tcPr>
            <w:tcW w:type="dxa" w:w="2448"/>
          </w:tcPr>
          <w:p>
            <w:pPr>
              <w:widowControl/>
              <w:spacing w:line="240" w:lineRule="auto" w:before="0" w:after="0"/>
              <w:jc w:val="left"/>
            </w:pPr>
            <w:r/>
            <w:r>
              <w:rPr>
                <w:rFonts w:ascii="Times New Roman" w:hAnsi="Times New Roman" w:eastAsia="Times New Roman"/>
                <w:b w:val="0"/>
                <w:i w:val="0"/>
                <w:sz w:val="21"/>
              </w:rPr>
              <w:t>R² window width vs. average bootstrap CI width</w:t>
            </w:r>
          </w:p>
        </w:tc>
      </w:tr>
    </w:tbl>
    <w:p/>
    <w:p>
      <w:pPr>
        <w:keepNext/>
        <w:widowControl/>
        <w:spacing w:line="288" w:lineRule="auto" w:before="360" w:after="160"/>
        <w:jc w:val="left"/>
      </w:pPr>
      <w:r>
        <w:rPr>
          <w:rFonts w:ascii="Times New Roman" w:hAnsi="Times New Roman" w:eastAsia="Times New Roman"/>
          <w:b/>
          <w:i w:val="0"/>
          <w:sz w:val="26"/>
        </w:rPr>
        <w:t>1.6  Scope, Significance, and Contributions</w:t>
      </w:r>
    </w:p>
    <w:p>
      <w:pPr>
        <w:widowControl/>
        <w:spacing w:line="360" w:lineRule="auto" w:before="0" w:after="160"/>
        <w:ind w:firstLine="432"/>
        <w:jc w:val="both"/>
      </w:pPr>
      <w:r>
        <w:rPr>
          <w:rFonts w:ascii="Times New Roman" w:hAnsi="Times New Roman" w:eastAsia="Times New Roman"/>
          <w:b w:val="0"/>
          <w:i w:val="0"/>
          <w:sz w:val="24"/>
        </w:rPr>
        <w:t xml:space="preserve">The thesis this chapter introduces is not organised around a single positive claim, but around a </w:t>
      </w:r>
      <w:r>
        <w:rPr>
          <w:rFonts w:ascii="Times New Roman" w:hAnsi="Times New Roman" w:eastAsia="Times New Roman"/>
          <w:b w:val="0"/>
          <w:i/>
          <w:sz w:val="24"/>
        </w:rPr>
        <w:t>falsification design</w:t>
      </w:r>
      <w:r>
        <w:rPr>
          <w:rFonts w:ascii="Times New Roman" w:hAnsi="Times New Roman" w:eastAsia="Times New Roman"/>
          <w:b w:val="0"/>
          <w:i w:val="0"/>
          <w:sz w:val="24"/>
        </w:rPr>
        <w:t>: guidance is implemented and tested in good faith, and when it fails, the same statistical and diagnostic discipline is turned on the failure itself rather than treated as an endpoint. Null and negative results are reported here as legitimate scientific outcomes, not as a shortfall to be minimised, consistent with the course’s own guidance that transparent reporting includes negative, null, or contradictory findings together with their limitations.</w:t>
      </w:r>
    </w:p>
    <w:p>
      <w:pPr>
        <w:widowControl/>
        <w:spacing w:line="360" w:lineRule="auto" w:before="0" w:after="160"/>
        <w:ind w:firstLine="432"/>
        <w:jc w:val="both"/>
      </w:pPr>
      <w:r>
        <w:rPr>
          <w:rFonts w:ascii="Times New Roman" w:hAnsi="Times New Roman" w:eastAsia="Times New Roman"/>
          <w:b w:val="0"/>
          <w:i w:val="0"/>
          <w:sz w:val="24"/>
        </w:rPr>
        <w:t xml:space="preserve">Within that design, five claims are judged, after an eight-round literature search, to be defensible as novel at the time of writing: (1) a factorial ablation that separates the </w:t>
      </w:r>
      <w:r>
        <w:rPr>
          <w:rFonts w:ascii="Times New Roman" w:hAnsi="Times New Roman" w:eastAsia="Times New Roman"/>
          <w:b w:val="0"/>
          <w:i/>
          <w:sz w:val="24"/>
        </w:rPr>
        <w:t>quantity</w:t>
      </w:r>
      <w:r>
        <w:rPr>
          <w:rFonts w:ascii="Times New Roman" w:hAnsi="Times New Roman" w:eastAsia="Times New Roman"/>
          <w:b w:val="0"/>
          <w:i w:val="0"/>
          <w:sz w:val="24"/>
        </w:rPr>
        <w:t xml:space="preserve"> of protein atoms present from the </w:t>
      </w:r>
      <w:r>
        <w:rPr>
          <w:rFonts w:ascii="Times New Roman" w:hAnsi="Times New Roman" w:eastAsia="Times New Roman"/>
          <w:b w:val="0"/>
          <w:i/>
          <w:sz w:val="24"/>
        </w:rPr>
        <w:t>identity</w:t>
      </w:r>
      <w:r>
        <w:rPr>
          <w:rFonts w:ascii="Times New Roman" w:hAnsi="Times New Roman" w:eastAsia="Times New Roman"/>
          <w:b w:val="0"/>
          <w:i w:val="0"/>
          <w:sz w:val="24"/>
        </w:rPr>
        <w:t xml:space="preserve"> of the interface they form, which no attribution-based study examined was found to do; (2) a class-prior decomposition of apparent affinity-model performance via within-target y-randomisation, replicated for the deployed 3-D equivariant architecture itself and not only for a descriptor baseline; (3) a task-level statistical power analysis showing the resolvable performance window is narrower than one confidence interval on this benchmark; (4) the explicit connection from an information-content audit of the guidance predictor to the observed guidance failure, which situates the guidance literature and the affinity-prediction-reliability literature against each other directly; and (5) ternary (1.58-bit) quantization-aware training of a 3-D equivariant affinity network, validated not only on accuracy (indistinguishable from full precision at R² = 0.3437 ± 0.0377 vs. 0.3420) but on geometric equivariance under rigid motion, where the measured deviation sits at the floating-point ULP floor itself. One further claim, concerning the best-of-N reranking mechanism used for RQ2, was narrowed after a directed literature search found that best-of-N/best-of-K selection for diffusion SBDD had already been proposed as a generation technique in its own right [15]; the defensible contribution of RQ2 is not the selection mechanism itself but its use as a </w:t>
      </w:r>
      <w:r>
        <w:rPr>
          <w:rFonts w:ascii="Times New Roman" w:hAnsi="Times New Roman" w:eastAsia="Times New Roman"/>
          <w:b w:val="0"/>
          <w:i/>
          <w:sz w:val="24"/>
        </w:rPr>
        <w:t>diagnostic instrument</w:t>
      </w:r>
      <w:r>
        <w:rPr>
          <w:rFonts w:ascii="Times New Roman" w:hAnsi="Times New Roman" w:eastAsia="Times New Roman"/>
          <w:b w:val="0"/>
          <w:i w:val="0"/>
          <w:sz w:val="24"/>
        </w:rPr>
        <w:t xml:space="preserve"> that isolates signal quality from guidance mechanism by direct comparison on the same generator and pockets, a use not reported in that source.</w:t>
      </w:r>
    </w:p>
    <w:p>
      <w:pPr>
        <w:widowControl/>
        <w:spacing w:line="360" w:lineRule="auto" w:before="0" w:after="160"/>
        <w:ind w:firstLine="432"/>
        <w:jc w:val="both"/>
      </w:pPr>
      <w:r>
        <w:rPr>
          <w:rFonts w:ascii="Times New Roman" w:hAnsi="Times New Roman" w:eastAsia="Times New Roman"/>
          <w:b w:val="0"/>
          <w:i w:val="0"/>
          <w:sz w:val="24"/>
        </w:rPr>
        <w:t>Beyond these five, several findings replicate and sharpen results already present in the literature — most prominently that ligand-only descriptors are statistically indistinguishable from a 3-D structure-aware model on this leakage-controlled split, consistent with earlier reports that structure-based machine-learned scoring functions do not reliably outperform ligand-only or bias-only baselines [33]. These are reported as replications, not as new contributions, in keeping with the course’s distinction between novelty and rigor as separate criteria for a defensible research problem.</w:t>
      </w:r>
    </w:p>
    <w:p>
      <w:pPr>
        <w:keepNext/>
        <w:widowControl/>
        <w:spacing w:line="288" w:lineRule="auto" w:before="360" w:after="160"/>
        <w:jc w:val="left"/>
      </w:pPr>
      <w:r>
        <w:rPr>
          <w:rFonts w:ascii="Times New Roman" w:hAnsi="Times New Roman" w:eastAsia="Times New Roman"/>
          <w:b/>
          <w:i w:val="0"/>
          <w:sz w:val="26"/>
        </w:rPr>
        <w:t>1.7  Organization of the Remaining Chapters</w:t>
      </w:r>
    </w:p>
    <w:p>
      <w:pPr>
        <w:widowControl/>
        <w:spacing w:line="360" w:lineRule="auto" w:before="0" w:after="160"/>
        <w:ind w:firstLine="432"/>
        <w:jc w:val="both"/>
      </w:pPr>
      <w:r>
        <w:rPr>
          <w:rFonts w:ascii="Times New Roman" w:hAnsi="Times New Roman" w:eastAsia="Times New Roman"/>
          <w:b w:val="0"/>
          <w:i w:val="0"/>
          <w:sz w:val="24"/>
        </w:rPr>
        <w:t>Chapter II reviews the literature underlying each research question above, organised by theme rather than by chapter of the underlying thesis, and closes with a conceptual framework that positions this work against the closest prior studies. The methodology (data, models, guidance mechanisms, statistical protocol and integrity checks), the full experimental results for each research question, and the cross-cutting discussion and conclusion are reported in the companion thesis chapters and are outside the scope of this Week 5 draft, which covers Chapters I and II only, as specified by the assignment.</w:t>
      </w:r>
    </w:p>
    <w:p>
      <w:r>
        <w:br w:type="page"/>
      </w:r>
    </w:p>
    <w:p>
      <w:pPr>
        <w:keepNext/>
        <w:widowControl/>
        <w:spacing w:line="288" w:lineRule="auto" w:before="0" w:after="360"/>
        <w:jc w:val="center"/>
      </w:pPr>
      <w:r>
        <w:rPr>
          <w:rFonts w:ascii="Times New Roman" w:hAnsi="Times New Roman" w:eastAsia="Times New Roman"/>
          <w:b/>
          <w:i w:val="0"/>
          <w:sz w:val="32"/>
        </w:rPr>
        <w:t>CHAPTER II — LITERATURE REVIEW</w:t>
      </w:r>
    </w:p>
    <w:p>
      <w:pPr>
        <w:widowControl/>
        <w:spacing w:line="360" w:lineRule="auto" w:before="0" w:after="160"/>
        <w:ind w:firstLine="432"/>
        <w:jc w:val="both"/>
      </w:pPr>
      <w:r>
        <w:rPr>
          <w:rFonts w:ascii="Times New Roman" w:hAnsi="Times New Roman" w:eastAsia="Times New Roman"/>
          <w:b w:val="0"/>
          <w:i w:val="0"/>
          <w:sz w:val="24"/>
        </w:rPr>
        <w:t>This chapter reviews the literature that research questions RQ1–RQ6 build on. It proceeds thematically: from the generative models that are guided (2.1), through the guidance mechanisms themselves (2.2), to the predictors that supply a guidance signal and the two literatures that determine whether such a predictor can be trusted — leakage and shortcut learning (2.4) and the reliability of docking-based evaluation (2.5) — then to uncertainty quantification (2.6), model compression and equivariance (2.7), standard QSAR controls this project adapts (2.8), and synthesizability estimation (2.9). Section 2.10 draws these threads into a conceptual framework and states the research gap directly. Statements are limited to what the cited sources report; where a source’s full methods were not read, this is stated explicitly rather than implied.</w:t>
      </w:r>
    </w:p>
    <w:p>
      <w:pPr>
        <w:keepNext/>
        <w:widowControl/>
        <w:spacing w:line="288" w:lineRule="auto" w:before="360" w:after="160"/>
        <w:jc w:val="left"/>
      </w:pPr>
      <w:r>
        <w:rPr>
          <w:rFonts w:ascii="Times New Roman" w:hAnsi="Times New Roman" w:eastAsia="Times New Roman"/>
          <w:b/>
          <w:i w:val="0"/>
          <w:sz w:val="26"/>
        </w:rPr>
        <w:t>2.1  Deep Generative Models for Structure-Based Drug Design</w:t>
      </w:r>
    </w:p>
    <w:p>
      <w:pPr>
        <w:widowControl/>
        <w:spacing w:line="360" w:lineRule="auto" w:before="0" w:after="160"/>
        <w:ind w:firstLine="432"/>
        <w:jc w:val="both"/>
      </w:pPr>
      <w:r>
        <w:rPr>
          <w:rFonts w:ascii="Times New Roman" w:hAnsi="Times New Roman" w:eastAsia="Times New Roman"/>
          <w:b w:val="0"/>
          <w:i w:val="0"/>
          <w:sz w:val="24"/>
        </w:rPr>
        <w:t>The generation of ligands conditioned on a protein pocket has been approached with several model families. Non-autoregressive models based on denoising diffusion [11], which learn to reverse a gradual noising process, have displaced earlier voxel-grid and autoregressive atom-placement approaches for this task. TargetDiff [10] applies an equivariant diffusion model to the joint distribution of ligand atom coordinates and atom types conditioned on a protein pocket, and additionally uses the learned representation for affinity prediction; it is trained on CrossDocked2020 [7], a set of 22.5 million docked poses of ligands cross-docked into similar binding pockets of the Protein Data Bank — poses that are themselves docking outputs rather than experimental complexes, a property whose consequences for evaluation are returned to in Section 2.5.</w:t>
      </w:r>
    </w:p>
    <w:p>
      <w:pPr>
        <w:widowControl/>
        <w:spacing w:line="360" w:lineRule="auto" w:before="0" w:after="160"/>
        <w:ind w:firstLine="432"/>
        <w:jc w:val="both"/>
      </w:pPr>
      <w:r>
        <w:rPr>
          <w:rFonts w:ascii="Times New Roman" w:hAnsi="Times New Roman" w:eastAsia="Times New Roman"/>
          <w:b w:val="0"/>
          <w:i w:val="0"/>
          <w:sz w:val="24"/>
        </w:rPr>
        <w:t xml:space="preserve">Equivariant graph networks [27] provide the architectural basis for such models: node features are updated from invariant quantities such as inter-atomic distances, and coordinates are updated along relative position vectors, so that rotating or translating a complex rotates or translates the output accordingly. The same family of networks supplies the affinity predictor used for guidance in this project. A related strand of work injects interaction knowledge into 3-D generators directly: DeepICL conditions an autoregressive generator on atom-level interaction labels (hydrogen bond, salt bridge, hydrophobic, π-stacking) extracted with the protein–ligand interaction profiler PLIP [26,39]; InterDiff conditions a diffusion model on interaction prompts via cross-attention and an auxiliary classification loss inside the denoiser [34]; BInD generates non-covalent interactions jointly with atoms and bonds under its own loss [18]; and DPDiff extracts interaction priors from pretrained affinity networks during sampling, reporting that a geometry-based prior pretrained on accurate poses </w:t>
      </w:r>
      <w:r>
        <w:rPr>
          <w:rFonts w:ascii="Times New Roman" w:hAnsi="Times New Roman" w:eastAsia="Times New Roman"/>
          <w:b w:val="0"/>
          <w:i/>
          <w:sz w:val="24"/>
        </w:rPr>
        <w:t>degraded</w:t>
      </w:r>
      <w:r>
        <w:rPr>
          <w:rFonts w:ascii="Times New Roman" w:hAnsi="Times New Roman" w:eastAsia="Times New Roman"/>
          <w:b w:val="0"/>
          <w:i w:val="0"/>
          <w:sz w:val="24"/>
        </w:rPr>
        <w:t xml:space="preserve"> generation when queried on noisy intermediate diffusion states, because of a mismatch between training and sampling-time inputs [13] — an observation directly relevant to the gradient-guidance mismatch examined under RQ1 and RQ3.</w:t>
      </w:r>
    </w:p>
    <w:p>
      <w:pPr>
        <w:keepNext/>
        <w:widowControl/>
        <w:spacing w:line="288" w:lineRule="auto" w:before="360" w:after="160"/>
        <w:jc w:val="left"/>
      </w:pPr>
      <w:r>
        <w:rPr>
          <w:rFonts w:ascii="Times New Roman" w:hAnsi="Times New Roman" w:eastAsia="Times New Roman"/>
          <w:b/>
          <w:i w:val="0"/>
          <w:sz w:val="26"/>
        </w:rPr>
        <w:t>2.2  Guidance of Diffusion Models for SBDD</w:t>
      </w:r>
    </w:p>
    <w:p>
      <w:pPr>
        <w:widowControl/>
        <w:spacing w:line="360" w:lineRule="auto" w:before="0" w:after="160"/>
        <w:ind w:firstLine="432"/>
        <w:jc w:val="both"/>
      </w:pPr>
      <w:r>
        <w:rPr>
          <w:rFonts w:ascii="Times New Roman" w:hAnsi="Times New Roman" w:eastAsia="Times New Roman"/>
          <w:b w:val="0"/>
          <w:i w:val="0"/>
          <w:sz w:val="24"/>
        </w:rPr>
        <w:t>Classifier guidance modifies the reverse diffusion process with the gradient of an auxiliary predictor evaluated on noisy or partially denoised inputs, trading diversity for fidelity to a desired property [3]. Two design decisions distinguish implementations of this idea for molecular generation. First, the guidance predictor may be trained directly on noisy inputs at every diffusion timestep, or trained on clean structures and evaluated only on the model’s clean-data estimate; the latter is cheaper but exposes the predictor to inputs that differ from its training distribution, particularly early in sampling. Second, guidance may act on continuous coordinates alone or also on discrete atom types, the latter requiring a differentiable relaxation. Both decisions matter directly for RQ1 and RQ3.</w:t>
      </w:r>
    </w:p>
    <w:p>
      <w:pPr>
        <w:widowControl/>
        <w:spacing w:line="360" w:lineRule="auto" w:before="0" w:after="160"/>
        <w:ind w:firstLine="432"/>
        <w:jc w:val="both"/>
      </w:pPr>
      <w:r>
        <w:rPr>
          <w:rFonts w:ascii="Times New Roman" w:hAnsi="Times New Roman" w:eastAsia="Times New Roman"/>
          <w:b w:val="0"/>
          <w:i w:val="0"/>
          <w:sz w:val="24"/>
        </w:rPr>
        <w:t>The closest prior work to RQ1 is BADGER, whose classifier-guidance variant applies the gradient of a separately trained affinity predictor to a frozen diffusion SBDD generator in essentially the same plug-and-play arrangement used here, reporting up to a 60% improvement in binding affinity [14]; a companion classifier-free variant instead folds affinity conditioning into the generator’s own training, which the frozen-generator design of this project does not attempt. DiffGui integrates bond diffusion with affinity and drug-likeness guidance trained jointly with the generator rather than through a separately frozen predictor, and reports improved binding affinity together with a small set of wet-laboratory assays [12]. Within the abstracts and summary materials examined for this review (Appendix B of the underlying thesis records the search strategy and its limits), neither source states whether its reported improvement was evaluated on a target-disjoint split, tested with correction for multiple comparisons, or checked against a positive/negative control or a quality-degradation criterion of the kind RQ1 and RQ2 apply; this does not claim those checks are absent from their full methods, only that this review did not confirm their presence.</w:t>
      </w:r>
    </w:p>
    <w:p>
      <w:pPr>
        <w:widowControl/>
        <w:spacing w:line="360" w:lineRule="auto" w:before="0" w:after="160"/>
        <w:ind w:firstLine="432"/>
        <w:jc w:val="both"/>
      </w:pPr>
      <w:r>
        <w:rPr>
          <w:rFonts w:ascii="Times New Roman" w:hAnsi="Times New Roman" w:eastAsia="Times New Roman"/>
          <w:b w:val="0"/>
          <w:i w:val="0"/>
          <w:sz w:val="24"/>
        </w:rPr>
        <w:t xml:space="preserve">A mechanistically different route to guidance avoids gradients altogether: best-of-N or best-of-K selection scores an oversampled, unguided pool of candidates with an external value function and keeps only the top-ranked subset. BoKDiff applies this directly to diffusion SBDD, ranking candidates generated by DecompDiff on a combined QED, SA and Vina score, without any fine-tuning, and explicitly describes itself as the first application of best-of-K alignment and best-of-N sampling to structure-based drug design [15]. This is mechanistically identical to the selection procedure used for RQ2 in this project — oversample without guidance, rank by an external score, evaluate the kept subset — so the contribution of RQ2 cannot be the selection mechanism itself, which is prior art; it is the use of that mechanism as a controlled comparison against gradient guidance </w:t>
      </w:r>
      <w:r>
        <w:rPr>
          <w:rFonts w:ascii="Times New Roman" w:hAnsi="Times New Roman" w:eastAsia="Times New Roman"/>
          <w:b w:val="0"/>
          <w:i/>
          <w:sz w:val="24"/>
        </w:rPr>
        <w:t>on the same generator and pockets</w:t>
      </w:r>
      <w:r>
        <w:rPr>
          <w:rFonts w:ascii="Times New Roman" w:hAnsi="Times New Roman" w:eastAsia="Times New Roman"/>
          <w:b w:val="0"/>
          <w:i w:val="0"/>
          <w:sz w:val="24"/>
        </w:rPr>
        <w:t>, framed explicitly as a positive control for an evaluation harness rather than as a proposed generation technique, and decomposed against a three-mechanism account (uninformative signal, misaligned gradient, gameable objective) that [15] does not address. An older, 2-D precedent for guidance by a genuine (non-learned-surrogate) scoring signal is reinforcement-learning-based generation guided directly by docking scores, reported to succeed for the REINVENT framework on a GPCR case study [30]; this result, outside the diffusion-SBDD literature, is part of the basis for treating a positive RQ2 result as the a priori more likely outcome before the experiment was run.</w:t>
      </w:r>
    </w:p>
    <w:p>
      <w:pPr>
        <w:keepNext/>
        <w:widowControl/>
        <w:spacing w:line="288" w:lineRule="auto" w:before="360" w:after="160"/>
        <w:jc w:val="left"/>
      </w:pPr>
      <w:r>
        <w:rPr>
          <w:rFonts w:ascii="Times New Roman" w:hAnsi="Times New Roman" w:eastAsia="Times New Roman"/>
          <w:b/>
          <w:i w:val="0"/>
          <w:sz w:val="26"/>
        </w:rPr>
        <w:t>2.3  Learned Binding-Affinity Prediction</w:t>
      </w:r>
    </w:p>
    <w:p>
      <w:pPr>
        <w:keepNext/>
        <w:widowControl/>
        <w:spacing w:line="288" w:lineRule="auto" w:before="240" w:after="80"/>
        <w:jc w:val="left"/>
      </w:pPr>
      <w:r>
        <w:rPr>
          <w:rFonts w:ascii="Times New Roman" w:hAnsi="Times New Roman" w:eastAsia="Times New Roman"/>
          <w:b/>
          <w:i/>
          <w:sz w:val="24"/>
        </w:rPr>
        <w:t>2.3.1  Docking scores and their biases</w:t>
      </w:r>
    </w:p>
    <w:p>
      <w:pPr>
        <w:widowControl/>
        <w:spacing w:line="360" w:lineRule="auto" w:before="0" w:after="160"/>
        <w:ind w:firstLine="432"/>
        <w:jc w:val="both"/>
      </w:pPr>
      <w:r>
        <w:rPr>
          <w:rFonts w:ascii="Times New Roman" w:hAnsi="Times New Roman" w:eastAsia="Times New Roman"/>
          <w:b w:val="0"/>
          <w:i w:val="0"/>
          <w:sz w:val="24"/>
        </w:rPr>
        <w:t>AutoDock Vina combines an empirical scoring function with efficient conformational search and has been extended with additional features and Python bindings in later releases [4,31]. Its score, reported in kcal/mol, is used ubiquitously both to evaluate generated molecules and as a label or baseline for machine-learned scoring, but its limitations are documented: a systematic analysis of docking successes and failures on the DUD-E benchmark reports a bias toward compounds of higher molecular weight [35], and re-parameterisations such as Vinardo were introduced because fitting empirical terms by linear regression to experimental affinities does not by itself yield a function with optimal docking capability [22]. This bias is directly relevant to interpreting the RQ2 result, where reranked molecules are both better-scoring and larger.</w:t>
      </w:r>
    </w:p>
    <w:p>
      <w:pPr>
        <w:keepNext/>
        <w:widowControl/>
        <w:spacing w:line="288" w:lineRule="auto" w:before="240" w:after="80"/>
        <w:jc w:val="left"/>
      </w:pPr>
      <w:r>
        <w:rPr>
          <w:rFonts w:ascii="Times New Roman" w:hAnsi="Times New Roman" w:eastAsia="Times New Roman"/>
          <w:b/>
          <w:i/>
          <w:sz w:val="24"/>
        </w:rPr>
        <w:t>2.3.2  Learned scoring functions</w:t>
      </w:r>
    </w:p>
    <w:p>
      <w:pPr>
        <w:widowControl/>
        <w:spacing w:line="360" w:lineRule="auto" w:before="0" w:after="160"/>
        <w:ind w:firstLine="432"/>
        <w:jc w:val="both"/>
      </w:pPr>
      <w:r>
        <w:rPr>
          <w:rFonts w:ascii="Times New Roman" w:hAnsi="Times New Roman" w:eastAsia="Times New Roman"/>
          <w:b w:val="0"/>
          <w:i w:val="0"/>
          <w:sz w:val="24"/>
        </w:rPr>
        <w:t>Machine-learned scoring functions built on graph and convolutional architectures include GIGN, which unifies covalent and non-covalent interactions in one rotation- and translation-invariant message-passing layer [36]; PIGNet, which predicts physics-informed pairwise interaction terms whose parameters are produced by a neural network [20]; Interformer, which combines a graph-transformer with an interaction-aware mixture-density network [17]; and PLANET, trained jointly on affinity, a protein–ligand contact map and a ligand distance matrix [37]. The affinity predictor used for guidance in this project is an equivariant graph network in the same architectural family as GIGN.</w:t>
      </w:r>
    </w:p>
    <w:p>
      <w:pPr>
        <w:keepNext/>
        <w:widowControl/>
        <w:spacing w:line="288" w:lineRule="auto" w:before="360" w:after="160"/>
        <w:jc w:val="left"/>
      </w:pPr>
      <w:r>
        <w:rPr>
          <w:rFonts w:ascii="Times New Roman" w:hAnsi="Times New Roman" w:eastAsia="Times New Roman"/>
          <w:b/>
          <w:i w:val="0"/>
          <w:sz w:val="26"/>
        </w:rPr>
        <w:t>2.4  Data Leakage and Shortcut Learning in Affinity Prediction</w:t>
      </w:r>
    </w:p>
    <w:p>
      <w:pPr>
        <w:widowControl/>
        <w:spacing w:line="360" w:lineRule="auto" w:before="0" w:after="160"/>
        <w:ind w:firstLine="432"/>
        <w:jc w:val="both"/>
      </w:pPr>
      <w:r>
        <w:rPr>
          <w:rFonts w:ascii="Times New Roman" w:hAnsi="Times New Roman" w:eastAsia="Times New Roman"/>
          <w:b w:val="0"/>
          <w:i w:val="0"/>
          <w:sz w:val="24"/>
        </w:rPr>
        <w:t>A substantial part of the recent literature concerns whether reported affinity-model performance is genuine. Using modular graph networks, [33] report that an explicit description of protein–ligand non-covalent interactions gives no advantage over ligand- or protein-only descriptors, and that simple nearest-neighbour baselines on the training set already perform well — evidence interpreted as memorisation dominating true learning, and directly motivating RQ4 and the ligand-only comparisons used throughout this project. Retraining top models on PDBbind CleanSplit, which removes structure-based train–test leakage and within-training-set redundancy, caused benchmark performance to drop substantially [9]. The Leak Proof PDBBind data set reorganises PDBbind so that proteins and ligands with high sequence or structural similarity never cross the split [19]; the leakage-safe, target-level split used throughout this project (Section 1.4) follows the spirit of this procedure, adapted to CrossDocked2020, and is not the published data set itself. Complementary evidence comes from a study in which injecting additional geometric pocket-surface descriptors gave no statistically significant improvement on a leakage-controlled split [1], and from a scoring function whose feature attributions were compared against a distance-based interaction profiler to test whether it had learned genuine interactions rather than dataset biases [28].</w:t>
      </w:r>
    </w:p>
    <w:p>
      <w:pPr>
        <w:keepNext/>
        <w:widowControl/>
        <w:spacing w:line="288" w:lineRule="auto" w:before="360" w:after="160"/>
        <w:jc w:val="left"/>
      </w:pPr>
      <w:r>
        <w:rPr>
          <w:rFonts w:ascii="Times New Roman" w:hAnsi="Times New Roman" w:eastAsia="Times New Roman"/>
          <w:b/>
          <w:i w:val="0"/>
          <w:sz w:val="26"/>
        </w:rPr>
        <w:t>2.5  Evaluating Generated Molecules</w:t>
      </w:r>
    </w:p>
    <w:p>
      <w:pPr>
        <w:widowControl/>
        <w:spacing w:line="360" w:lineRule="auto" w:before="0" w:after="160"/>
        <w:ind w:firstLine="432"/>
        <w:jc w:val="both"/>
      </w:pPr>
      <w:r>
        <w:rPr>
          <w:rFonts w:ascii="Times New Roman" w:hAnsi="Times New Roman" w:eastAsia="Times New Roman"/>
          <w:b w:val="0"/>
          <w:i w:val="0"/>
          <w:sz w:val="24"/>
        </w:rPr>
        <w:t>The reliability of docking scores as the success criterion for generative SBDD models has been questioned directly. [8] report that Vina scores can be inflated simply by increasing the number of atoms in a molecule, that several current SBDD models with high Vina scores fall short on measures of practical usability, and — in the same study — that some models use trained Vina predictors to guide sampling in a way that prioritises “hacking” the Vina score over generating reliable, effective molecules, and that selecting checkpoints on the test set risks data leakage. Physical plausibility is a separate axis of evaluation: PoseBusters, a suite of chemical and geometric checks (stereochemistry, bond lengths, protein–ligand clashes), finds that several deep-learning docking and generation methods frequently produce physically implausible poses even when root-mean-square deviation from a native pose is low [2]. A related study of interaction recovery reports that ignoring interaction fingerprints can overestimate model performance, particularly for methods that fail to recapitulate key interactions even while matching pose geometry [5]. Together, these works motivate the multi-criterion evaluation used for RQ1 and RQ2 — a docking-score improvement is never interpreted without a paired ligand-efficiency and physical-validity check.</w:t>
      </w:r>
    </w:p>
    <w:p>
      <w:pPr>
        <w:keepNext/>
        <w:widowControl/>
        <w:spacing w:line="288" w:lineRule="auto" w:before="360" w:after="160"/>
        <w:jc w:val="left"/>
      </w:pPr>
      <w:r>
        <w:rPr>
          <w:rFonts w:ascii="Times New Roman" w:hAnsi="Times New Roman" w:eastAsia="Times New Roman"/>
          <w:b/>
          <w:i w:val="0"/>
          <w:sz w:val="26"/>
        </w:rPr>
        <w:t>2.6  Uncertainty Quantification for Learned Affinity Predictors</w:t>
      </w:r>
    </w:p>
    <w:p>
      <w:pPr>
        <w:widowControl/>
        <w:spacing w:line="360" w:lineRule="auto" w:before="0" w:after="160"/>
        <w:ind w:firstLine="432"/>
        <w:jc w:val="both"/>
      </w:pPr>
      <w:r>
        <w:rPr>
          <w:rFonts w:ascii="Times New Roman" w:hAnsi="Times New Roman" w:eastAsia="Times New Roman"/>
          <w:b w:val="0"/>
          <w:i w:val="0"/>
          <w:sz w:val="24"/>
        </w:rPr>
        <w:t>A companion strand of this project’s broader work (outside RQ1–RQ6, but relevant to how guidance confidence could in principle be gated) evaluated six uncertainty-quantification methods — Monte Carlo dropout, deep ensembles, heteroscedastic Gaussian negative log-likelihood, deep evidential regression, a corrected evidential variant, and split-conformal prediction — against a pre-registered coverage test. A close prior-art check found that comparing uncertainty-quantification methods for protein–ligand affinity is not itself new: [24] compare five UQ methods (deep ensemble, MC dropout, Laplace approximation, Bayes-by-backprop, evidential) on Leak-Proof PDBBind, overlapping substantially with this project’s own method list and dataset philosophy, and [21,23] report conformal prediction for binding affinity with good calibration, predating this project’s own positive conformal-prediction result. What remains open after that comparison is narrower: those studies use a feed-forward network on fixed ECIF-style descriptors, whereas this project evaluates the same question on a 3-D equivariant graph network under a target-clustered, multiply corrected, multi-seed-replicated inference framework rather than descriptive calibration metrics alone — and the strongest surviving claim from that comparison is a methodological one: an evidential-regression effect significant at one random seed (p = 0.042) disappeared across three seeds, with between-seed standard deviation in R² (0.038) exceeding the claimed effect size, a replication-failure pattern that applies to the broader single-seed UQ literature in this domain, including the sources above.</w:t>
      </w:r>
    </w:p>
    <w:p>
      <w:pPr>
        <w:keepNext/>
        <w:widowControl/>
        <w:spacing w:line="288" w:lineRule="auto" w:before="360" w:after="160"/>
        <w:jc w:val="left"/>
      </w:pPr>
      <w:r>
        <w:rPr>
          <w:rFonts w:ascii="Times New Roman" w:hAnsi="Times New Roman" w:eastAsia="Times New Roman"/>
          <w:b/>
          <w:i w:val="0"/>
          <w:sz w:val="26"/>
        </w:rPr>
        <w:t>2.7  Model Compression and the Equivariance Question</w:t>
      </w:r>
    </w:p>
    <w:p>
      <w:pPr>
        <w:widowControl/>
        <w:spacing w:line="360" w:lineRule="auto" w:before="0" w:after="160"/>
        <w:ind w:firstLine="432"/>
        <w:jc w:val="both"/>
      </w:pPr>
      <w:r>
        <w:rPr>
          <w:rFonts w:ascii="Times New Roman" w:hAnsi="Times New Roman" w:eastAsia="Times New Roman"/>
          <w:b w:val="0"/>
          <w:i w:val="0"/>
          <w:sz w:val="24"/>
        </w:rPr>
        <w:t xml:space="preserve">Reducing a trained network’s weights to a small discrete alphabet (quantization-aware training) is an established technique for deploying neural networks under tight memory or compute budgets; applying it to an equivariant geometric network raises a question not posed by quantizing a standard convolutional or transformer architecture: whether discretising weights can break the network’s equivariance to rotation and translation, a property the architecture is specifically designed to guarantee. [38] examine this directly for an 8-bit SO(3)-equivariant attention transformer trained on QM9 and rMD17, show that naive low-bit quantization of equivariant </w:t>
      </w:r>
      <w:r>
        <w:rPr>
          <w:rFonts w:ascii="Times New Roman" w:hAnsi="Times New Roman" w:eastAsia="Times New Roman"/>
          <w:b w:val="0"/>
          <w:i/>
          <w:sz w:val="24"/>
        </w:rPr>
        <w:t>vector</w:t>
      </w:r>
      <w:r>
        <w:rPr>
          <w:rFonts w:ascii="Times New Roman" w:hAnsi="Times New Roman" w:eastAsia="Times New Roman"/>
          <w:b w:val="0"/>
          <w:i w:val="0"/>
          <w:sz w:val="24"/>
        </w:rPr>
        <w:t xml:space="preserve"> features damages equivariance, introduce a Local Equivariance Error metric to track it, and report that preserving equivariance under quantization required three separate architectural interventions. This project’s own architecture updates coordinates through a learned </w:t>
      </w:r>
      <w:r>
        <w:rPr>
          <w:rFonts w:ascii="Times New Roman" w:hAnsi="Times New Roman" w:eastAsia="Times New Roman"/>
          <w:b w:val="0"/>
          <w:i/>
          <w:sz w:val="24"/>
        </w:rPr>
        <w:t>scalar</w:t>
      </w:r>
      <w:r>
        <w:rPr>
          <w:rFonts w:ascii="Times New Roman" w:hAnsi="Times New Roman" w:eastAsia="Times New Roman"/>
          <w:b w:val="0"/>
          <w:i w:val="0"/>
          <w:sz w:val="24"/>
        </w:rPr>
        <w:t xml:space="preserve"> multiplying a relative position vector, rather than quantizing an equivariant vector feature directly, which is the specific structural difference this project’s own equivariance check was designed, before measurement, to exploit; the resulting prediction is that ternary quantization of this architecture should be equivariance-safe essentially by construction, in a way the architecture examined by [38] is not.</w:t>
      </w:r>
    </w:p>
    <w:p>
      <w:pPr>
        <w:keepNext/>
        <w:widowControl/>
        <w:spacing w:line="288" w:lineRule="auto" w:before="360" w:after="160"/>
        <w:jc w:val="left"/>
      </w:pPr>
      <w:r>
        <w:rPr>
          <w:rFonts w:ascii="Times New Roman" w:hAnsi="Times New Roman" w:eastAsia="Times New Roman"/>
          <w:b/>
          <w:i w:val="0"/>
          <w:sz w:val="26"/>
        </w:rPr>
        <w:t>2.8  QSAR Controls: y-Randomisation, Activity Cliffs, and Matched Molecular Pairs</w:t>
      </w:r>
    </w:p>
    <w:p>
      <w:pPr>
        <w:widowControl/>
        <w:spacing w:line="360" w:lineRule="auto" w:before="0" w:after="160"/>
        <w:ind w:firstLine="432"/>
        <w:jc w:val="both"/>
      </w:pPr>
      <w:r>
        <w:rPr>
          <w:rFonts w:ascii="Times New Roman" w:hAnsi="Times New Roman" w:eastAsia="Times New Roman"/>
          <w:b w:val="0"/>
          <w:i w:val="0"/>
          <w:sz w:val="24"/>
        </w:rPr>
        <w:t xml:space="preserve">y-Randomisation — refitting a model after permuting the response variable and confirming performance collapses to chance — is a long-standing standard control against chance correlation in QSAR/QSPR modelling [25]. Permuting labels </w:t>
      </w:r>
      <w:r>
        <w:rPr>
          <w:rFonts w:ascii="Times New Roman" w:hAnsi="Times New Roman" w:eastAsia="Times New Roman"/>
          <w:b w:val="0"/>
          <w:i/>
          <w:sz w:val="24"/>
        </w:rPr>
        <w:t>within</w:t>
      </w:r>
      <w:r>
        <w:rPr>
          <w:rFonts w:ascii="Times New Roman" w:hAnsi="Times New Roman" w:eastAsia="Times New Roman"/>
          <w:b w:val="0"/>
          <w:i w:val="0"/>
          <w:sz w:val="24"/>
        </w:rPr>
        <w:t xml:space="preserve"> each target rather than globally adapts the same idea into a class-prior decomposition: it destroys within-target structure–activity relationships while preserving the typical affinity range associated with a target’s chemotype, isolating exactly the quantity RQ5 measures. Activity cliffs — pairs of structurally similar ligands with disproportionately different measured affinity — are a standard stress test for whether a model has learned local structure–activity relationships rather than coarse, class-level trends; the MoleculeACE benchmark reports that across 24 machine-learning approaches on 30 targets, descriptor-based models outperform more complex deep-learning models specifically on cliff compounds [32], a pattern this project’s own ligand-only-versus-structure comparisons echo. Matched molecular pairs, which isolate the effect of a single substituent change, are a related and stricter test of local structure–activity capture; [16] report that additive structure–activity relationships are the easiest case for any model, machine-learned or otherwise, to capture — a baseline against which this project’s own matched-pair sign agreement result (both a structure-aware ensemble and a ligand-only ridge model fall at or below chance agreement with the true direction of a substituent’s effect) is a notably severe negative finding.</w:t>
      </w:r>
    </w:p>
    <w:p>
      <w:pPr>
        <w:keepNext/>
        <w:widowControl/>
        <w:spacing w:line="288" w:lineRule="auto" w:before="360" w:after="160"/>
        <w:jc w:val="left"/>
      </w:pPr>
      <w:r>
        <w:rPr>
          <w:rFonts w:ascii="Times New Roman" w:hAnsi="Times New Roman" w:eastAsia="Times New Roman"/>
          <w:b/>
          <w:i w:val="0"/>
          <w:sz w:val="26"/>
        </w:rPr>
        <w:t>2.9  Estimating Synthetic Accessibility</w:t>
      </w:r>
    </w:p>
    <w:p>
      <w:pPr>
        <w:widowControl/>
        <w:spacing w:line="360" w:lineRule="auto" w:before="0" w:after="160"/>
        <w:ind w:firstLine="432"/>
        <w:jc w:val="both"/>
      </w:pPr>
      <w:r>
        <w:rPr>
          <w:rFonts w:ascii="Times New Roman" w:hAnsi="Times New Roman" w:eastAsia="Times New Roman"/>
          <w:b w:val="0"/>
          <w:i w:val="0"/>
          <w:sz w:val="24"/>
        </w:rPr>
        <w:t>Two synthesizability estimates are in common use. The synthetic accessibility (SA) score combines fragment contributions derived from roughly one million PubChem molecules with a complexity penalty, mapping a molecule to a value between 1 (easy) and 10 (very difficult) [6]. The retrosynthetic accessibility score (RAscore) is a machine-learned classifier trained to predict whether the computer-aided synthesis-planning tool AiZynthFinder can find a route for a compound, reported to be at least 4500 times faster than the underlying planning search [29]. Both are used in this project purely as independent evaluation metrics, computed after generation and never as training targets for the guidance predictor itself in the routes examined by RQ1 and RQ2; neither is a guarantee that a synthesis route actually exists.</w:t>
      </w:r>
    </w:p>
    <w:p>
      <w:pPr>
        <w:keepNext/>
        <w:widowControl/>
        <w:spacing w:line="288" w:lineRule="auto" w:before="360" w:after="160"/>
        <w:jc w:val="left"/>
      </w:pPr>
      <w:r>
        <w:rPr>
          <w:rFonts w:ascii="Times New Roman" w:hAnsi="Times New Roman" w:eastAsia="Times New Roman"/>
          <w:b/>
          <w:i w:val="0"/>
          <w:sz w:val="26"/>
        </w:rPr>
        <w:t>2.10  Conceptual Framework and Positioning</w:t>
      </w:r>
    </w:p>
    <w:p>
      <w:pPr>
        <w:widowControl/>
        <w:spacing w:line="360" w:lineRule="auto" w:before="0" w:after="160"/>
        <w:ind w:firstLine="432"/>
        <w:jc w:val="both"/>
      </w:pPr>
      <w:r>
        <w:rPr>
          <w:rFonts w:ascii="Times New Roman" w:hAnsi="Times New Roman" w:eastAsia="Times New Roman"/>
          <w:b w:val="0"/>
          <w:i w:val="0"/>
          <w:sz w:val="24"/>
        </w:rPr>
        <w:t xml:space="preserve">The results summarised under RQ1–RQ6 are organised around a single explanatory framework with three, not mutually exclusive, candidate mechanisms for why gradient-based guidance might fail to produce an independently detectable improvement: </w:t>
      </w:r>
      <w:r>
        <w:rPr>
          <w:rFonts w:ascii="Times New Roman" w:hAnsi="Times New Roman" w:eastAsia="Times New Roman"/>
          <w:b/>
          <w:i w:val="0"/>
          <w:sz w:val="24"/>
        </w:rPr>
        <w:t>M1</w:t>
      </w:r>
      <w:r>
        <w:rPr>
          <w:rFonts w:ascii="Times New Roman" w:hAnsi="Times New Roman" w:eastAsia="Times New Roman"/>
          <w:b w:val="0"/>
          <w:i w:val="0"/>
          <w:sz w:val="24"/>
        </w:rPr>
        <w:t xml:space="preserve">, the guidance signal itself carries little usable information about the true binding interface (supported by RQ3’s gradient-field analysis and RQ4’s representation audit, and by RQ2’s contrast — the same generator responds when the </w:t>
      </w:r>
      <w:r>
        <w:rPr>
          <w:rFonts w:ascii="Times New Roman" w:hAnsi="Times New Roman" w:eastAsia="Times New Roman"/>
          <w:b w:val="0"/>
          <w:i/>
          <w:sz w:val="24"/>
        </w:rPr>
        <w:t>signal</w:t>
      </w:r>
      <w:r>
        <w:rPr>
          <w:rFonts w:ascii="Times New Roman" w:hAnsi="Times New Roman" w:eastAsia="Times New Roman"/>
          <w:b w:val="0"/>
          <w:i w:val="0"/>
          <w:sz w:val="24"/>
        </w:rPr>
        <w:t xml:space="preserve"> is replaced with a genuine one, even though the </w:t>
      </w:r>
      <w:r>
        <w:rPr>
          <w:rFonts w:ascii="Times New Roman" w:hAnsi="Times New Roman" w:eastAsia="Times New Roman"/>
          <w:b w:val="0"/>
          <w:i/>
          <w:sz w:val="24"/>
        </w:rPr>
        <w:t>gradient mechanism</w:t>
      </w:r>
      <w:r>
        <w:rPr>
          <w:rFonts w:ascii="Times New Roman" w:hAnsi="Times New Roman" w:eastAsia="Times New Roman"/>
          <w:b w:val="0"/>
          <w:i w:val="0"/>
          <w:sz w:val="24"/>
        </w:rPr>
        <w:t xml:space="preserve"> was never used in RQ2); </w:t>
      </w:r>
      <w:r>
        <w:rPr>
          <w:rFonts w:ascii="Times New Roman" w:hAnsi="Times New Roman" w:eastAsia="Times New Roman"/>
          <w:b/>
          <w:i w:val="0"/>
          <w:sz w:val="24"/>
        </w:rPr>
        <w:t>M2</w:t>
      </w:r>
      <w:r>
        <w:rPr>
          <w:rFonts w:ascii="Times New Roman" w:hAnsi="Times New Roman" w:eastAsia="Times New Roman"/>
          <w:b w:val="0"/>
          <w:i w:val="0"/>
          <w:sz w:val="24"/>
        </w:rPr>
        <w:t xml:space="preserve">, the signal is informative but the specific gradient-guidance mechanism misapplies it (tested directly by varying predictor architecture and guidance mechanism under RQ1, with no configuration rescuing the effect); and </w:t>
      </w:r>
      <w:r>
        <w:rPr>
          <w:rFonts w:ascii="Times New Roman" w:hAnsi="Times New Roman" w:eastAsia="Times New Roman"/>
          <w:b/>
          <w:i w:val="0"/>
          <w:sz w:val="24"/>
        </w:rPr>
        <w:t>M3</w:t>
      </w:r>
      <w:r>
        <w:rPr>
          <w:rFonts w:ascii="Times New Roman" w:hAnsi="Times New Roman" w:eastAsia="Times New Roman"/>
          <w:b w:val="0"/>
          <w:i w:val="0"/>
          <w:sz w:val="24"/>
        </w:rPr>
        <w:t>, the guidance objective can be satisfied in a way that does not correspond to a genuine improvement, for instance by exploiting molecular size (the confound explicitly measured and disclosed, not hidden, in RQ2’s own result). Table 2.1 positions the closest prior studies against this framework and against the specific evaluation safeguards (leakage-safe split, corrected significance testing, explicit control, quality-degradation check) that RQ1 and RQ2 apply.</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584"/>
          </w:tcPr>
          <w:p>
            <w:pPr>
              <w:widowControl/>
              <w:spacing w:line="240" w:lineRule="auto" w:before="0" w:after="0"/>
              <w:jc w:val="left"/>
            </w:pPr>
            <w:r/>
            <w:r>
              <w:rPr>
                <w:rFonts w:ascii="Times New Roman" w:hAnsi="Times New Roman" w:eastAsia="Times New Roman"/>
                <w:b/>
                <w:i w:val="0"/>
                <w:sz w:val="21"/>
              </w:rPr>
              <w:t>Work</w:t>
            </w:r>
          </w:p>
        </w:tc>
        <w:tc>
          <w:tcPr>
            <w:tcW w:type="dxa" w:w="1440"/>
          </w:tcPr>
          <w:p>
            <w:pPr>
              <w:widowControl/>
              <w:spacing w:line="240" w:lineRule="auto" w:before="0" w:after="0"/>
              <w:jc w:val="left"/>
            </w:pPr>
            <w:r/>
            <w:r>
              <w:rPr>
                <w:rFonts w:ascii="Times New Roman" w:hAnsi="Times New Roman" w:eastAsia="Times New Roman"/>
                <w:b/>
                <w:i w:val="0"/>
                <w:sz w:val="21"/>
              </w:rPr>
              <w:t>3-D diffusion SBDD</w:t>
            </w:r>
          </w:p>
        </w:tc>
        <w:tc>
          <w:tcPr>
            <w:tcW w:type="dxa" w:w="2016"/>
          </w:tcPr>
          <w:p>
            <w:pPr>
              <w:widowControl/>
              <w:spacing w:line="240" w:lineRule="auto" w:before="0" w:after="0"/>
              <w:jc w:val="left"/>
            </w:pPr>
            <w:r/>
            <w:r>
              <w:rPr>
                <w:rFonts w:ascii="Times New Roman" w:hAnsi="Times New Roman" w:eastAsia="Times New Roman"/>
                <w:b/>
                <w:i w:val="0"/>
                <w:sz w:val="21"/>
              </w:rPr>
              <w:t>Separate, learned guidance predictor</w:t>
            </w:r>
          </w:p>
        </w:tc>
        <w:tc>
          <w:tcPr>
            <w:tcW w:type="dxa" w:w="2160"/>
          </w:tcPr>
          <w:p>
            <w:pPr>
              <w:widowControl/>
              <w:spacing w:line="240" w:lineRule="auto" w:before="0" w:after="0"/>
              <w:jc w:val="left"/>
            </w:pPr>
            <w:r/>
            <w:r>
              <w:rPr>
                <w:rFonts w:ascii="Times New Roman" w:hAnsi="Times New Roman" w:eastAsia="Times New Roman"/>
                <w:b/>
                <w:i w:val="0"/>
                <w:sz w:val="21"/>
              </w:rPr>
              <w:t>Explicit positive/negative control</w:t>
            </w:r>
          </w:p>
        </w:tc>
        <w:tc>
          <w:tcPr>
            <w:tcW w:type="dxa" w:w="1584"/>
          </w:tcPr>
          <w:p>
            <w:pPr>
              <w:widowControl/>
              <w:spacing w:line="240" w:lineRule="auto" w:before="0" w:after="0"/>
              <w:jc w:val="left"/>
            </w:pPr>
            <w:r/>
            <w:r>
              <w:rPr>
                <w:rFonts w:ascii="Times New Roman" w:hAnsi="Times New Roman" w:eastAsia="Times New Roman"/>
                <w:b/>
                <w:i w:val="0"/>
                <w:sz w:val="21"/>
              </w:rPr>
              <w:t>Leakage-safe, target-disjoint split</w:t>
            </w:r>
          </w:p>
        </w:tc>
        <w:tc>
          <w:tcPr>
            <w:tcW w:type="dxa" w:w="1584"/>
          </w:tcPr>
          <w:p>
            <w:pPr>
              <w:widowControl/>
              <w:spacing w:line="240" w:lineRule="auto" w:before="0" w:after="0"/>
              <w:jc w:val="left"/>
            </w:pPr>
            <w:r/>
            <w:r>
              <w:rPr>
                <w:rFonts w:ascii="Times New Roman" w:hAnsi="Times New Roman" w:eastAsia="Times New Roman"/>
                <w:b/>
                <w:i w:val="0"/>
                <w:sz w:val="21"/>
              </w:rPr>
              <w:t>Multiple-comparison correction</w:t>
            </w:r>
          </w:p>
        </w:tc>
      </w:tr>
      <w:tr>
        <w:tc>
          <w:tcPr>
            <w:tcW w:type="dxa" w:w="1584"/>
          </w:tcPr>
          <w:p>
            <w:pPr>
              <w:widowControl/>
              <w:spacing w:line="240" w:lineRule="auto" w:before="0" w:after="0"/>
              <w:jc w:val="left"/>
            </w:pPr>
            <w:r/>
            <w:r>
              <w:rPr>
                <w:rFonts w:ascii="Times New Roman" w:hAnsi="Times New Roman" w:eastAsia="Times New Roman"/>
                <w:b w:val="0"/>
                <w:i w:val="0"/>
                <w:sz w:val="21"/>
              </w:rPr>
              <w:t>DeepICL [39]</w:t>
            </w:r>
          </w:p>
        </w:tc>
        <w:tc>
          <w:tcPr>
            <w:tcW w:type="dxa" w:w="1440"/>
          </w:tcPr>
          <w:p>
            <w:pPr>
              <w:widowControl/>
              <w:spacing w:line="240" w:lineRule="auto" w:before="0" w:after="0"/>
              <w:jc w:val="left"/>
            </w:pPr>
            <w:r/>
            <w:r>
              <w:rPr>
                <w:rFonts w:ascii="Times New Roman" w:hAnsi="Times New Roman" w:eastAsia="Times New Roman"/>
                <w:b w:val="0"/>
                <w:i w:val="0"/>
                <w:sz w:val="21"/>
              </w:rPr>
              <w:t>No (autoregressive)</w:t>
            </w:r>
          </w:p>
        </w:tc>
        <w:tc>
          <w:tcPr>
            <w:tcW w:type="dxa" w:w="2016"/>
          </w:tcPr>
          <w:p>
            <w:pPr>
              <w:widowControl/>
              <w:spacing w:line="240" w:lineRule="auto" w:before="0" w:after="0"/>
              <w:jc w:val="left"/>
            </w:pPr>
            <w:r/>
            <w:r>
              <w:rPr>
                <w:rFonts w:ascii="Times New Roman" w:hAnsi="Times New Roman" w:eastAsia="Times New Roman"/>
                <w:b w:val="0"/>
                <w:i w:val="0"/>
                <w:sz w:val="21"/>
              </w:rPr>
              <w:t>No (conditioning, not guidance)</w:t>
            </w:r>
          </w:p>
        </w:tc>
        <w:tc>
          <w:tcPr>
            <w:tcW w:type="dxa" w:w="2160"/>
          </w:tcPr>
          <w:p>
            <w:pPr>
              <w:widowControl/>
              <w:spacing w:line="240" w:lineRule="auto" w:before="0" w:after="0"/>
              <w:jc w:val="left"/>
            </w:pPr>
            <w:r/>
            <w:r>
              <w:rPr>
                <w:rFonts w:ascii="Times New Roman" w:hAnsi="Times New Roman" w:eastAsia="Times New Roman"/>
                <w:b w:val="0"/>
                <w:i w:val="0"/>
                <w:sz w:val="21"/>
              </w:rPr>
              <w:t>Not the focus, as reviewed</w:t>
            </w:r>
          </w:p>
        </w:tc>
        <w:tc>
          <w:tcPr>
            <w:tcW w:type="dxa" w:w="1584"/>
          </w:tcPr>
          <w:p>
            <w:pPr>
              <w:widowControl/>
              <w:spacing w:line="240" w:lineRule="auto" w:before="0" w:after="0"/>
              <w:jc w:val="left"/>
            </w:pPr>
            <w:r/>
            <w:r>
              <w:rPr>
                <w:rFonts w:ascii="Times New Roman" w:hAnsi="Times New Roman" w:eastAsia="Times New Roman"/>
                <w:b w:val="0"/>
                <w:i w:val="0"/>
                <w:sz w:val="21"/>
              </w:rPr>
              <w:t>Not the focus, as reviewed</w:t>
            </w:r>
          </w:p>
        </w:tc>
        <w:tc>
          <w:tcPr>
            <w:tcW w:type="dxa" w:w="1584"/>
          </w:tcPr>
          <w:p>
            <w:pPr>
              <w:widowControl/>
              <w:spacing w:line="240" w:lineRule="auto" w:before="0" w:after="0"/>
              <w:jc w:val="left"/>
            </w:pPr>
            <w:r/>
            <w:r>
              <w:rPr>
                <w:rFonts w:ascii="Times New Roman" w:hAnsi="Times New Roman" w:eastAsia="Times New Roman"/>
                <w:b w:val="0"/>
                <w:i w:val="0"/>
                <w:sz w:val="21"/>
              </w:rPr>
              <w:t>Not the focus, as reviewed</w:t>
            </w:r>
          </w:p>
        </w:tc>
      </w:tr>
      <w:tr>
        <w:tc>
          <w:tcPr>
            <w:tcW w:type="dxa" w:w="1584"/>
          </w:tcPr>
          <w:p>
            <w:pPr>
              <w:widowControl/>
              <w:spacing w:line="240" w:lineRule="auto" w:before="0" w:after="0"/>
              <w:jc w:val="left"/>
            </w:pPr>
            <w:r/>
            <w:r>
              <w:rPr>
                <w:rFonts w:ascii="Times New Roman" w:hAnsi="Times New Roman" w:eastAsia="Times New Roman"/>
                <w:b w:val="0"/>
                <w:i w:val="0"/>
                <w:sz w:val="21"/>
              </w:rPr>
              <w:t>InterDiff [34]</w:t>
            </w:r>
          </w:p>
        </w:tc>
        <w:tc>
          <w:tcPr>
            <w:tcW w:type="dxa" w:w="1440"/>
          </w:tcPr>
          <w:p>
            <w:pPr>
              <w:widowControl/>
              <w:spacing w:line="240" w:lineRule="auto" w:before="0" w:after="0"/>
              <w:jc w:val="left"/>
            </w:pPr>
            <w:r/>
            <w:r>
              <w:rPr>
                <w:rFonts w:ascii="Times New Roman" w:hAnsi="Times New Roman" w:eastAsia="Times New Roman"/>
                <w:b w:val="0"/>
                <w:i w:val="0"/>
                <w:sz w:val="21"/>
              </w:rPr>
              <w:t>Yes</w:t>
            </w:r>
          </w:p>
        </w:tc>
        <w:tc>
          <w:tcPr>
            <w:tcW w:type="dxa" w:w="2016"/>
          </w:tcPr>
          <w:p>
            <w:pPr>
              <w:widowControl/>
              <w:spacing w:line="240" w:lineRule="auto" w:before="0" w:after="0"/>
              <w:jc w:val="left"/>
            </w:pPr>
            <w:r/>
            <w:r>
              <w:rPr>
                <w:rFonts w:ascii="Times New Roman" w:hAnsi="Times New Roman" w:eastAsia="Times New Roman"/>
                <w:b w:val="0"/>
                <w:i w:val="0"/>
                <w:sz w:val="21"/>
              </w:rPr>
              <w:t>No (in-denoiser conditioning)</w:t>
            </w:r>
          </w:p>
        </w:tc>
        <w:tc>
          <w:tcPr>
            <w:tcW w:type="dxa" w:w="2160"/>
          </w:tcPr>
          <w:p>
            <w:pPr>
              <w:widowControl/>
              <w:spacing w:line="240" w:lineRule="auto" w:before="0" w:after="0"/>
              <w:jc w:val="left"/>
            </w:pPr>
            <w:r/>
            <w:r>
              <w:rPr>
                <w:rFonts w:ascii="Times New Roman" w:hAnsi="Times New Roman" w:eastAsia="Times New Roman"/>
                <w:b w:val="0"/>
                <w:i w:val="0"/>
                <w:sz w:val="21"/>
              </w:rPr>
              <w:t>Not the focus, as reviewed</w:t>
            </w:r>
          </w:p>
        </w:tc>
        <w:tc>
          <w:tcPr>
            <w:tcW w:type="dxa" w:w="1584"/>
          </w:tcPr>
          <w:p>
            <w:pPr>
              <w:widowControl/>
              <w:spacing w:line="240" w:lineRule="auto" w:before="0" w:after="0"/>
              <w:jc w:val="left"/>
            </w:pPr>
            <w:r/>
            <w:r>
              <w:rPr>
                <w:rFonts w:ascii="Times New Roman" w:hAnsi="Times New Roman" w:eastAsia="Times New Roman"/>
                <w:b w:val="0"/>
                <w:i w:val="0"/>
                <w:sz w:val="21"/>
              </w:rPr>
              <w:t>Not the focus, as reviewed</w:t>
            </w:r>
          </w:p>
        </w:tc>
        <w:tc>
          <w:tcPr>
            <w:tcW w:type="dxa" w:w="1584"/>
          </w:tcPr>
          <w:p>
            <w:pPr>
              <w:widowControl/>
              <w:spacing w:line="240" w:lineRule="auto" w:before="0" w:after="0"/>
              <w:jc w:val="left"/>
            </w:pPr>
            <w:r/>
            <w:r>
              <w:rPr>
                <w:rFonts w:ascii="Times New Roman" w:hAnsi="Times New Roman" w:eastAsia="Times New Roman"/>
                <w:b w:val="0"/>
                <w:i w:val="0"/>
                <w:sz w:val="21"/>
              </w:rPr>
              <w:t>Not the focus, as reviewed</w:t>
            </w:r>
          </w:p>
        </w:tc>
      </w:tr>
      <w:tr>
        <w:tc>
          <w:tcPr>
            <w:tcW w:type="dxa" w:w="1584"/>
          </w:tcPr>
          <w:p>
            <w:pPr>
              <w:widowControl/>
              <w:spacing w:line="240" w:lineRule="auto" w:before="0" w:after="0"/>
              <w:jc w:val="left"/>
            </w:pPr>
            <w:r/>
            <w:r>
              <w:rPr>
                <w:rFonts w:ascii="Times New Roman" w:hAnsi="Times New Roman" w:eastAsia="Times New Roman"/>
                <w:b w:val="0"/>
                <w:i w:val="0"/>
                <w:sz w:val="21"/>
              </w:rPr>
              <w:t>BADGER [14]</w:t>
            </w:r>
          </w:p>
        </w:tc>
        <w:tc>
          <w:tcPr>
            <w:tcW w:type="dxa" w:w="1440"/>
          </w:tcPr>
          <w:p>
            <w:pPr>
              <w:widowControl/>
              <w:spacing w:line="240" w:lineRule="auto" w:before="0" w:after="0"/>
              <w:jc w:val="left"/>
            </w:pPr>
            <w:r/>
            <w:r>
              <w:rPr>
                <w:rFonts w:ascii="Times New Roman" w:hAnsi="Times New Roman" w:eastAsia="Times New Roman"/>
                <w:b w:val="0"/>
                <w:i w:val="0"/>
                <w:sz w:val="21"/>
              </w:rPr>
              <w:t>Yes</w:t>
            </w:r>
          </w:p>
        </w:tc>
        <w:tc>
          <w:tcPr>
            <w:tcW w:type="dxa" w:w="2016"/>
          </w:tcPr>
          <w:p>
            <w:pPr>
              <w:widowControl/>
              <w:spacing w:line="240" w:lineRule="auto" w:before="0" w:after="0"/>
              <w:jc w:val="left"/>
            </w:pPr>
            <w:r/>
            <w:r>
              <w:rPr>
                <w:rFonts w:ascii="Times New Roman" w:hAnsi="Times New Roman" w:eastAsia="Times New Roman"/>
                <w:b w:val="0"/>
                <w:i w:val="0"/>
                <w:sz w:val="21"/>
              </w:rPr>
              <w:t>Yes (classifier-guidance variant)</w:t>
            </w:r>
          </w:p>
        </w:tc>
        <w:tc>
          <w:tcPr>
            <w:tcW w:type="dxa" w:w="2160"/>
          </w:tcPr>
          <w:p>
            <w:pPr>
              <w:widowControl/>
              <w:spacing w:line="240" w:lineRule="auto" w:before="0" w:after="0"/>
              <w:jc w:val="left"/>
            </w:pPr>
            <w:r/>
            <w:r>
              <w:rPr>
                <w:rFonts w:ascii="Times New Roman" w:hAnsi="Times New Roman" w:eastAsia="Times New Roman"/>
                <w:b w:val="0"/>
                <w:i w:val="0"/>
                <w:sz w:val="21"/>
              </w:rPr>
              <w:t>Not stated in materials reviewed</w:t>
            </w:r>
          </w:p>
        </w:tc>
        <w:tc>
          <w:tcPr>
            <w:tcW w:type="dxa" w:w="1584"/>
          </w:tcPr>
          <w:p>
            <w:pPr>
              <w:widowControl/>
              <w:spacing w:line="240" w:lineRule="auto" w:before="0" w:after="0"/>
              <w:jc w:val="left"/>
            </w:pPr>
            <w:r/>
            <w:r>
              <w:rPr>
                <w:rFonts w:ascii="Times New Roman" w:hAnsi="Times New Roman" w:eastAsia="Times New Roman"/>
                <w:b w:val="0"/>
                <w:i w:val="0"/>
                <w:sz w:val="21"/>
              </w:rPr>
              <w:t>Not stated in materials reviewed</w:t>
            </w:r>
          </w:p>
        </w:tc>
        <w:tc>
          <w:tcPr>
            <w:tcW w:type="dxa" w:w="1584"/>
          </w:tcPr>
          <w:p>
            <w:pPr>
              <w:widowControl/>
              <w:spacing w:line="240" w:lineRule="auto" w:before="0" w:after="0"/>
              <w:jc w:val="left"/>
            </w:pPr>
            <w:r/>
            <w:r>
              <w:rPr>
                <w:rFonts w:ascii="Times New Roman" w:hAnsi="Times New Roman" w:eastAsia="Times New Roman"/>
                <w:b w:val="0"/>
                <w:i w:val="0"/>
                <w:sz w:val="21"/>
              </w:rPr>
              <w:t>Not stated in materials reviewed</w:t>
            </w:r>
          </w:p>
        </w:tc>
      </w:tr>
      <w:tr>
        <w:tc>
          <w:tcPr>
            <w:tcW w:type="dxa" w:w="1584"/>
          </w:tcPr>
          <w:p>
            <w:pPr>
              <w:widowControl/>
              <w:spacing w:line="240" w:lineRule="auto" w:before="0" w:after="0"/>
              <w:jc w:val="left"/>
            </w:pPr>
            <w:r/>
            <w:r>
              <w:rPr>
                <w:rFonts w:ascii="Times New Roman" w:hAnsi="Times New Roman" w:eastAsia="Times New Roman"/>
                <w:b w:val="0"/>
                <w:i w:val="0"/>
                <w:sz w:val="21"/>
              </w:rPr>
              <w:t>DiffGui [12]</w:t>
            </w:r>
          </w:p>
        </w:tc>
        <w:tc>
          <w:tcPr>
            <w:tcW w:type="dxa" w:w="1440"/>
          </w:tcPr>
          <w:p>
            <w:pPr>
              <w:widowControl/>
              <w:spacing w:line="240" w:lineRule="auto" w:before="0" w:after="0"/>
              <w:jc w:val="left"/>
            </w:pPr>
            <w:r/>
            <w:r>
              <w:rPr>
                <w:rFonts w:ascii="Times New Roman" w:hAnsi="Times New Roman" w:eastAsia="Times New Roman"/>
                <w:b w:val="0"/>
                <w:i w:val="0"/>
                <w:sz w:val="21"/>
              </w:rPr>
              <w:t>Yes</w:t>
            </w:r>
          </w:p>
        </w:tc>
        <w:tc>
          <w:tcPr>
            <w:tcW w:type="dxa" w:w="2016"/>
          </w:tcPr>
          <w:p>
            <w:pPr>
              <w:widowControl/>
              <w:spacing w:line="240" w:lineRule="auto" w:before="0" w:after="0"/>
              <w:jc w:val="left"/>
            </w:pPr>
            <w:r/>
            <w:r>
              <w:rPr>
                <w:rFonts w:ascii="Times New Roman" w:hAnsi="Times New Roman" w:eastAsia="Times New Roman"/>
                <w:b w:val="0"/>
                <w:i w:val="0"/>
                <w:sz w:val="21"/>
              </w:rPr>
              <w:t>No (jointly trained with generator)</w:t>
            </w:r>
          </w:p>
        </w:tc>
        <w:tc>
          <w:tcPr>
            <w:tcW w:type="dxa" w:w="2160"/>
          </w:tcPr>
          <w:p>
            <w:pPr>
              <w:widowControl/>
              <w:spacing w:line="240" w:lineRule="auto" w:before="0" w:after="0"/>
              <w:jc w:val="left"/>
            </w:pPr>
            <w:r/>
            <w:r>
              <w:rPr>
                <w:rFonts w:ascii="Times New Roman" w:hAnsi="Times New Roman" w:eastAsia="Times New Roman"/>
                <w:b w:val="0"/>
                <w:i w:val="0"/>
                <w:sz w:val="21"/>
              </w:rPr>
              <w:t>Not stated; includes wet-lab validation</w:t>
            </w:r>
          </w:p>
        </w:tc>
        <w:tc>
          <w:tcPr>
            <w:tcW w:type="dxa" w:w="1584"/>
          </w:tcPr>
          <w:p>
            <w:pPr>
              <w:widowControl/>
              <w:spacing w:line="240" w:lineRule="auto" w:before="0" w:after="0"/>
              <w:jc w:val="left"/>
            </w:pPr>
            <w:r/>
            <w:r>
              <w:rPr>
                <w:rFonts w:ascii="Times New Roman" w:hAnsi="Times New Roman" w:eastAsia="Times New Roman"/>
                <w:b w:val="0"/>
                <w:i w:val="0"/>
                <w:sz w:val="21"/>
              </w:rPr>
              <w:t>Not stated in materials reviewed</w:t>
            </w:r>
          </w:p>
        </w:tc>
        <w:tc>
          <w:tcPr>
            <w:tcW w:type="dxa" w:w="1584"/>
          </w:tcPr>
          <w:p>
            <w:pPr>
              <w:widowControl/>
              <w:spacing w:line="240" w:lineRule="auto" w:before="0" w:after="0"/>
              <w:jc w:val="left"/>
            </w:pPr>
            <w:r/>
            <w:r>
              <w:rPr>
                <w:rFonts w:ascii="Times New Roman" w:hAnsi="Times New Roman" w:eastAsia="Times New Roman"/>
                <w:b w:val="0"/>
                <w:i w:val="0"/>
                <w:sz w:val="21"/>
              </w:rPr>
              <w:t>Not stated in materials reviewed</w:t>
            </w:r>
          </w:p>
        </w:tc>
      </w:tr>
      <w:tr>
        <w:tc>
          <w:tcPr>
            <w:tcW w:type="dxa" w:w="1584"/>
          </w:tcPr>
          <w:p>
            <w:pPr>
              <w:widowControl/>
              <w:spacing w:line="240" w:lineRule="auto" w:before="0" w:after="0"/>
              <w:jc w:val="left"/>
            </w:pPr>
            <w:r/>
            <w:r>
              <w:rPr>
                <w:rFonts w:ascii="Times New Roman" w:hAnsi="Times New Roman" w:eastAsia="Times New Roman"/>
                <w:b w:val="0"/>
                <w:i w:val="0"/>
                <w:sz w:val="21"/>
              </w:rPr>
              <w:t>BoKDiff [15]</w:t>
            </w:r>
          </w:p>
        </w:tc>
        <w:tc>
          <w:tcPr>
            <w:tcW w:type="dxa" w:w="1440"/>
          </w:tcPr>
          <w:p>
            <w:pPr>
              <w:widowControl/>
              <w:spacing w:line="240" w:lineRule="auto" w:before="0" w:after="0"/>
              <w:jc w:val="left"/>
            </w:pPr>
            <w:r/>
            <w:r>
              <w:rPr>
                <w:rFonts w:ascii="Times New Roman" w:hAnsi="Times New Roman" w:eastAsia="Times New Roman"/>
                <w:b w:val="0"/>
                <w:i w:val="0"/>
                <w:sz w:val="21"/>
              </w:rPr>
              <w:t>Yes</w:t>
            </w:r>
          </w:p>
        </w:tc>
        <w:tc>
          <w:tcPr>
            <w:tcW w:type="dxa" w:w="2016"/>
          </w:tcPr>
          <w:p>
            <w:pPr>
              <w:widowControl/>
              <w:spacing w:line="240" w:lineRule="auto" w:before="0" w:after="0"/>
              <w:jc w:val="left"/>
            </w:pPr>
            <w:r/>
            <w:r>
              <w:rPr>
                <w:rFonts w:ascii="Times New Roman" w:hAnsi="Times New Roman" w:eastAsia="Times New Roman"/>
                <w:b w:val="0"/>
                <w:i w:val="0"/>
                <w:sz w:val="21"/>
              </w:rPr>
              <w:t>No (external scoring, no gradient)</w:t>
            </w:r>
          </w:p>
        </w:tc>
        <w:tc>
          <w:tcPr>
            <w:tcW w:type="dxa" w:w="2160"/>
          </w:tcPr>
          <w:p>
            <w:pPr>
              <w:widowControl/>
              <w:spacing w:line="240" w:lineRule="auto" w:before="0" w:after="0"/>
              <w:jc w:val="left"/>
            </w:pPr>
            <w:r/>
            <w:r>
              <w:rPr>
                <w:rFonts w:ascii="Times New Roman" w:hAnsi="Times New Roman" w:eastAsia="Times New Roman"/>
                <w:b w:val="0"/>
                <w:i w:val="0"/>
                <w:sz w:val="21"/>
              </w:rPr>
              <w:t>No gradient-guidance comparison reported</w:t>
            </w:r>
          </w:p>
        </w:tc>
        <w:tc>
          <w:tcPr>
            <w:tcW w:type="dxa" w:w="1584"/>
          </w:tcPr>
          <w:p>
            <w:pPr>
              <w:widowControl/>
              <w:spacing w:line="240" w:lineRule="auto" w:before="0" w:after="0"/>
              <w:jc w:val="left"/>
            </w:pPr>
            <w:r/>
            <w:r>
              <w:rPr>
                <w:rFonts w:ascii="Times New Roman" w:hAnsi="Times New Roman" w:eastAsia="Times New Roman"/>
                <w:b w:val="0"/>
                <w:i w:val="0"/>
                <w:sz w:val="21"/>
              </w:rPr>
              <w:t>Not the focus, as reviewed</w:t>
            </w:r>
          </w:p>
        </w:tc>
        <w:tc>
          <w:tcPr>
            <w:tcW w:type="dxa" w:w="1584"/>
          </w:tcPr>
          <w:p>
            <w:pPr>
              <w:widowControl/>
              <w:spacing w:line="240" w:lineRule="auto" w:before="0" w:after="0"/>
              <w:jc w:val="left"/>
            </w:pPr>
            <w:r/>
            <w:r>
              <w:rPr>
                <w:rFonts w:ascii="Times New Roman" w:hAnsi="Times New Roman" w:eastAsia="Times New Roman"/>
                <w:b w:val="0"/>
                <w:i w:val="0"/>
                <w:sz w:val="21"/>
              </w:rPr>
              <w:t>Not the focus, as reviewed</w:t>
            </w:r>
          </w:p>
        </w:tc>
      </w:tr>
      <w:tr>
        <w:tc>
          <w:tcPr>
            <w:tcW w:type="dxa" w:w="1584"/>
          </w:tcPr>
          <w:p>
            <w:pPr>
              <w:widowControl/>
              <w:spacing w:line="240" w:lineRule="auto" w:before="0" w:after="0"/>
              <w:jc w:val="left"/>
            </w:pPr>
            <w:r/>
            <w:r>
              <w:rPr>
                <w:rFonts w:ascii="Times New Roman" w:hAnsi="Times New Roman" w:eastAsia="Times New Roman"/>
                <w:b w:val="0"/>
                <w:i w:val="0"/>
                <w:sz w:val="21"/>
              </w:rPr>
              <w:t>This research (RQ1–RQ6)</w:t>
            </w:r>
          </w:p>
        </w:tc>
        <w:tc>
          <w:tcPr>
            <w:tcW w:type="dxa" w:w="1440"/>
          </w:tcPr>
          <w:p>
            <w:pPr>
              <w:widowControl/>
              <w:spacing w:line="240" w:lineRule="auto" w:before="0" w:after="0"/>
              <w:jc w:val="left"/>
            </w:pPr>
            <w:r/>
            <w:r>
              <w:rPr>
                <w:rFonts w:ascii="Times New Roman" w:hAnsi="Times New Roman" w:eastAsia="Times New Roman"/>
                <w:b w:val="0"/>
                <w:i w:val="0"/>
                <w:sz w:val="21"/>
              </w:rPr>
              <w:t>Yes (frozen TargetDiff)</w:t>
            </w:r>
          </w:p>
        </w:tc>
        <w:tc>
          <w:tcPr>
            <w:tcW w:type="dxa" w:w="2016"/>
          </w:tcPr>
          <w:p>
            <w:pPr>
              <w:widowControl/>
              <w:spacing w:line="240" w:lineRule="auto" w:before="0" w:after="0"/>
              <w:jc w:val="left"/>
            </w:pPr>
            <w:r/>
            <w:r>
              <w:rPr>
                <w:rFonts w:ascii="Times New Roman" w:hAnsi="Times New Roman" w:eastAsia="Times New Roman"/>
                <w:b w:val="0"/>
                <w:i w:val="0"/>
                <w:sz w:val="21"/>
              </w:rPr>
              <w:t>Yes (EGNN family; also a non-gradient Vina control)</w:t>
            </w:r>
          </w:p>
        </w:tc>
        <w:tc>
          <w:tcPr>
            <w:tcW w:type="dxa" w:w="2160"/>
          </w:tcPr>
          <w:p>
            <w:pPr>
              <w:widowControl/>
              <w:spacing w:line="240" w:lineRule="auto" w:before="0" w:after="0"/>
              <w:jc w:val="left"/>
            </w:pPr>
            <w:r/>
            <w:r>
              <w:rPr>
                <w:rFonts w:ascii="Times New Roman" w:hAnsi="Times New Roman" w:eastAsia="Times New Roman"/>
                <w:b w:val="0"/>
                <w:i w:val="0"/>
                <w:sz w:val="21"/>
              </w:rPr>
              <w:t>Yes — RQ2 is an explicit, pre-registered positive control</w:t>
            </w:r>
          </w:p>
        </w:tc>
        <w:tc>
          <w:tcPr>
            <w:tcW w:type="dxa" w:w="1584"/>
          </w:tcPr>
          <w:p>
            <w:pPr>
              <w:widowControl/>
              <w:spacing w:line="240" w:lineRule="auto" w:before="0" w:after="0"/>
              <w:jc w:val="left"/>
            </w:pPr>
            <w:r/>
            <w:r>
              <w:rPr>
                <w:rFonts w:ascii="Times New Roman" w:hAnsi="Times New Roman" w:eastAsia="Times New Roman"/>
                <w:b w:val="0"/>
                <w:i w:val="0"/>
                <w:sz w:val="21"/>
              </w:rPr>
              <w:t>Yes (LP-split-style adaptation)</w:t>
            </w:r>
          </w:p>
        </w:tc>
        <w:tc>
          <w:tcPr>
            <w:tcW w:type="dxa" w:w="1584"/>
          </w:tcPr>
          <w:p>
            <w:pPr>
              <w:widowControl/>
              <w:spacing w:line="240" w:lineRule="auto" w:before="0" w:after="0"/>
              <w:jc w:val="left"/>
            </w:pPr>
            <w:r/>
            <w:r>
              <w:rPr>
                <w:rFonts w:ascii="Times New Roman" w:hAnsi="Times New Roman" w:eastAsia="Times New Roman"/>
                <w:b w:val="0"/>
                <w:i w:val="0"/>
                <w:sz w:val="21"/>
              </w:rPr>
              <w:t>Yes (Benjamini–Hochberg across all paired comparisons)</w:t>
            </w:r>
          </w:p>
        </w:tc>
      </w:tr>
    </w:tbl>
    <w:p/>
    <w:p>
      <w:pPr>
        <w:widowControl/>
        <w:spacing w:line="360" w:lineRule="auto" w:before="0" w:after="160"/>
        <w:ind w:firstLine="432"/>
        <w:jc w:val="both"/>
      </w:pPr>
      <w:r>
        <w:rPr>
          <w:rFonts w:ascii="Times New Roman" w:hAnsi="Times New Roman" w:eastAsia="Times New Roman"/>
          <w:b w:val="0"/>
          <w:i w:val="0"/>
          <w:sz w:val="24"/>
        </w:rPr>
        <w:t>What was not found, within the limits of the searches recorded in the underlying thesis’s methodology appendix, is a study that evaluates learned gradient-based affinity guidance for a 3-D diffusion SBDD generator together with an explicit positive control built from a genuine, non-surrogate signal on the same generator and pockets, under a leakage-safe, statistically corrected protocol, and that uses the contrast between the two to adjudicate among the M1/M2/M3 mechanisms above. That is the gap RQ1 and RQ2 jointly close; RQ3–RQ6 supply the mechanism-level evidence needed to decide which of the three explanations the overall null result actually supports, rather than leaving a bare null result unexplained.</w:t>
      </w:r>
    </w:p>
    <w:p>
      <w:pPr>
        <w:keepNext/>
        <w:widowControl/>
        <w:spacing w:line="288" w:lineRule="auto" w:before="360" w:after="160"/>
        <w:jc w:val="left"/>
      </w:pPr>
      <w:r>
        <w:rPr>
          <w:rFonts w:ascii="Times New Roman" w:hAnsi="Times New Roman" w:eastAsia="Times New Roman"/>
          <w:b/>
          <w:i w:val="0"/>
          <w:sz w:val="26"/>
        </w:rPr>
        <w:t>2.11  Summary and Link to Chapter III</w:t>
      </w:r>
    </w:p>
    <w:p>
      <w:pPr>
        <w:widowControl/>
        <w:spacing w:line="360" w:lineRule="auto" w:before="0" w:after="160"/>
        <w:ind w:firstLine="432"/>
        <w:jc w:val="both"/>
      </w:pPr>
      <w:r>
        <w:rPr>
          <w:rFonts w:ascii="Times New Roman" w:hAnsi="Times New Roman" w:eastAsia="Times New Roman"/>
          <w:b w:val="0"/>
          <w:i w:val="0"/>
          <w:sz w:val="24"/>
        </w:rPr>
        <w:t>This chapter has reviewed five bodies of work — generative SBDD models and their guidance, affinity prediction and its reliability threats, generated-molecule evaluation, uncertainty quantification, and model compression under equivariance constraints — and has shown that no source examined combines the specific safeguards RQ1 and RQ2 jointly apply. Chapter III, outside the scope of this Week 5 draft, describes in full the data, frozen generator, predictor architectures, guidance mechanisms, statistical protocol (target-clustered bootstrap, Benjamini–Hochberg correction, pre-registered decision bands) and integrity checks (leakage audits, split-artefact checks) that operationalise the research design summarised in Table 1.2.</w:t>
      </w:r>
    </w:p>
    <w:p>
      <w:r>
        <w:br w:type="page"/>
      </w:r>
    </w:p>
    <w:p>
      <w:pPr>
        <w:keepNext/>
        <w:widowControl/>
        <w:spacing w:line="288" w:lineRule="auto" w:before="0" w:after="360"/>
        <w:jc w:val="center"/>
      </w:pPr>
      <w:r>
        <w:rPr>
          <w:rFonts w:ascii="Times New Roman" w:hAnsi="Times New Roman" w:eastAsia="Times New Roman"/>
          <w:b/>
          <w:i w:val="0"/>
          <w:sz w:val="32"/>
        </w:rPr>
        <w:t>REFERENCES</w:t>
      </w:r>
    </w:p>
    <w:p>
      <w:pPr>
        <w:widowControl/>
        <w:spacing w:line="360" w:lineRule="auto" w:before="0" w:after="160"/>
        <w:jc w:val="both"/>
      </w:pPr>
      <w:r>
        <w:rPr>
          <w:rFonts w:ascii="Times New Roman" w:hAnsi="Times New Roman" w:eastAsia="Times New Roman"/>
          <w:b w:val="0"/>
          <w:i w:val="0"/>
          <w:sz w:val="24"/>
        </w:rPr>
        <w:t>Sources are numbered sequentially in alphabetical order by first author’s surname and cited in text by number, following the project’s existing IEEE-style convention. Entries marked with an asterisk (*) are cited from this project’s own literature-search log by author, year and venue, and have not been individually re-verified against the original source for this draft; all other entries were checked against the primary source or its PubMed record during the underlying project (see refs.py in the project repository for the full verification ledger).</w:t>
      </w:r>
    </w:p>
    <w:p>
      <w:pPr>
        <w:widowControl/>
        <w:spacing w:line="288" w:lineRule="auto" w:before="0" w:after="120"/>
        <w:ind w:left="432" w:hanging="432"/>
        <w:jc w:val="left"/>
      </w:pPr>
      <w:r>
        <w:rPr>
          <w:rFonts w:ascii="Times New Roman" w:hAnsi="Times New Roman" w:eastAsia="Times New Roman"/>
          <w:b w:val="0"/>
          <w:i w:val="0"/>
          <w:sz w:val="22"/>
        </w:rPr>
        <w:t xml:space="preserve">[1] M. A. Balcı, E. Çetin, G. Calibasi-Kocal, and Ö. Akgüller, “Pocket-surface discrete differential geometry as a leakage-robust feature class for protein–ligand binding affinity prediction,” </w:t>
      </w:r>
      <w:r>
        <w:rPr>
          <w:rFonts w:ascii="Times New Roman" w:hAnsi="Times New Roman" w:eastAsia="Times New Roman"/>
          <w:b w:val="0"/>
          <w:i/>
          <w:sz w:val="22"/>
        </w:rPr>
        <w:t>Molecules</w:t>
      </w:r>
      <w:r>
        <w:rPr>
          <w:rFonts w:ascii="Times New Roman" w:hAnsi="Times New Roman" w:eastAsia="Times New Roman"/>
          <w:b w:val="0"/>
          <w:i w:val="0"/>
          <w:sz w:val="22"/>
        </w:rPr>
        <w:t>, vol. 31, no. 11, 2026, doi: 10.3390/molecules31111899.</w:t>
      </w:r>
    </w:p>
    <w:p>
      <w:pPr>
        <w:widowControl/>
        <w:spacing w:line="288" w:lineRule="auto" w:before="0" w:after="120"/>
        <w:ind w:left="432" w:hanging="432"/>
        <w:jc w:val="left"/>
      </w:pPr>
      <w:r>
        <w:rPr>
          <w:rFonts w:ascii="Times New Roman" w:hAnsi="Times New Roman" w:eastAsia="Times New Roman"/>
          <w:b w:val="0"/>
          <w:i w:val="0"/>
          <w:sz w:val="22"/>
        </w:rPr>
        <w:t xml:space="preserve">[2] M. Buttenschoen, G. M. Morris, and C. M. Deane, “PoseBusters: AI-based docking methods fail to generate physically valid poses or generalise to novel sequences,” </w:t>
      </w:r>
      <w:r>
        <w:rPr>
          <w:rFonts w:ascii="Times New Roman" w:hAnsi="Times New Roman" w:eastAsia="Times New Roman"/>
          <w:b w:val="0"/>
          <w:i/>
          <w:sz w:val="22"/>
        </w:rPr>
        <w:t>Chem. Sci.</w:t>
      </w:r>
      <w:r>
        <w:rPr>
          <w:rFonts w:ascii="Times New Roman" w:hAnsi="Times New Roman" w:eastAsia="Times New Roman"/>
          <w:b w:val="0"/>
          <w:i w:val="0"/>
          <w:sz w:val="22"/>
        </w:rPr>
        <w:t>, vol. 15, no. 9, pp. 3130–3139, 2024, doi: 10.1039/d3sc04185a.</w:t>
      </w:r>
    </w:p>
    <w:p>
      <w:pPr>
        <w:widowControl/>
        <w:spacing w:line="288" w:lineRule="auto" w:before="0" w:after="120"/>
        <w:ind w:left="432" w:hanging="432"/>
        <w:jc w:val="left"/>
      </w:pPr>
      <w:r>
        <w:rPr>
          <w:rFonts w:ascii="Times New Roman" w:hAnsi="Times New Roman" w:eastAsia="Times New Roman"/>
          <w:b w:val="0"/>
          <w:i w:val="0"/>
          <w:sz w:val="22"/>
        </w:rPr>
        <w:t xml:space="preserve">[3] P. Dhariwal and A. Nichol, “Diffusion models beat GANs on image synthesis,” in </w:t>
      </w:r>
      <w:r>
        <w:rPr>
          <w:rFonts w:ascii="Times New Roman" w:hAnsi="Times New Roman" w:eastAsia="Times New Roman"/>
          <w:b w:val="0"/>
          <w:i/>
          <w:sz w:val="22"/>
        </w:rPr>
        <w:t>Advances in Neural Information Processing Systems 34 (NeurIPS)</w:t>
      </w:r>
      <w:r>
        <w:rPr>
          <w:rFonts w:ascii="Times New Roman" w:hAnsi="Times New Roman" w:eastAsia="Times New Roman"/>
          <w:b w:val="0"/>
          <w:i w:val="0"/>
          <w:sz w:val="22"/>
        </w:rPr>
        <w:t>, 2021, pp. 8780–8794.</w:t>
      </w:r>
    </w:p>
    <w:p>
      <w:pPr>
        <w:widowControl/>
        <w:spacing w:line="288" w:lineRule="auto" w:before="0" w:after="120"/>
        <w:ind w:left="432" w:hanging="432"/>
        <w:jc w:val="left"/>
      </w:pPr>
      <w:r>
        <w:rPr>
          <w:rFonts w:ascii="Times New Roman" w:hAnsi="Times New Roman" w:eastAsia="Times New Roman"/>
          <w:b w:val="0"/>
          <w:i w:val="0"/>
          <w:sz w:val="22"/>
        </w:rPr>
        <w:t xml:space="preserve">[4] J. Eberhardt, D. Santos-Martins, A. F. Tillack, and S. Forli, “AutoDock Vina 1.2.0: New docking methods, expanded force field, and Python bindings,” </w:t>
      </w:r>
      <w:r>
        <w:rPr>
          <w:rFonts w:ascii="Times New Roman" w:hAnsi="Times New Roman" w:eastAsia="Times New Roman"/>
          <w:b w:val="0"/>
          <w:i/>
          <w:sz w:val="22"/>
        </w:rPr>
        <w:t>J. Chem. Inf. Model.</w:t>
      </w:r>
      <w:r>
        <w:rPr>
          <w:rFonts w:ascii="Times New Roman" w:hAnsi="Times New Roman" w:eastAsia="Times New Roman"/>
          <w:b w:val="0"/>
          <w:i w:val="0"/>
          <w:sz w:val="22"/>
        </w:rPr>
        <w:t>, vol. 61, no. 8, pp. 3891–3898, 2021, doi: 10.1021/acs.jcim.1c00203.</w:t>
      </w:r>
    </w:p>
    <w:p>
      <w:pPr>
        <w:widowControl/>
        <w:spacing w:line="288" w:lineRule="auto" w:before="0" w:after="120"/>
        <w:ind w:left="432" w:hanging="432"/>
        <w:jc w:val="left"/>
      </w:pPr>
      <w:r>
        <w:rPr>
          <w:rFonts w:ascii="Times New Roman" w:hAnsi="Times New Roman" w:eastAsia="Times New Roman"/>
          <w:b w:val="0"/>
          <w:i w:val="0"/>
          <w:sz w:val="22"/>
        </w:rPr>
        <w:t xml:space="preserve">[5] D. Errington, C. Schneider, C. Bouysset, and F. A. Dreyer, “Assessing interaction recovery of predicted protein–ligand poses,” </w:t>
      </w:r>
      <w:r>
        <w:rPr>
          <w:rFonts w:ascii="Times New Roman" w:hAnsi="Times New Roman" w:eastAsia="Times New Roman"/>
          <w:b w:val="0"/>
          <w:i/>
          <w:sz w:val="22"/>
        </w:rPr>
        <w:t>J. Cheminform.</w:t>
      </w:r>
      <w:r>
        <w:rPr>
          <w:rFonts w:ascii="Times New Roman" w:hAnsi="Times New Roman" w:eastAsia="Times New Roman"/>
          <w:b w:val="0"/>
          <w:i w:val="0"/>
          <w:sz w:val="22"/>
        </w:rPr>
        <w:t>, vol. 17, art. 76, 2025, doi: 10.1186/s13321-025-01011-6.</w:t>
      </w:r>
    </w:p>
    <w:p>
      <w:pPr>
        <w:widowControl/>
        <w:spacing w:line="288" w:lineRule="auto" w:before="0" w:after="120"/>
        <w:ind w:left="432" w:hanging="432"/>
        <w:jc w:val="left"/>
      </w:pPr>
      <w:r>
        <w:rPr>
          <w:rFonts w:ascii="Times New Roman" w:hAnsi="Times New Roman" w:eastAsia="Times New Roman"/>
          <w:b w:val="0"/>
          <w:i w:val="0"/>
          <w:sz w:val="22"/>
        </w:rPr>
        <w:t xml:space="preserve">[6] P. Ertl and A. Schuffenhauer, “Estimation of synthetic accessibility score of drug-like molecules based on molecular complexity and fragment contributions,” </w:t>
      </w:r>
      <w:r>
        <w:rPr>
          <w:rFonts w:ascii="Times New Roman" w:hAnsi="Times New Roman" w:eastAsia="Times New Roman"/>
          <w:b w:val="0"/>
          <w:i/>
          <w:sz w:val="22"/>
        </w:rPr>
        <w:t>J. Cheminform.</w:t>
      </w:r>
      <w:r>
        <w:rPr>
          <w:rFonts w:ascii="Times New Roman" w:hAnsi="Times New Roman" w:eastAsia="Times New Roman"/>
          <w:b w:val="0"/>
          <w:i w:val="0"/>
          <w:sz w:val="22"/>
        </w:rPr>
        <w:t>, vol. 1, art. 8, 2009, doi: 10.1186/1758-2946-1-8.</w:t>
      </w:r>
    </w:p>
    <w:p>
      <w:pPr>
        <w:widowControl/>
        <w:spacing w:line="288" w:lineRule="auto" w:before="0" w:after="120"/>
        <w:ind w:left="432" w:hanging="432"/>
        <w:jc w:val="left"/>
      </w:pPr>
      <w:r>
        <w:rPr>
          <w:rFonts w:ascii="Times New Roman" w:hAnsi="Times New Roman" w:eastAsia="Times New Roman"/>
          <w:b w:val="0"/>
          <w:i w:val="0"/>
          <w:sz w:val="22"/>
        </w:rPr>
        <w:t xml:space="preserve">[7] P. G. Francoeur, T. Masuda, J. Sunseri, A. Jia, R. B. Iovanisci, I. Snyder, and D. R. Koes, “Three-dimensional convolutional neural networks and a cross-docked data set for structure-based drug design,” </w:t>
      </w:r>
      <w:r>
        <w:rPr>
          <w:rFonts w:ascii="Times New Roman" w:hAnsi="Times New Roman" w:eastAsia="Times New Roman"/>
          <w:b w:val="0"/>
          <w:i/>
          <w:sz w:val="22"/>
        </w:rPr>
        <w:t>J. Chem. Inf. Model.</w:t>
      </w:r>
      <w:r>
        <w:rPr>
          <w:rFonts w:ascii="Times New Roman" w:hAnsi="Times New Roman" w:eastAsia="Times New Roman"/>
          <w:b w:val="0"/>
          <w:i w:val="0"/>
          <w:sz w:val="22"/>
        </w:rPr>
        <w:t>, vol. 60, no. 9, pp. 4200–4215, 2020, doi: 10.1021/acs.jcim.0c00411.</w:t>
      </w:r>
    </w:p>
    <w:p>
      <w:pPr>
        <w:widowControl/>
        <w:spacing w:line="288" w:lineRule="auto" w:before="0" w:after="120"/>
        <w:ind w:left="432" w:hanging="432"/>
        <w:jc w:val="left"/>
      </w:pPr>
      <w:r>
        <w:rPr>
          <w:rFonts w:ascii="Times New Roman" w:hAnsi="Times New Roman" w:eastAsia="Times New Roman"/>
          <w:b w:val="0"/>
          <w:i w:val="0"/>
          <w:sz w:val="22"/>
        </w:rPr>
        <w:t xml:space="preserve">[8] B. Gao, H. Tan, Y. Huang, M. Ren, X. Huang, W.-Y. Ma, Y.-Q. Zhang, and Y. Lan, “Reframing structure-based drug design model evaluation via metrics correlated to practical needs,” in </w:t>
      </w:r>
      <w:r>
        <w:rPr>
          <w:rFonts w:ascii="Times New Roman" w:hAnsi="Times New Roman" w:eastAsia="Times New Roman"/>
          <w:b w:val="0"/>
          <w:i/>
          <w:sz w:val="22"/>
        </w:rPr>
        <w:t>Proc. 13th Int. Conf. Learning Representations (ICLR)</w:t>
      </w:r>
      <w:r>
        <w:rPr>
          <w:rFonts w:ascii="Times New Roman" w:hAnsi="Times New Roman" w:eastAsia="Times New Roman"/>
          <w:b w:val="0"/>
          <w:i w:val="0"/>
          <w:sz w:val="22"/>
        </w:rPr>
        <w:t>, 2025.</w:t>
      </w:r>
    </w:p>
    <w:p>
      <w:pPr>
        <w:widowControl/>
        <w:spacing w:line="288" w:lineRule="auto" w:before="0" w:after="120"/>
        <w:ind w:left="432" w:hanging="432"/>
        <w:jc w:val="left"/>
      </w:pPr>
      <w:r>
        <w:rPr>
          <w:rFonts w:ascii="Times New Roman" w:hAnsi="Times New Roman" w:eastAsia="Times New Roman"/>
          <w:b w:val="0"/>
          <w:i w:val="0"/>
          <w:sz w:val="22"/>
        </w:rPr>
        <w:t xml:space="preserve">[9] D. Graber, P. Stockinger, F. Meyer, S. Mishra, C. Horn, and R. Buller, “Resolving data bias improves generalization in binding affinity prediction,” </w:t>
      </w:r>
      <w:r>
        <w:rPr>
          <w:rFonts w:ascii="Times New Roman" w:hAnsi="Times New Roman" w:eastAsia="Times New Roman"/>
          <w:b w:val="0"/>
          <w:i/>
          <w:sz w:val="22"/>
        </w:rPr>
        <w:t>Nat. Mach. Intell.</w:t>
      </w:r>
      <w:r>
        <w:rPr>
          <w:rFonts w:ascii="Times New Roman" w:hAnsi="Times New Roman" w:eastAsia="Times New Roman"/>
          <w:b w:val="0"/>
          <w:i w:val="0"/>
          <w:sz w:val="22"/>
        </w:rPr>
        <w:t>, vol. 7, no. 10, pp. 1713–1725, 2025, doi: 10.1038/s42256-025-01124-5.</w:t>
      </w:r>
    </w:p>
    <w:p>
      <w:pPr>
        <w:widowControl/>
        <w:spacing w:line="288" w:lineRule="auto" w:before="0" w:after="120"/>
        <w:ind w:left="432" w:hanging="432"/>
        <w:jc w:val="left"/>
      </w:pPr>
      <w:r>
        <w:rPr>
          <w:rFonts w:ascii="Times New Roman" w:hAnsi="Times New Roman" w:eastAsia="Times New Roman"/>
          <w:b w:val="0"/>
          <w:i w:val="0"/>
          <w:sz w:val="22"/>
        </w:rPr>
        <w:t xml:space="preserve">[10] J. Guan, W. W. Qian, X. Peng, Y. Su, J. Peng, and J. Ma, “3D equivariant diffusion for target-aware molecule generation and affinity prediction,” in </w:t>
      </w:r>
      <w:r>
        <w:rPr>
          <w:rFonts w:ascii="Times New Roman" w:hAnsi="Times New Roman" w:eastAsia="Times New Roman"/>
          <w:b w:val="0"/>
          <w:i/>
          <w:sz w:val="22"/>
        </w:rPr>
        <w:t>Proc. 11th Int. Conf. Learning Representations (ICLR)</w:t>
      </w:r>
      <w:r>
        <w:rPr>
          <w:rFonts w:ascii="Times New Roman" w:hAnsi="Times New Roman" w:eastAsia="Times New Roman"/>
          <w:b w:val="0"/>
          <w:i w:val="0"/>
          <w:sz w:val="22"/>
        </w:rPr>
        <w:t>, 2023.</w:t>
      </w:r>
    </w:p>
    <w:p>
      <w:pPr>
        <w:widowControl/>
        <w:spacing w:line="288" w:lineRule="auto" w:before="0" w:after="120"/>
        <w:ind w:left="432" w:hanging="432"/>
        <w:jc w:val="left"/>
      </w:pPr>
      <w:r>
        <w:rPr>
          <w:rFonts w:ascii="Times New Roman" w:hAnsi="Times New Roman" w:eastAsia="Times New Roman"/>
          <w:b w:val="0"/>
          <w:i w:val="0"/>
          <w:sz w:val="22"/>
        </w:rPr>
        <w:t xml:space="preserve">[11] J. Ho, A. Jain, and P. Abbeel, “Denoising diffusion probabilistic models,” in </w:t>
      </w:r>
      <w:r>
        <w:rPr>
          <w:rFonts w:ascii="Times New Roman" w:hAnsi="Times New Roman" w:eastAsia="Times New Roman"/>
          <w:b w:val="0"/>
          <w:i/>
          <w:sz w:val="22"/>
        </w:rPr>
        <w:t>Advances in Neural Information Processing Systems 33 (NeurIPS)</w:t>
      </w:r>
      <w:r>
        <w:rPr>
          <w:rFonts w:ascii="Times New Roman" w:hAnsi="Times New Roman" w:eastAsia="Times New Roman"/>
          <w:b w:val="0"/>
          <w:i w:val="0"/>
          <w:sz w:val="22"/>
        </w:rPr>
        <w:t>, 2020, pp. 6840–6851.</w:t>
      </w:r>
    </w:p>
    <w:p>
      <w:pPr>
        <w:widowControl/>
        <w:spacing w:line="288" w:lineRule="auto" w:before="0" w:after="120"/>
        <w:ind w:left="432" w:hanging="432"/>
        <w:jc w:val="left"/>
      </w:pPr>
      <w:r>
        <w:rPr>
          <w:rFonts w:ascii="Times New Roman" w:hAnsi="Times New Roman" w:eastAsia="Times New Roman"/>
          <w:b w:val="0"/>
          <w:i w:val="0"/>
          <w:sz w:val="22"/>
        </w:rPr>
        <w:t xml:space="preserve">[12] Q. Hu, C. Sun, H. He, J. Xu, D. Liu, W. Zhang, S. Shi, K. Zhang, and H. Li, “Target-aware 3D molecular generation based on guided equivariant diffusion,” </w:t>
      </w:r>
      <w:r>
        <w:rPr>
          <w:rFonts w:ascii="Times New Roman" w:hAnsi="Times New Roman" w:eastAsia="Times New Roman"/>
          <w:b w:val="0"/>
          <w:i/>
          <w:sz w:val="22"/>
        </w:rPr>
        <w:t>Nat. Commun.</w:t>
      </w:r>
      <w:r>
        <w:rPr>
          <w:rFonts w:ascii="Times New Roman" w:hAnsi="Times New Roman" w:eastAsia="Times New Roman"/>
          <w:b w:val="0"/>
          <w:i w:val="0"/>
          <w:sz w:val="22"/>
        </w:rPr>
        <w:t>, vol. 16, art. 7928, 2025, doi: 10.1038/s41467-025-63245-0.</w:t>
      </w:r>
    </w:p>
    <w:p>
      <w:pPr>
        <w:widowControl/>
        <w:spacing w:line="288" w:lineRule="auto" w:before="0" w:after="120"/>
        <w:ind w:left="432" w:hanging="432"/>
        <w:jc w:val="left"/>
      </w:pPr>
      <w:r>
        <w:rPr>
          <w:rFonts w:ascii="Times New Roman" w:hAnsi="Times New Roman" w:eastAsia="Times New Roman"/>
          <w:b w:val="0"/>
          <w:i w:val="0"/>
          <w:sz w:val="22"/>
        </w:rPr>
        <w:t xml:space="preserve">[13] Z. Huang, L. Yang, C. Qin, Y. Xing, H. Yu, X. Zhou, B. Zheng, Y. Wang, X. Gao, and W. Yang, “Disentangled diffusion model for 3D molecular generation with protein–ligand interaction priors,” </w:t>
      </w:r>
      <w:r>
        <w:rPr>
          <w:rFonts w:ascii="Times New Roman" w:hAnsi="Times New Roman" w:eastAsia="Times New Roman"/>
          <w:b w:val="0"/>
          <w:i/>
          <w:sz w:val="22"/>
        </w:rPr>
        <w:t>Bioinformatics</w:t>
      </w:r>
      <w:r>
        <w:rPr>
          <w:rFonts w:ascii="Times New Roman" w:hAnsi="Times New Roman" w:eastAsia="Times New Roman"/>
          <w:b w:val="0"/>
          <w:i w:val="0"/>
          <w:sz w:val="22"/>
        </w:rPr>
        <w:t>, vol. 42, no. 6, p. btag165, 2026, doi: 10.1093/bioinformatics/btag165.</w:t>
      </w:r>
    </w:p>
    <w:p>
      <w:pPr>
        <w:widowControl/>
        <w:spacing w:line="288" w:lineRule="auto" w:before="0" w:after="120"/>
        <w:ind w:left="432" w:hanging="432"/>
        <w:jc w:val="left"/>
      </w:pPr>
      <w:r>
        <w:rPr>
          <w:rFonts w:ascii="Times New Roman" w:hAnsi="Times New Roman" w:eastAsia="Times New Roman"/>
          <w:b w:val="0"/>
          <w:i w:val="0"/>
          <w:sz w:val="22"/>
        </w:rPr>
        <w:t xml:space="preserve">[14] Y. Jian, C. Wu, D. Reidenbach, and A. S. Krishnapriyan, “General binding affinity guidance for diffusion models in structure-based drug design,” </w:t>
      </w:r>
      <w:r>
        <w:rPr>
          <w:rFonts w:ascii="Times New Roman" w:hAnsi="Times New Roman" w:eastAsia="Times New Roman"/>
          <w:b w:val="0"/>
          <w:i/>
          <w:sz w:val="22"/>
        </w:rPr>
        <w:t>J. Chem. Inf. Model.</w:t>
      </w:r>
      <w:r>
        <w:rPr>
          <w:rFonts w:ascii="Times New Roman" w:hAnsi="Times New Roman" w:eastAsia="Times New Roman"/>
          <w:b w:val="0"/>
          <w:i w:val="0"/>
          <w:sz w:val="22"/>
        </w:rPr>
        <w:t>, vol. 66, no. 3, pp. 1342–1352, 2026, doi: 10.1021/acs.jcim.5c01166.</w:t>
      </w:r>
    </w:p>
    <w:p>
      <w:pPr>
        <w:widowControl/>
        <w:spacing w:line="288" w:lineRule="auto" w:before="0" w:after="120"/>
        <w:ind w:left="432" w:hanging="432"/>
        <w:jc w:val="left"/>
      </w:pPr>
      <w:r>
        <w:rPr>
          <w:rFonts w:ascii="Times New Roman" w:hAnsi="Times New Roman" w:eastAsia="Times New Roman"/>
          <w:b w:val="0"/>
          <w:i w:val="0"/>
          <w:sz w:val="22"/>
        </w:rPr>
        <w:t>[15] N. Khodabandeh Yalabadi, M. Yazdani-Jahromi, and O. Garibay, “BoKDiff: Best-of-K and best-of-N alignment for diffusion-based structure-based drug design,” arXiv:2501.15631, 2025 (preprint). *</w:t>
      </w:r>
    </w:p>
    <w:p>
      <w:pPr>
        <w:widowControl/>
        <w:spacing w:line="288" w:lineRule="auto" w:before="0" w:after="120"/>
        <w:ind w:left="432" w:hanging="432"/>
        <w:jc w:val="left"/>
      </w:pPr>
      <w:r>
        <w:rPr>
          <w:rFonts w:ascii="Times New Roman" w:hAnsi="Times New Roman" w:eastAsia="Times New Roman"/>
          <w:b w:val="0"/>
          <w:i w:val="0"/>
          <w:sz w:val="22"/>
        </w:rPr>
        <w:t xml:space="preserve">[16] K. Kwapien, E. Nittinger, J. He, C. Margreitter, A. Voronov, and C. Tyrchan, “Implications of additivity and nonadditivity for machine learning and deep learning models in drug design,” </w:t>
      </w:r>
      <w:r>
        <w:rPr>
          <w:rFonts w:ascii="Times New Roman" w:hAnsi="Times New Roman" w:eastAsia="Times New Roman"/>
          <w:b w:val="0"/>
          <w:i/>
          <w:sz w:val="22"/>
        </w:rPr>
        <w:t>ACS Omega / J. Chem. Inf. Model.</w:t>
      </w:r>
      <w:r>
        <w:rPr>
          <w:rFonts w:ascii="Times New Roman" w:hAnsi="Times New Roman" w:eastAsia="Times New Roman"/>
          <w:b w:val="0"/>
          <w:i w:val="0"/>
          <w:sz w:val="22"/>
        </w:rPr>
        <w:t>, 2022. *</w:t>
      </w:r>
    </w:p>
    <w:p>
      <w:pPr>
        <w:widowControl/>
        <w:spacing w:line="288" w:lineRule="auto" w:before="0" w:after="120"/>
        <w:ind w:left="432" w:hanging="432"/>
        <w:jc w:val="left"/>
      </w:pPr>
      <w:r>
        <w:rPr>
          <w:rFonts w:ascii="Times New Roman" w:hAnsi="Times New Roman" w:eastAsia="Times New Roman"/>
          <w:b w:val="0"/>
          <w:i w:val="0"/>
          <w:sz w:val="22"/>
        </w:rPr>
        <w:t xml:space="preserve">[17] H. Lai, L. Wang, R. Qian, J. Huang, P. Zhou, G. Ye, F. Wu, F. Wu, X. Zeng, and W. Liu, “Interformer: An interaction-aware model for protein–ligand docking and affinity prediction,” </w:t>
      </w:r>
      <w:r>
        <w:rPr>
          <w:rFonts w:ascii="Times New Roman" w:hAnsi="Times New Roman" w:eastAsia="Times New Roman"/>
          <w:b w:val="0"/>
          <w:i/>
          <w:sz w:val="22"/>
        </w:rPr>
        <w:t>Nat. Commun.</w:t>
      </w:r>
      <w:r>
        <w:rPr>
          <w:rFonts w:ascii="Times New Roman" w:hAnsi="Times New Roman" w:eastAsia="Times New Roman"/>
          <w:b w:val="0"/>
          <w:i w:val="0"/>
          <w:sz w:val="22"/>
        </w:rPr>
        <w:t>, vol. 15, art. 10223, 2024, doi: 10.1038/s41467-024-54440-6.</w:t>
      </w:r>
    </w:p>
    <w:p>
      <w:pPr>
        <w:widowControl/>
        <w:spacing w:line="288" w:lineRule="auto" w:before="0" w:after="120"/>
        <w:ind w:left="432" w:hanging="432"/>
        <w:jc w:val="left"/>
      </w:pPr>
      <w:r>
        <w:rPr>
          <w:rFonts w:ascii="Times New Roman" w:hAnsi="Times New Roman" w:eastAsia="Times New Roman"/>
          <w:b w:val="0"/>
          <w:i w:val="0"/>
          <w:sz w:val="22"/>
        </w:rPr>
        <w:t xml:space="preserve">[18] J. Lee, W. Zhung, J. Seo, and W. Y. Kim, “BInD: Bond and interaction-generating diffusion model for multi-objective structure-based drug design,” </w:t>
      </w:r>
      <w:r>
        <w:rPr>
          <w:rFonts w:ascii="Times New Roman" w:hAnsi="Times New Roman" w:eastAsia="Times New Roman"/>
          <w:b w:val="0"/>
          <w:i/>
          <w:sz w:val="22"/>
        </w:rPr>
        <w:t>Adv. Sci.</w:t>
      </w:r>
      <w:r>
        <w:rPr>
          <w:rFonts w:ascii="Times New Roman" w:hAnsi="Times New Roman" w:eastAsia="Times New Roman"/>
          <w:b w:val="0"/>
          <w:i w:val="0"/>
          <w:sz w:val="22"/>
        </w:rPr>
        <w:t>, vol. 12, no. 35, p. e02702, 2025, doi: 10.1002/advs.202502702.</w:t>
      </w:r>
    </w:p>
    <w:p>
      <w:pPr>
        <w:widowControl/>
        <w:spacing w:line="288" w:lineRule="auto" w:before="0" w:after="120"/>
        <w:ind w:left="432" w:hanging="432"/>
        <w:jc w:val="left"/>
      </w:pPr>
      <w:r>
        <w:rPr>
          <w:rFonts w:ascii="Times New Roman" w:hAnsi="Times New Roman" w:eastAsia="Times New Roman"/>
          <w:b w:val="0"/>
          <w:i w:val="0"/>
          <w:sz w:val="22"/>
        </w:rPr>
        <w:t xml:space="preserve">[19] J. Li, X. Guan, O. Zhang, K. Sun, Y. Wang, D. Bagni, and T. Head-Gordon, “Leak proof PDBBind: A reorganized data set of protein–ligand complexes for more generalizable binding affinity prediction,” </w:t>
      </w:r>
      <w:r>
        <w:rPr>
          <w:rFonts w:ascii="Times New Roman" w:hAnsi="Times New Roman" w:eastAsia="Times New Roman"/>
          <w:b w:val="0"/>
          <w:i/>
          <w:sz w:val="22"/>
        </w:rPr>
        <w:t>J. Phys. Chem. B</w:t>
      </w:r>
      <w:r>
        <w:rPr>
          <w:rFonts w:ascii="Times New Roman" w:hAnsi="Times New Roman" w:eastAsia="Times New Roman"/>
          <w:b w:val="0"/>
          <w:i w:val="0"/>
          <w:sz w:val="22"/>
        </w:rPr>
        <w:t>, vol. 130, no. 2, pp. 730–740, 2026, doi: 10.1021/acs.jpcb.5c08598.</w:t>
      </w:r>
    </w:p>
    <w:p>
      <w:pPr>
        <w:widowControl/>
        <w:spacing w:line="288" w:lineRule="auto" w:before="0" w:after="120"/>
        <w:ind w:left="432" w:hanging="432"/>
        <w:jc w:val="left"/>
      </w:pPr>
      <w:r>
        <w:rPr>
          <w:rFonts w:ascii="Times New Roman" w:hAnsi="Times New Roman" w:eastAsia="Times New Roman"/>
          <w:b w:val="0"/>
          <w:i w:val="0"/>
          <w:sz w:val="22"/>
        </w:rPr>
        <w:t xml:space="preserve">[20] S. Moon, W. Zhung, S. Yang, J. Lim, and W. Y. Kim, “PIGNet: A physics-informed deep learning model toward generalized drug–target interaction predictions,” </w:t>
      </w:r>
      <w:r>
        <w:rPr>
          <w:rFonts w:ascii="Times New Roman" w:hAnsi="Times New Roman" w:eastAsia="Times New Roman"/>
          <w:b w:val="0"/>
          <w:i/>
          <w:sz w:val="22"/>
        </w:rPr>
        <w:t>Chem. Sci.</w:t>
      </w:r>
      <w:r>
        <w:rPr>
          <w:rFonts w:ascii="Times New Roman" w:hAnsi="Times New Roman" w:eastAsia="Times New Roman"/>
          <w:b w:val="0"/>
          <w:i w:val="0"/>
          <w:sz w:val="22"/>
        </w:rPr>
        <w:t>, vol. 13, no. 13, pp. 3661–3673, 2022, doi: 10.1039/d1sc06946b.</w:t>
      </w:r>
    </w:p>
    <w:p>
      <w:pPr>
        <w:widowControl/>
        <w:spacing w:line="288" w:lineRule="auto" w:before="0" w:after="120"/>
        <w:ind w:left="432" w:hanging="432"/>
        <w:jc w:val="left"/>
      </w:pPr>
      <w:r>
        <w:rPr>
          <w:rFonts w:ascii="Times New Roman" w:hAnsi="Times New Roman" w:eastAsia="Times New Roman"/>
          <w:b w:val="0"/>
          <w:i w:val="0"/>
          <w:sz w:val="22"/>
        </w:rPr>
        <w:t xml:space="preserve">[21] C. D. Parks et al., “Conformal prediction applied to the D3R Grand Challenge binding affinity benchmarks,” </w:t>
      </w:r>
      <w:r>
        <w:rPr>
          <w:rFonts w:ascii="Times New Roman" w:hAnsi="Times New Roman" w:eastAsia="Times New Roman"/>
          <w:b w:val="0"/>
          <w:i/>
          <w:sz w:val="22"/>
        </w:rPr>
        <w:t>Front. Mol. Biosci.</w:t>
      </w:r>
      <w:r>
        <w:rPr>
          <w:rFonts w:ascii="Times New Roman" w:hAnsi="Times New Roman" w:eastAsia="Times New Roman"/>
          <w:b w:val="0"/>
          <w:i w:val="0"/>
          <w:sz w:val="22"/>
        </w:rPr>
        <w:t>, 2020. *</w:t>
      </w:r>
    </w:p>
    <w:p>
      <w:pPr>
        <w:widowControl/>
        <w:spacing w:line="288" w:lineRule="auto" w:before="0" w:after="120"/>
        <w:ind w:left="432" w:hanging="432"/>
        <w:jc w:val="left"/>
      </w:pPr>
      <w:r>
        <w:rPr>
          <w:rFonts w:ascii="Times New Roman" w:hAnsi="Times New Roman" w:eastAsia="Times New Roman"/>
          <w:b w:val="0"/>
          <w:i w:val="0"/>
          <w:sz w:val="22"/>
        </w:rPr>
        <w:t xml:space="preserve">[22] R. Quiroga and M. A. Villarreal, “Vinardo: A scoring function based on Autodock Vina improves scoring, docking, and virtual screening,” </w:t>
      </w:r>
      <w:r>
        <w:rPr>
          <w:rFonts w:ascii="Times New Roman" w:hAnsi="Times New Roman" w:eastAsia="Times New Roman"/>
          <w:b w:val="0"/>
          <w:i/>
          <w:sz w:val="22"/>
        </w:rPr>
        <w:t>PLoS ONE</w:t>
      </w:r>
      <w:r>
        <w:rPr>
          <w:rFonts w:ascii="Times New Roman" w:hAnsi="Times New Roman" w:eastAsia="Times New Roman"/>
          <w:b w:val="0"/>
          <w:i w:val="0"/>
          <w:sz w:val="22"/>
        </w:rPr>
        <w:t>, vol. 11, no. 5, p. e0155183, 2016, doi: 10.1371/journal.pone.0155183.</w:t>
      </w:r>
    </w:p>
    <w:p>
      <w:pPr>
        <w:widowControl/>
        <w:spacing w:line="288" w:lineRule="auto" w:before="0" w:after="120"/>
        <w:ind w:left="432" w:hanging="432"/>
        <w:jc w:val="left"/>
      </w:pPr>
      <w:r>
        <w:rPr>
          <w:rFonts w:ascii="Times New Roman" w:hAnsi="Times New Roman" w:eastAsia="Times New Roman"/>
          <w:b w:val="0"/>
          <w:i w:val="0"/>
          <w:sz w:val="22"/>
        </w:rPr>
        <w:t xml:space="preserve">[23] Rayka et al., “ENS-Score: Conformal prediction for protein–ligand binding affinity,” </w:t>
      </w:r>
      <w:r>
        <w:rPr>
          <w:rFonts w:ascii="Times New Roman" w:hAnsi="Times New Roman" w:eastAsia="Times New Roman"/>
          <w:b w:val="0"/>
          <w:i/>
          <w:sz w:val="22"/>
        </w:rPr>
        <w:t>Mol. Inform.</w:t>
      </w:r>
      <w:r>
        <w:rPr>
          <w:rFonts w:ascii="Times New Roman" w:hAnsi="Times New Roman" w:eastAsia="Times New Roman"/>
          <w:b w:val="0"/>
          <w:i w:val="0"/>
          <w:sz w:val="22"/>
        </w:rPr>
        <w:t>, 2024. *</w:t>
      </w:r>
    </w:p>
    <w:p>
      <w:pPr>
        <w:widowControl/>
        <w:spacing w:line="288" w:lineRule="auto" w:before="0" w:after="120"/>
        <w:ind w:left="432" w:hanging="432"/>
        <w:jc w:val="left"/>
      </w:pPr>
      <w:r>
        <w:rPr>
          <w:rFonts w:ascii="Times New Roman" w:hAnsi="Times New Roman" w:eastAsia="Times New Roman"/>
          <w:b w:val="0"/>
          <w:i w:val="0"/>
          <w:sz w:val="22"/>
        </w:rPr>
        <w:t xml:space="preserve">[24] Rayka et al., “Benchmarking uncertainty quantification methods for protein–ligand binding affinity prediction on Leak-Proof PDBBind,” </w:t>
      </w:r>
      <w:r>
        <w:rPr>
          <w:rFonts w:ascii="Times New Roman" w:hAnsi="Times New Roman" w:eastAsia="Times New Roman"/>
          <w:b w:val="0"/>
          <w:i/>
          <w:sz w:val="22"/>
        </w:rPr>
        <w:t>Sci. Rep.</w:t>
      </w:r>
      <w:r>
        <w:rPr>
          <w:rFonts w:ascii="Times New Roman" w:hAnsi="Times New Roman" w:eastAsia="Times New Roman"/>
          <w:b w:val="0"/>
          <w:i w:val="0"/>
          <w:sz w:val="22"/>
        </w:rPr>
        <w:t>, 2025. *</w:t>
      </w:r>
    </w:p>
    <w:p>
      <w:pPr>
        <w:widowControl/>
        <w:spacing w:line="288" w:lineRule="auto" w:before="0" w:after="120"/>
        <w:ind w:left="432" w:hanging="432"/>
        <w:jc w:val="left"/>
      </w:pPr>
      <w:r>
        <w:rPr>
          <w:rFonts w:ascii="Times New Roman" w:hAnsi="Times New Roman" w:eastAsia="Times New Roman"/>
          <w:b w:val="0"/>
          <w:i w:val="0"/>
          <w:sz w:val="22"/>
        </w:rPr>
        <w:t xml:space="preserve">[25] C. Rücker, G. Rücker, and M. Meringer, “y-Randomization and its variants in QSPR/QSAR,” </w:t>
      </w:r>
      <w:r>
        <w:rPr>
          <w:rFonts w:ascii="Times New Roman" w:hAnsi="Times New Roman" w:eastAsia="Times New Roman"/>
          <w:b w:val="0"/>
          <w:i/>
          <w:sz w:val="22"/>
        </w:rPr>
        <w:t>J. Chem. Inf. Model.</w:t>
      </w:r>
      <w:r>
        <w:rPr>
          <w:rFonts w:ascii="Times New Roman" w:hAnsi="Times New Roman" w:eastAsia="Times New Roman"/>
          <w:b w:val="0"/>
          <w:i w:val="0"/>
          <w:sz w:val="22"/>
        </w:rPr>
        <w:t>, vol. 47, no. 6, pp. 2345–2357, 2007. *</w:t>
      </w:r>
    </w:p>
    <w:p>
      <w:pPr>
        <w:widowControl/>
        <w:spacing w:line="288" w:lineRule="auto" w:before="0" w:after="120"/>
        <w:ind w:left="432" w:hanging="432"/>
        <w:jc w:val="left"/>
      </w:pPr>
      <w:r>
        <w:rPr>
          <w:rFonts w:ascii="Times New Roman" w:hAnsi="Times New Roman" w:eastAsia="Times New Roman"/>
          <w:b w:val="0"/>
          <w:i w:val="0"/>
          <w:sz w:val="22"/>
        </w:rPr>
        <w:t xml:space="preserve">[26] S. Salentin, S. Schreiber, V. J. Haupt, M. F. Adasme, and M. Schroeder, “PLIP: Fully automated protein–ligand interaction profiler,” </w:t>
      </w:r>
      <w:r>
        <w:rPr>
          <w:rFonts w:ascii="Times New Roman" w:hAnsi="Times New Roman" w:eastAsia="Times New Roman"/>
          <w:b w:val="0"/>
          <w:i/>
          <w:sz w:val="22"/>
        </w:rPr>
        <w:t>Nucleic Acids Res.</w:t>
      </w:r>
      <w:r>
        <w:rPr>
          <w:rFonts w:ascii="Times New Roman" w:hAnsi="Times New Roman" w:eastAsia="Times New Roman"/>
          <w:b w:val="0"/>
          <w:i w:val="0"/>
          <w:sz w:val="22"/>
        </w:rPr>
        <w:t>, vol. 43, no. W1, pp. W443–W447, 2015, doi: 10.1093/nar/gkv315.</w:t>
      </w:r>
    </w:p>
    <w:p>
      <w:pPr>
        <w:widowControl/>
        <w:spacing w:line="288" w:lineRule="auto" w:before="0" w:after="120"/>
        <w:ind w:left="432" w:hanging="432"/>
        <w:jc w:val="left"/>
      </w:pPr>
      <w:r>
        <w:rPr>
          <w:rFonts w:ascii="Times New Roman" w:hAnsi="Times New Roman" w:eastAsia="Times New Roman"/>
          <w:b w:val="0"/>
          <w:i w:val="0"/>
          <w:sz w:val="22"/>
        </w:rPr>
        <w:t xml:space="preserve">[27] V. G. Satorras, E. Hoogeboom, and M. Welling, “E(n) equivariant graph neural networks,” in </w:t>
      </w:r>
      <w:r>
        <w:rPr>
          <w:rFonts w:ascii="Times New Roman" w:hAnsi="Times New Roman" w:eastAsia="Times New Roman"/>
          <w:b w:val="0"/>
          <w:i/>
          <w:sz w:val="22"/>
        </w:rPr>
        <w:t>Proc. 38th Int. Conf. Machine Learning (ICML)</w:t>
      </w:r>
      <w:r>
        <w:rPr>
          <w:rFonts w:ascii="Times New Roman" w:hAnsi="Times New Roman" w:eastAsia="Times New Roman"/>
          <w:b w:val="0"/>
          <w:i w:val="0"/>
          <w:sz w:val="22"/>
        </w:rPr>
        <w:t>, PMLR vol. 139, 2021, pp. 9323–9332.</w:t>
      </w:r>
    </w:p>
    <w:p>
      <w:pPr>
        <w:widowControl/>
        <w:spacing w:line="288" w:lineRule="auto" w:before="0" w:after="120"/>
        <w:ind w:left="432" w:hanging="432"/>
        <w:jc w:val="left"/>
      </w:pPr>
      <w:r>
        <w:rPr>
          <w:rFonts w:ascii="Times New Roman" w:hAnsi="Times New Roman" w:eastAsia="Times New Roman"/>
          <w:b w:val="0"/>
          <w:i w:val="0"/>
          <w:sz w:val="22"/>
        </w:rPr>
        <w:t xml:space="preserve">[28] J. Scantlebury et al., “A small step toward generalizability: Training a machine learning scoring function for structure-based virtual screening,” </w:t>
      </w:r>
      <w:r>
        <w:rPr>
          <w:rFonts w:ascii="Times New Roman" w:hAnsi="Times New Roman" w:eastAsia="Times New Roman"/>
          <w:b w:val="0"/>
          <w:i/>
          <w:sz w:val="22"/>
        </w:rPr>
        <w:t>J. Chem. Inf. Model.</w:t>
      </w:r>
      <w:r>
        <w:rPr>
          <w:rFonts w:ascii="Times New Roman" w:hAnsi="Times New Roman" w:eastAsia="Times New Roman"/>
          <w:b w:val="0"/>
          <w:i w:val="0"/>
          <w:sz w:val="22"/>
        </w:rPr>
        <w:t>, vol. 63, no. 10, pp. 2960–2974, 2023, doi: 10.1021/acs.jcim.3c00322.</w:t>
      </w:r>
    </w:p>
    <w:p>
      <w:pPr>
        <w:widowControl/>
        <w:spacing w:line="288" w:lineRule="auto" w:before="0" w:after="120"/>
        <w:ind w:left="432" w:hanging="432"/>
        <w:jc w:val="left"/>
      </w:pPr>
      <w:r>
        <w:rPr>
          <w:rFonts w:ascii="Times New Roman" w:hAnsi="Times New Roman" w:eastAsia="Times New Roman"/>
          <w:b w:val="0"/>
          <w:i w:val="0"/>
          <w:sz w:val="22"/>
        </w:rPr>
        <w:t xml:space="preserve">[29] A. Thakkar, V. Chadimová, E. J. Bjerrum, O. Engkvist, and J.-L. Reymond, “Retrosynthetic accessibility score (RAscore) – rapid machine learned synthesizability classification from AI driven retrosynthetic planning,” </w:t>
      </w:r>
      <w:r>
        <w:rPr>
          <w:rFonts w:ascii="Times New Roman" w:hAnsi="Times New Roman" w:eastAsia="Times New Roman"/>
          <w:b w:val="0"/>
          <w:i/>
          <w:sz w:val="22"/>
        </w:rPr>
        <w:t>Chem. Sci.</w:t>
      </w:r>
      <w:r>
        <w:rPr>
          <w:rFonts w:ascii="Times New Roman" w:hAnsi="Times New Roman" w:eastAsia="Times New Roman"/>
          <w:b w:val="0"/>
          <w:i w:val="0"/>
          <w:sz w:val="22"/>
        </w:rPr>
        <w:t>, vol. 12, no. 9, pp. 3339–3349, 2021, doi: 10.1039/d0sc05401a.</w:t>
      </w:r>
    </w:p>
    <w:p>
      <w:pPr>
        <w:widowControl/>
        <w:spacing w:line="288" w:lineRule="auto" w:before="0" w:after="120"/>
        <w:ind w:left="432" w:hanging="432"/>
        <w:jc w:val="left"/>
      </w:pPr>
      <w:r>
        <w:rPr>
          <w:rFonts w:ascii="Times New Roman" w:hAnsi="Times New Roman" w:eastAsia="Times New Roman"/>
          <w:b w:val="0"/>
          <w:i w:val="0"/>
          <w:sz w:val="22"/>
        </w:rPr>
        <w:t xml:space="preserve">[30] M. Thomas, R. T. Smith, N. M. O’Boyle, C. de Graaf, and A. Bender, “Comparison of structure- and ligand-based scoring functions for deep generative models: a GPCR case study,” </w:t>
      </w:r>
      <w:r>
        <w:rPr>
          <w:rFonts w:ascii="Times New Roman" w:hAnsi="Times New Roman" w:eastAsia="Times New Roman"/>
          <w:b w:val="0"/>
          <w:i/>
          <w:sz w:val="22"/>
        </w:rPr>
        <w:t>J. Cheminform.</w:t>
      </w:r>
      <w:r>
        <w:rPr>
          <w:rFonts w:ascii="Times New Roman" w:hAnsi="Times New Roman" w:eastAsia="Times New Roman"/>
          <w:b w:val="0"/>
          <w:i w:val="0"/>
          <w:sz w:val="22"/>
        </w:rPr>
        <w:t>, vol. 13, art. 39, 2021. *</w:t>
      </w:r>
    </w:p>
    <w:p>
      <w:pPr>
        <w:widowControl/>
        <w:spacing w:line="288" w:lineRule="auto" w:before="0" w:after="120"/>
        <w:ind w:left="432" w:hanging="432"/>
        <w:jc w:val="left"/>
      </w:pPr>
      <w:r>
        <w:rPr>
          <w:rFonts w:ascii="Times New Roman" w:hAnsi="Times New Roman" w:eastAsia="Times New Roman"/>
          <w:b w:val="0"/>
          <w:i w:val="0"/>
          <w:sz w:val="22"/>
        </w:rPr>
        <w:t xml:space="preserve">[31] O. Trott and A. J. Olson, “AutoDock Vina: Improving the speed and accuracy of docking with a new scoring function, efficient optimization, and multithreading,” </w:t>
      </w:r>
      <w:r>
        <w:rPr>
          <w:rFonts w:ascii="Times New Roman" w:hAnsi="Times New Roman" w:eastAsia="Times New Roman"/>
          <w:b w:val="0"/>
          <w:i/>
          <w:sz w:val="22"/>
        </w:rPr>
        <w:t>J. Comput. Chem.</w:t>
      </w:r>
      <w:r>
        <w:rPr>
          <w:rFonts w:ascii="Times New Roman" w:hAnsi="Times New Roman" w:eastAsia="Times New Roman"/>
          <w:b w:val="0"/>
          <w:i w:val="0"/>
          <w:sz w:val="22"/>
        </w:rPr>
        <w:t>, vol. 31, no. 2, pp. 455–461, 2010, doi: 10.1002/jcc.21334.</w:t>
      </w:r>
    </w:p>
    <w:p>
      <w:pPr>
        <w:widowControl/>
        <w:spacing w:line="288" w:lineRule="auto" w:before="0" w:after="120"/>
        <w:ind w:left="432" w:hanging="432"/>
        <w:jc w:val="left"/>
      </w:pPr>
      <w:r>
        <w:rPr>
          <w:rFonts w:ascii="Times New Roman" w:hAnsi="Times New Roman" w:eastAsia="Times New Roman"/>
          <w:b w:val="0"/>
          <w:i w:val="0"/>
          <w:sz w:val="22"/>
        </w:rPr>
        <w:t xml:space="preserve">[32] D. van Tilborg, A. Alenicheva, and F. Grisoni, “Exposing the limitations of molecular machine learning with activity cliffs,” </w:t>
      </w:r>
      <w:r>
        <w:rPr>
          <w:rFonts w:ascii="Times New Roman" w:hAnsi="Times New Roman" w:eastAsia="Times New Roman"/>
          <w:b w:val="0"/>
          <w:i/>
          <w:sz w:val="22"/>
        </w:rPr>
        <w:t>J. Chem. Inf. Model.</w:t>
      </w:r>
      <w:r>
        <w:rPr>
          <w:rFonts w:ascii="Times New Roman" w:hAnsi="Times New Roman" w:eastAsia="Times New Roman"/>
          <w:b w:val="0"/>
          <w:i w:val="0"/>
          <w:sz w:val="22"/>
        </w:rPr>
        <w:t>, vol. 62, no. 23, pp. 5938–5951, 2022. *</w:t>
      </w:r>
    </w:p>
    <w:p>
      <w:pPr>
        <w:widowControl/>
        <w:spacing w:line="288" w:lineRule="auto" w:before="0" w:after="120"/>
        <w:ind w:left="432" w:hanging="432"/>
        <w:jc w:val="left"/>
      </w:pPr>
      <w:r>
        <w:rPr>
          <w:rFonts w:ascii="Times New Roman" w:hAnsi="Times New Roman" w:eastAsia="Times New Roman"/>
          <w:b w:val="0"/>
          <w:i w:val="0"/>
          <w:sz w:val="22"/>
        </w:rPr>
        <w:t xml:space="preserve">[33] M. Volkov, J.-A. Turk, N. Drizard, N. Martin, B. Hoffmann, Y. Gaston-Mathé, and D. Rognan, “On the frustration to predict binding affinities from protein–ligand structures with deep neural networks,” </w:t>
      </w:r>
      <w:r>
        <w:rPr>
          <w:rFonts w:ascii="Times New Roman" w:hAnsi="Times New Roman" w:eastAsia="Times New Roman"/>
          <w:b w:val="0"/>
          <w:i/>
          <w:sz w:val="22"/>
        </w:rPr>
        <w:t>J. Med. Chem.</w:t>
      </w:r>
      <w:r>
        <w:rPr>
          <w:rFonts w:ascii="Times New Roman" w:hAnsi="Times New Roman" w:eastAsia="Times New Roman"/>
          <w:b w:val="0"/>
          <w:i w:val="0"/>
          <w:sz w:val="22"/>
        </w:rPr>
        <w:t>, vol. 65, no. 11, pp. 7946–7958, 2022, doi: 10.1021/acs.jmedchem.2c00487.</w:t>
      </w:r>
    </w:p>
    <w:p>
      <w:pPr>
        <w:widowControl/>
        <w:spacing w:line="288" w:lineRule="auto" w:before="0" w:after="120"/>
        <w:ind w:left="432" w:hanging="432"/>
        <w:jc w:val="left"/>
      </w:pPr>
      <w:r>
        <w:rPr>
          <w:rFonts w:ascii="Times New Roman" w:hAnsi="Times New Roman" w:eastAsia="Times New Roman"/>
          <w:b w:val="0"/>
          <w:i w:val="0"/>
          <w:sz w:val="22"/>
        </w:rPr>
        <w:t xml:space="preserve">[34] P. Wu, H. Du, Y. Yan, T.-Y. Lee, C. Bai, and S. Wu, “Guided diffusion for molecular generation with interaction prompt,” </w:t>
      </w:r>
      <w:r>
        <w:rPr>
          <w:rFonts w:ascii="Times New Roman" w:hAnsi="Times New Roman" w:eastAsia="Times New Roman"/>
          <w:b w:val="0"/>
          <w:i/>
          <w:sz w:val="22"/>
        </w:rPr>
        <w:t>Brief. Bioinform.</w:t>
      </w:r>
      <w:r>
        <w:rPr>
          <w:rFonts w:ascii="Times New Roman" w:hAnsi="Times New Roman" w:eastAsia="Times New Roman"/>
          <w:b w:val="0"/>
          <w:i w:val="0"/>
          <w:sz w:val="22"/>
        </w:rPr>
        <w:t>, vol. 25, no. 3, p. bbae174, 2024, doi: 10.1093/bib/bbae174.</w:t>
      </w:r>
    </w:p>
    <w:p>
      <w:pPr>
        <w:widowControl/>
        <w:spacing w:line="288" w:lineRule="auto" w:before="0" w:after="120"/>
        <w:ind w:left="432" w:hanging="432"/>
        <w:jc w:val="left"/>
      </w:pPr>
      <w:r>
        <w:rPr>
          <w:rFonts w:ascii="Times New Roman" w:hAnsi="Times New Roman" w:eastAsia="Times New Roman"/>
          <w:b w:val="0"/>
          <w:i w:val="0"/>
          <w:sz w:val="22"/>
        </w:rPr>
        <w:t xml:space="preserve">[35] M. Xu, C. Shen, J. Yang, Q. Wang, and N. Huang, “Systematic investigation of docking failures in large-scale structure-based virtual screening,” </w:t>
      </w:r>
      <w:r>
        <w:rPr>
          <w:rFonts w:ascii="Times New Roman" w:hAnsi="Times New Roman" w:eastAsia="Times New Roman"/>
          <w:b w:val="0"/>
          <w:i/>
          <w:sz w:val="22"/>
        </w:rPr>
        <w:t>ACS Omega</w:t>
      </w:r>
      <w:r>
        <w:rPr>
          <w:rFonts w:ascii="Times New Roman" w:hAnsi="Times New Roman" w:eastAsia="Times New Roman"/>
          <w:b w:val="0"/>
          <w:i w:val="0"/>
          <w:sz w:val="22"/>
        </w:rPr>
        <w:t>, vol. 7, no. 43, pp. 39417–39428, 2022, doi: 10.1021/acsomega.2c05826.</w:t>
      </w:r>
    </w:p>
    <w:p>
      <w:pPr>
        <w:widowControl/>
        <w:spacing w:line="288" w:lineRule="auto" w:before="0" w:after="120"/>
        <w:ind w:left="432" w:hanging="432"/>
        <w:jc w:val="left"/>
      </w:pPr>
      <w:r>
        <w:rPr>
          <w:rFonts w:ascii="Times New Roman" w:hAnsi="Times New Roman" w:eastAsia="Times New Roman"/>
          <w:b w:val="0"/>
          <w:i w:val="0"/>
          <w:sz w:val="22"/>
        </w:rPr>
        <w:t xml:space="preserve">[36] Z. Yang, W. Zhong, Q. Lv, T. Dong, and C. Yu-Chian Chen, “Geometric interaction graph neural network for predicting protein–ligand binding affinities from 3D structures (GIGN),” </w:t>
      </w:r>
      <w:r>
        <w:rPr>
          <w:rFonts w:ascii="Times New Roman" w:hAnsi="Times New Roman" w:eastAsia="Times New Roman"/>
          <w:b w:val="0"/>
          <w:i/>
          <w:sz w:val="22"/>
        </w:rPr>
        <w:t>J. Phys. Chem. Lett.</w:t>
      </w:r>
      <w:r>
        <w:rPr>
          <w:rFonts w:ascii="Times New Roman" w:hAnsi="Times New Roman" w:eastAsia="Times New Roman"/>
          <w:b w:val="0"/>
          <w:i w:val="0"/>
          <w:sz w:val="22"/>
        </w:rPr>
        <w:t>, vol. 14, no. 8, pp. 2020–2033, 2023, doi: 10.1021/acs.jpclett.2c03906.</w:t>
      </w:r>
    </w:p>
    <w:p>
      <w:pPr>
        <w:widowControl/>
        <w:spacing w:line="288" w:lineRule="auto" w:before="0" w:after="120"/>
        <w:ind w:left="432" w:hanging="432"/>
        <w:jc w:val="left"/>
      </w:pPr>
      <w:r>
        <w:rPr>
          <w:rFonts w:ascii="Times New Roman" w:hAnsi="Times New Roman" w:eastAsia="Times New Roman"/>
          <w:b w:val="0"/>
          <w:i w:val="0"/>
          <w:sz w:val="22"/>
        </w:rPr>
        <w:t xml:space="preserve">[37] X. Zhang, H. Gao, H. Wang, Z. Chen, Z. Zhang, X. Chen, Y. Li, Y. Qi, and R. Wang, “PLANET: A multi-objective graph neural network model for protein–ligand binding affinity prediction,” </w:t>
      </w:r>
      <w:r>
        <w:rPr>
          <w:rFonts w:ascii="Times New Roman" w:hAnsi="Times New Roman" w:eastAsia="Times New Roman"/>
          <w:b w:val="0"/>
          <w:i/>
          <w:sz w:val="22"/>
        </w:rPr>
        <w:t>J. Chem. Inf. Model.</w:t>
      </w:r>
      <w:r>
        <w:rPr>
          <w:rFonts w:ascii="Times New Roman" w:hAnsi="Times New Roman" w:eastAsia="Times New Roman"/>
          <w:b w:val="0"/>
          <w:i w:val="0"/>
          <w:sz w:val="22"/>
        </w:rPr>
        <w:t>, vol. 64, no. 7, pp. 2205–2220, 2024, doi: 10.1021/acs.jcim.3c00253.</w:t>
      </w:r>
    </w:p>
    <w:p>
      <w:pPr>
        <w:widowControl/>
        <w:spacing w:line="288" w:lineRule="auto" w:before="0" w:after="120"/>
        <w:ind w:left="432" w:hanging="432"/>
        <w:jc w:val="left"/>
      </w:pPr>
      <w:r>
        <w:rPr>
          <w:rFonts w:ascii="Times New Roman" w:hAnsi="Times New Roman" w:eastAsia="Times New Roman"/>
          <w:b w:val="0"/>
          <w:i w:val="0"/>
          <w:sz w:val="22"/>
        </w:rPr>
        <w:t>[38] Y. Zhou, B. Xue, Y. Zhang, and X. Fu, “Quantifying and preserving equivariance under low-bit weight quantization for 3D neural networks,” arXiv:2601.02213, 2026 (preprint). *</w:t>
      </w:r>
    </w:p>
    <w:p>
      <w:pPr>
        <w:widowControl/>
        <w:spacing w:line="288" w:lineRule="auto" w:before="0" w:after="120"/>
        <w:ind w:left="432" w:hanging="432"/>
        <w:jc w:val="left"/>
      </w:pPr>
      <w:r>
        <w:rPr>
          <w:rFonts w:ascii="Times New Roman" w:hAnsi="Times New Roman" w:eastAsia="Times New Roman"/>
          <w:b w:val="0"/>
          <w:i w:val="0"/>
          <w:sz w:val="22"/>
        </w:rPr>
        <w:t xml:space="preserve">[39] W. Zhung, H. Kim, and W. Y. Kim, “3D molecular generative framework for interaction-guided drug design,” </w:t>
      </w:r>
      <w:r>
        <w:rPr>
          <w:rFonts w:ascii="Times New Roman" w:hAnsi="Times New Roman" w:eastAsia="Times New Roman"/>
          <w:b w:val="0"/>
          <w:i/>
          <w:sz w:val="22"/>
        </w:rPr>
        <w:t>Nat. Commun.</w:t>
      </w:r>
      <w:r>
        <w:rPr>
          <w:rFonts w:ascii="Times New Roman" w:hAnsi="Times New Roman" w:eastAsia="Times New Roman"/>
          <w:b w:val="0"/>
          <w:i w:val="0"/>
          <w:sz w:val="22"/>
        </w:rPr>
        <w:t>, vol. 15, art. 2688, 2024, doi: 10.1038/s41467-024-47011-2.</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