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DIAGNOSING GUIDANCE FAILURE IN STRUCTURE-BASED</w:t>
      </w:r>
    </w:p>
    <w:p>
      <w:pPr>
        <w:keepNext w:val="0"/>
        <w:keepLines w:val="0"/>
        <w:widowControl/>
        <w:spacing w:line="240" w:lineRule="auto" w:before="0" w:after="0"/>
        <w:jc w:val="center"/>
      </w:pPr>
      <w:r>
        <w:rPr>
          <w:rFonts w:ascii="Times New Roman" w:hAnsi="Times New Roman" w:eastAsia="Times New Roman"/>
          <w:b/>
          <w:i w:val="0"/>
          <w:sz w:val="24"/>
        </w:rPr>
        <w:t>MOLECULAR DIFFUSION: A LEAKAGE-SAFE EVALUATION</w:t>
      </w:r>
    </w:p>
    <w:p>
      <w:pPr>
        <w:keepNext w:val="0"/>
        <w:keepLines w:val="0"/>
        <w:widowControl/>
        <w:spacing w:line="240" w:lineRule="auto" w:before="0" w:after="0"/>
        <w:jc w:val="center"/>
      </w:pPr>
      <w:r>
        <w:rPr>
          <w:rFonts w:ascii="Times New Roman" w:hAnsi="Times New Roman" w:eastAsia="Times New Roman"/>
          <w:b/>
          <w:i w:val="0"/>
          <w:sz w:val="24"/>
        </w:rPr>
        <w:t>WITH A POSITIVE CONTROL</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DIAGNOSING GUIDANCE FAILURE IN STRUCTURE-BASED</w:t>
      </w:r>
    </w:p>
    <w:p>
      <w:pPr>
        <w:keepNext w:val="0"/>
        <w:keepLines w:val="0"/>
        <w:widowControl/>
        <w:spacing w:line="240" w:lineRule="auto" w:before="0" w:after="0"/>
        <w:jc w:val="center"/>
      </w:pPr>
      <w:r>
        <w:rPr>
          <w:rFonts w:ascii="Times New Roman" w:hAnsi="Times New Roman" w:eastAsia="Times New Roman"/>
          <w:b/>
          <w:i w:val="0"/>
          <w:sz w:val="24"/>
        </w:rPr>
        <w:t>MOLECULAR DIFFUSION: A LEAKAGE-SAFE EVALUATION</w:t>
      </w:r>
    </w:p>
    <w:p>
      <w:pPr>
        <w:keepNext w:val="0"/>
        <w:keepLines w:val="0"/>
        <w:widowControl/>
        <w:spacing w:line="240" w:lineRule="auto" w:before="0" w:after="0"/>
        <w:jc w:val="center"/>
      </w:pPr>
      <w:r>
        <w:rPr>
          <w:rFonts w:ascii="Times New Roman" w:hAnsi="Times New Roman" w:eastAsia="Times New Roman"/>
          <w:b/>
          <w:i w:val="0"/>
          <w:sz w:val="24"/>
        </w:rPr>
        <w:t>WITH A POSITIVE CONTROL</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“Diagnosing Guidance Failure in Structure-Based Molecular Diffusion: A Leakage-Safe Evaluation with a Positive Control”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“Diagnosing Guidance Failure in Structure-Based Molecular Diffusion: A Leakage-Safe Evaluation with a Positive Control”.</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Diagnosing Guidance Failure in Structure-Based Molecular Diffusion: A Leakage-Safe Evaluation with a Positive Control</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and, where it does not, which of three mechanisms explains the failure: an uninformative guidance signal, a correctly informative signal misapplied through the guidance mechanism, or an objective whose apparent gain can be obtained without a genuine improvement.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Five guidance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while a signed measurement of the gradient's direction over 23,202 atom-states found it indistinguishable from random (mean cosine toward the nearest contact −0.019, 95% CI [−0.046, +0.008]): the signal is uninformative about the interface rather than pointed away from it. Rejection sampling with the trained predictor improved the raw docking score in 12 of 15 pockets but worsened ligand efficiency in 14 of 15 (on average 12 more heavy atoms, and 29 percentage points lower PoseBusters validity). A pre-registered positive control then replaced the trained predictor with AutoDock Vina's own zero-shot score in the identical selection mechanism and pockets: this succeeded, with a significant improvement in predicted docking score (Wilcoxon p = 1.9 × 10⁻⁶) that survived size normalisation (ligand efficiency unchanged, p = 0.756) but came with significantly larger and significantly less synthesizable molecules (both p &lt; 10⁻⁴), so it is a harness validation and a multi-objective trade-off, not a demonstration of successful design. Because the selection score and the evaluation score are two modes of the same docking program rather than independent measurements, the control establishes that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harness can detect a genuine signal; it localises the failure of surrogate-based </w:t>
      </w:r>
      <w:r>
        <w:rPr>
          <w:rFonts w:ascii="Times New Roman" w:hAnsi="Times New Roman" w:eastAsia="Times New Roman"/>
          <w:b w:val="0"/>
          <w:i/>
          <w:sz w:val="24"/>
        </w:rPr>
        <w:t>selection</w:t>
      </w:r>
      <w:r>
        <w:rPr>
          <w:rFonts w:ascii="Times New Roman" w:hAnsi="Times New Roman" w:eastAsia="Times New Roman"/>
          <w:b w:val="0"/>
          <w:i w:val="0"/>
          <w:sz w:val="24"/>
        </w:rPr>
        <w:t xml:space="preserve"> directly to the predictor's information content, and supports the same reading for the gradient routes only indirectly, since a non-differentiable signal cannot be put through a gradient mechanism. An eight-block information-content audit supports this localisation: no representation of the pocket tested, including a chemically typed interaction representation, reliably outperformed a ligand-only model after correction, and a within-target label-permutation control, run for both a descriptor pipeline and the deployed architecture itself, showed that 70 to 90% of apparent predictive performance is a class-level prior rather than within-target structure–activity learning.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 and augmenting training data with a larger external data set (BindingNet), after removing a compound-level leak found before the production run,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with a validated positive control for its selection harness, a systematic information-content audit of what predicts measured affinity on this split, and a documented negative result that locates where learned guidance signals fail under the tested configurations, with direct evidence that signal quality, rather than the selection mechanism, limits the rejection-sampling route and converging indirect evidence that it also limits the gradient routes.</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positive control;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xxii</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10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QSAR Controls: y-Randomisation, Activity Cliffs and Matched Molecular Pairs</w:t>
        <w:tab/>
        <w:t>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II.9</w:t>
        <w:tab/>
        <w:t>Positioning and Research Gap</w:t>
        <w:tab/>
        <w:t>22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Three candidate mechanisms for a guidance failure</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III.1.2</w:t>
        <w:tab/>
        <w:t>Pre-registration status of each route</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III.5.1</w:t>
        <w:tab/>
        <w:t>What each metric does not certify</w:t>
        <w:tab/>
        <w:t>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III.5.2</w:t>
        <w:tab/>
        <w:t>What "independent" means in this thesis, and what it does not</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42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44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III.6.7</w:t>
        <w:tab/>
        <w:t>Is the target the right cluster? A family-level check</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48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49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52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59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What a range of λ does and does not cover</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IV.5.4</w:t>
        <w:tab/>
        <w:t>Strength re-sweep with the repaired predictor</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A Fuller Information-Content Audit: What Representation Predicts Affinity?</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IV.6.1</w:t>
        <w:tab/>
        <w:t>The representation ladder</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IV.6.2</w:t>
        <w:tab/>
        <w:t>Ligand size, not interaction identity, is the dominant signal</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IV.6.3</w:t>
        <w:tab/>
        <w:t>Structure rarely beats ligand-only, after correction</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IV.7</w:t>
        <w:tab/>
        <w:t>Does More Training Data Close the Gap? Augmenting with BindingNet</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IV.7.1</w:t>
        <w:tab/>
        <w:t>A compound-level leak, found and removed before it could inflate a result</w:t>
        <w:tab/>
        <w:t>69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IV.7.2</w:t>
        <w:tab/>
        <w:t>Arm A versus Arm C: pure CrossDocked outperforms BindingNet augmentation at matched size</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IV.8</w:t>
        <w:tab/>
        <w:t>How Much of the Predictor's Performance Is a Class-Level Prior?</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IV.8.1</w:t>
        <w:tab/>
        <w:t>Two baselines under within-target permutation</w:t>
        <w:tab/>
        <w:t>73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IV.8.2</w:t>
        <w:tab/>
        <w:t>Consequence: a variance decomposition and a narrower window than it first appears</w:t>
        <w:tab/>
        <w:t>74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IV.8.3</w:t>
        <w:tab/>
        <w:t>Is R² a fair summary? A residual-variance audit</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IV.9</w:t>
        <w:tab/>
        <w:t>Where Does the Predictor Fail? Activity Cliffs, Matched Pairs and Protein Families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IV.9.1</w:t>
        <w:tab/>
        <w:t>Activity cliffs</w:t>
        <w:tab/>
        <w:t>80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IV.9.2</w:t>
        <w:tab/>
        <w:t>Matched molecular pairs</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IV.9.3</w:t>
        <w:tab/>
        <w:t>Protein-family stratification</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IV.10</w:t>
        <w:tab/>
        <w:t>Summary of the Chapter</w:t>
        <w:tab/>
        <w:t>82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86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92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93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95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96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V.4.4</w:t>
        <w:tab/>
        <w:t>The signed measurement, and what it changes</w:t>
        <w:tab/>
        <w:t>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100</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102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102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104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108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110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VI.5</w:t>
        <w:tab/>
        <w:t>A Positive Control: Reranking by a Genuine, Non-Surrogate Affinity Signal</w:t>
        <w:tab/>
        <w:t>111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VI.5.1</w:t>
        <w:tab/>
        <w:t>Design</w:t>
        <w:tab/>
        <w:t>112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VI.5.2</w:t>
        <w:tab/>
        <w:t>Result</w:t>
        <w:tab/>
        <w:t>113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VI.5.3</w:t>
        <w:tab/>
        <w:t>The confound, disclosed directly</w:t>
        <w:tab/>
        <w:t>114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VI.5.4</w:t>
        <w:tab/>
        <w:t>Interpretation: what this isolates</w:t>
        <w:tab/>
        <w:t>115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118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119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126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127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127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128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130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130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131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134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134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136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138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140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145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164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175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X.4.1</w:t>
        <w:tab/>
        <w:t>A proposed extension: uncertainty-aware acquisition (not tested)</w:t>
        <w:tab/>
        <w:t>176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179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Data Provenance and What a Reproducer Needs</w:t>
        <w:tab/>
        <w:t>189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Test-Set Isolation, Per Training Run</w:t>
        <w:tab/>
        <w:t>190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Reproducibility Checklist</w:t>
        <w:tab/>
        <w:t>192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A.6</w:t>
        <w:tab/>
        <w:t>Repository Layout</w:t>
        <w:tab/>
        <w:t>193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A.7</w:t>
        <w:tab/>
        <w:t>Reproducing the Results and This Document</w:t>
        <w:tab/>
        <w:t>194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A.7.1</w:t>
        <w:tab/>
        <w:t>Checking that the stored results still follow from the code</w:t>
        <w:tab/>
        <w:t>195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197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197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200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200</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202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202</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204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204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206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207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208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210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214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215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chemically meaningful interactions, not just the raw score? (PLIP)</w:t>
        <w:tab/>
        <w:t>215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217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219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222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222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224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E.4.3</w:t>
        <w:tab/>
        <w:t>Was CD38 a pattern or a one-off? An expanded sample</w:t>
        <w:tab/>
        <w:t>226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229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230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in this molecule, ends two orders of magnitude below the raw nudge sum</w:t>
        <w:tab/>
        <w:t>230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232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234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E.5.5</w:t>
        <w:tab/>
        <w:t>Was that molecule representative? The same trace over 24 molecules</w:t>
        <w:tab/>
        <w:t>236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238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241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E.7.1</w:t>
        <w:tab/>
        <w:t>Was CD38 a pattern or a one-off? An expanded sample</w:t>
        <w:tab/>
        <w:t>242</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F. COMPLETE EFFECT-SIZE REGISTER</w:t>
        <w:tab/>
        <w:t>245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F.1</w:t>
        <w:tab/>
        <w:t>Why This Register Exists</w:t>
        <w:tab/>
        <w:t>245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F.2</w:t>
        <w:tab/>
        <w:t>Gradient Guidance: Every Comparison</w:t>
        <w:tab/>
        <w:t>245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F.3</w:t>
        <w:tab/>
        <w:t>Rejection Sampling: Every Pocket</w:t>
        <w:tab/>
        <w:t>248</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45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3.7</w:t>
        <w:tab/>
        <w:t>The headline predictor comparison at three clustering levels (B = 2,000, seed 20260925, identical data and models)</w:t>
        <w:tab/>
        <w:t>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4.7</w:t>
        <w:tab/>
        <w:t>Representation ladder: held-out R² of each information source (test, 127 target clusters, B = 2,000)</w:t>
        <w:tab/>
        <w:t>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4.8</w:t>
        <w:tab/>
        <w:t>Surrogate predictor, training-data composition (3 seeds per arm, validation R², B = 2,000)</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4.9</w:t>
        <w:tab/>
        <w:t>Variance decomposition of apparent predictive performance</w:t>
        <w:tab/>
        <w:t>75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4.10</w:t>
        <w:tab/>
        <w:t>Residual-variance audit on the leakage-safe test set (11,855 complexes, 127 targets, deciles of the label)</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Reranking by a genuine Vina signal versus the unguided baseline, 20 pockets × 3 seeds (n = 597 baseline, 600 reranked molecules)</w:t>
        <w:tab/>
        <w:t>113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118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120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121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124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129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139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141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147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Measured training budget of the six production surrogate arms (Chapter IV.7)</w:t>
        <w:tab/>
        <w:t>187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Exact package versions of the `drugdisc` environment, as actually installed</w:t>
        <w:tab/>
        <w:t>188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Checksums and identifiers of the principal frozen artefacts</w:t>
        <w:tab/>
        <w:t>188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Provenance of the derived data artefacts, with the script that generates each</w:t>
        <w:tab/>
        <w:t>189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A.5</w:t>
        <w:tab/>
        <w:t>Test-set isolation by training run, with the evidence for each claim</w:t>
        <w:tab/>
        <w:t>191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A.6</w:t>
        <w:tab/>
        <w:t>Reproducibility checklist, marked only where actually verified</w:t>
        <w:tab/>
        <w:t>192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A.7</w:t>
        <w:tab/>
        <w:t>Principal elements of the repository</w:t>
        <w:tab/>
        <w:t>193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200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202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207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209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211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220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224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Expanded ChEMBL cross-validation: all resolved targets of the 20-target random sample</w:t>
        <w:tab/>
        <w:t>227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Mean all-atom position gap between the guided and unguided trajectory, by diffusion step</w:t>
        <w:tab/>
        <w:t>230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Sources pooled into the single Benjamini–Hochberg correction across the follow-up phase</w:t>
        <w:tab/>
        <w:t>238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Expanded ChEMBL cross-validation: all resolved targets of the 20-target random sample</w:t>
        <w:tab/>
        <w:t>243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F.1</w:t>
        <w:tab/>
        <w:t>Every gradient-guidance comparison, with effect sizes</w:t>
        <w:tab/>
        <w:t>246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F.2</w:t>
        <w:tab/>
        <w:t>Every Track C pocket, with effect size, interval and confounds</w:t>
        <w:tab/>
        <w:t>249</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Map of the thesis: every research objective of Table 1.1, the chapter that answers it, and the outcome it reached. The columns are the four questions the work asks in sequence, from whether the guidance signal carries usable information at all, through the two routes by which a signal can be applied (a gradient during sampling, and post-hoc selection), to the redesigns and robustness checks that followed. Each box is one experiment, coloured by outcome. The thesis reports several distinct kinds of negative result and one positive one, and the colours keep them apart rather than collapsing them into "failed": a pre-registered hypothesis that was falsified, an effect that was found and then explained away as an artefact of molecular size, and a test that simply detected nothing are three different outcomes with three different consequences. Four of the fourteen entries characterise a mechanism rather than test for an improvement, and are coloured accordingly. The figure is generated by parsing Table 1.1 out of this chapter's source, so a row added to or removed from that table that is not reflected here stops the build rather than leaving a stale picture.</w:t>
        <w:tab/>
        <w:t>10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The research gap of Table 2.1 as a matrix. Rows are the closest prior work, in the order of that table, with this thesis in the shaded row at the bottom; columns are the six ingredients the table compares. A filled marker means the ingredient is present, an open marker that it is absent, and a grey marker that the material reviewed does not state it either way. The third state is kept separate from the second on purpose and is not a criticism of the work concerned: the review of each study was bounded, as Appendix B describes, and treating "not stated in what was read" as "absent" would attribute an omission to a study on the strength of a search that did not look for it. Several of the ingredients are individually well established in prior work, and the gap this thesis occupies is a combination rather than any single column, principally the pairing of a separate learned guidance predictor with a leakage-safe, target-disjoint evaluation carried out under explicit controls. The figure is generated by parsing Table 2.1 out of this chapter's source, so the two cannot drift apart.</w:t>
        <w:tab/>
        <w:t>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The headline predictor comparison of Table 3.7 at three resampling units. The marker is the point estimate of ΔR², the held-out R² of the structure-aware EGNN ensemble minus that of the 14-descriptor ligand-only ridge, and it is identical in all three rows because only the resampling changes and not the fit; the entire difference between the rows is the width of the interval. Analysed without clustering, as though the 11,855 complexes were independent, the interval excludes zero and the comparison would be reported as a significant advantage for the structure-aware model. Resampling the 127 targets instead widens the interval 7.3-fold and the comparison becomes a tie, which is the result this thesis reports. Clustering more coarsely still, by the 63 Pfam families, does not widen it further and does not change the verdict. The figure is included because the first step is the one that decides the headline conclusion of Chapter IV, and it is a choice of analysis rather than a property of the data.</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The representation ladder of Table 4.7, drawn with its intervals. Horizontal bars are held-out R² on the leakage-safe, target-disjoint test set; whiskers are 95% target-clustered bootstrap intervals (B = 2,000 over 127 target clusters). Colour marks what the block contains, not how well it did: green for blocks that include ligand information, blue for the pocket-only block, orange for the interaction-count blocks. Each row is annotated with the verdict of its pairwise bootstrap test against the ligand-only block after Benjamini–Hochberg correction, and rows for which no such test was computed say so rather than being left to be read as wins. Every interval overlaps the ligand-only interval, and no block significantly exceeds it; the one significant difference against the ligand-only baseline runs the other way (normalised PLIP counts, q = 0.003). The vertical lines mark the class-level prior (0.2468) and the estimated label-noise ceiling (0.5776) from Table 4.9.</w:t>
        <w:tab/>
        <w:t>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The two production training-data-composition arms, on quality and on the compute each one actually received. Left: validation R² of each arm, point estimate with the 95% bootstrap interval over its three seeds; the shaded band marks where the two intervals overlap. No paired test between the arms was run on matched evaluation rows, so the vertical ordering is descriptive and no difference is claimed from this panel, as stated in the note to Table 4.8. Right: wall-clock hours consumed by each arm on the single RTX 3050, divided into active compute and time suspended by the thermal gate, with the epoch count and per-epoch rate written above each bar. Hours are plotted alone, rather than beside the epoch counts, because the two are not commensurable on one scale. The budget asymmetry runs against Arm C, which received 38 epochs over 24.59 h against Arm A's 27 epochs over 17.02 h at a comparable 0.63 to 0.65 h per epoch, so Arm C's lower R² cannot be explained by under-training.</w:t>
        <w:tab/>
        <w:t>72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Where each model sits once the zero point is moved from R² = 0 to the class-level prior. Markers are held-out R² on the leakage-safe test set. The three vertical reference lines are the chance floor measured by global label permutation (0.0037), the class-level prior measured by within-target label permutation (0.2468) and the label-noise ceiling estimated from a repeat-measurement correlation for this assay class (0.5776), all from Table 4.9. The shaded region to the left of the class prior is the performance reachable with no within-target structure–activity signal whatsoever; only the green region to its right can represent genuine within-target learning, and each model is annotated with the percentage of that window it occupies. The AutoDock Vina docking score occupies 4% of the window, a 14-descriptor ligand-only ridge with no protein input 32%, and the structure-aware EGNN ensemble 48%. No interval is drawn, because the quantity plotted for each model is a single held-out point estimate rather than a bootstrapped statistic; the width of a typical interval for this task, 0.387 R², is wider than the whole window and is discussed in the text.</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(8 pockets, 29–30 molecules per condition, 24 comparisons corrected together with Benjamini–Hochberg). (A) Mean shift of the independent Vina Dock score for each pocket and guidance strength (negative is better; no shift was significant after correction). (B) PoseBusters pass rate of the unguided samples (λ = 0) and of the guided samples, for each pocket (grey) and on average (red).</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94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The signed direction of the affinity gradient, with the control that had to pass before it was read. Left: mean cosine between the gradient at an atom and the unit vector from that atom toward its nearest pocket atom, over 23,202 captured atom-states across 20 pockets (16 samples each), with target-clustered 95% bootstrap intervals resampled over pockets. A positive cosine means the atom is pushed toward its nearest contact, a convention fixed against `guided_sampling.py` and confirmed empirically by finite difference. The affinity gradient gives −0.019, 95% CI [−0.046, +0.008], an interval that includes zero; 48.5% of atoms point toward their nearest contact, which is chance. The random-direction control gives +0.003, 95% CI [−0.004, +0.009], as an uninformative direction should. Right: the same quantity split by whether the atom lies in the nearer or the farther half of the distance distribution. This panel is drawn in a single neutral colour and labelled descriptive, because no interval or test was computed for the split; presenting its two numbers as a good half and a bad half would turn a description into a directional finding the data here do not support. The figure is evidence for F1, a signal carrying no usable information about the interface, and not for the stronger claim that guidance pushes atoms away from contacts.</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107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108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6.3</w:t>
        <w:tab/>
        <w:t>The positive control of Table 6.2, read as a multi-objective outcome rather than as a single headline. Left: change in each metric from the unguided baseline, expressed as a percentage of the baseline mean, over 20 pockets × 3 seeds (n = 597 baseline and 600 reranked molecules), with the p-value of the pocket-paired Wilcoxon signed-rank test beside each bar. A bar is drawn filled when that test reaches p &lt; 0.05 and hollow when it does not, so that a visible bar is never mistaken for a supported effect. Colour encodes improvement rather than the sign of the change: Vina Dock and ligand efficiency are quantities for which a more negative value is better, so the headline −18.4% in docking score is an improvement and is drawn green, while the −18.9% in RA-score is a deterioration and is drawn red. Heavy-atom count is drawn in orange because it is a measure of size, not of quality. Right: the docking score itself in its own units, with the standard deviation across molecules; the reranked set improves by 1.27 kcal/mol (target-clustered bootstrap 95% CI [−2.149, −0.740]) and is also markedly less dispersed. The figure shows the control succeeding on the metric it selected on, holding ligand efficiency and validity, and paying for it in synthesizability and size.</w:t>
        <w:tab/>
        <w:t>114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122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The Track D gradient diagnostic of Table 7.4, as the counterpart to the affinity diagnostic of Figure 5.3. Each marker is the mean per-atom correlation between the synthesizability gradient's magnitude and one atom-level proxy, over 144 captured clean-data estimates (3 pockets, 3 timesteps, 16 samples), with bootstrap 95% intervals. All three intervals include zero, which is the result; the distance to the pocket, the one proxy that did correlate with the affinity gradient, does not apply here because this predictor has no protein input. The shaded band marks the magnitude beyond which no interval reaches, and is the positive content of the measurement rather than decoration: correlations larger than about 0.09 with these three proxies are excluded, while anything smaller is not resolved at this sample size. The proxies are simple, scalar and per-atom, so the figure does not exclude that the gradient follows a more complex direction that none of them captures.</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131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133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What the subgroup of metric M2 leaves out. A target enters M2 when it holds at least ten test complexes, the threshold below which a within-target rank correlation is not a meaningful quantity. Left: 73 of the 127 test targets (57%) meet the threshold. Centre: those targets nevertheless hold 11,652 of the 11,855 test complexes (98.3%), because the excluded targets are small by construction, with a median of 3 complexes each against 39 for the included ones. Right: mean experimental affinity of each group in pK units, with the within-group standard deviation; the included targets average 6.81 ± 1.64 and the excluded ones 6.02 ± 1.75. The 0.79 pK unit difference between the groups is real and systematic, but it is small beside a spread of roughly 1.7 pK units inside each group, which is why the dispersion is drawn rather than the two means alone. The direction of the bias is mildly favourable to the models being compared: excluding the weakest-binding targets removes part of the affinity range over which a ranking metric would have the most room to fail.</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Test R² of the Track E arms and the reference predictors on 127 held-out targets. Bars: target-clustered 95% confidence intervals; ticks: individual seeds; dotted and dashed vertical lines: the Stage 0 EGNN and the linear Vina + heavy-atom baseline.</w:t>
        <w:tab/>
        <w:t>139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Mean within-target Spearman correlation over the 73 test targets with at least 10 complexes (95% bootstrap intervals). All arms overlap with raw Vina.</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8.7</w:t>
        <w:tab/>
        <w:t>Best validation error (standardised units; 1.0 corresponds to the variance of the target) of the three arms for each seed. Dashed lines: error of a constant predictor. The absolute target is learnt; the delta target is not learnt better than by a constant.</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157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10.1</w:t>
        <w:tab/>
        <w:t>The boundary of the null result, drawn from the scope statement above and the limitations of Section X.3. The left panel lists the configuration actually tested, within which no route built on a trained surrogate produced a defensible improvement. The right panel lists what was not tested and to which, therefore, the result does not extend. The figure makes no claim the chapter does not already make in words; it is included because a null result is the kind of finding most often quoted beyond its own evidence, and the two panels are what separate "learned guidance did not work here, under these conditions" from "learned guidance does not work", which is not a conclusion of this thesis.</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206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all eight checkpoints trained in the follow-up investigation (Table E.1 lists them), read from each checkpoint's own training log. ESM2 (whole-protein) is the best of any variant; ESM2 (pocket-only, Section E.4.1) is the worst, including below the original checkpoint.</w:t>
        <w:tab/>
        <w:t>211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213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213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217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219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221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222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226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This project's pK range (blue) against ChEMBL's independently curated Ki range (grey, or red where the two ranges fail to overlap), for every target of Table E.9 with ChEMBL Ki data, sorted by this project's own minimum. A range with a single measurement, or several identical ones, is drawn as a dot rather than a disappearing zero-length line. Twelve of the thirteen ranges touch; RNAS2 is the exception, and it fails to overlap by nearly two pK units, the same scale and the same direction (this project reads weak, ChEMBL reads potent) as the CD38 discrepancy of Figure E.9.</w:t>
        <w:tab/>
        <w:t>229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231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233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unguided (λ=0) molecule of the paired trace, docked into its pocket (PDB 1h36) and rendered with its hydrogen-bond partners. Renders the same molecule referenced in Figure E.12 and Table E.7 in its 3D binding context.</w:t>
        <w:tab/>
        <w:t>233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234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E.15</w:t>
        <w:tab/>
        <w:t>The paired-deterministic trace of this appendix repeated over 24 molecules, varying only the seed. Left: the mean all-atom position gap after 1,000 reverse-diffusion steps for each molecule, with the median marked and the single molecule of the preceding subsection drawn as a star. The distribution spans a factor of 87, and the case-study molecule sits above the median rather than at it. Right: the same gap expressed as a percentage of the cumulative guidance nudge per atom, one bar per molecule, sorted. The dashed line is the ≈1% figure quoted from the single molecule; 8 of 24 molecules exceed it and seven lie between 4.7% and 28.5%, so the "two orders of magnitude below the nudge" reading describes the median molecule and not the population. Chemical validity was not evaluated for these 24 traces, so the figure speaks to geometry alone.</w:t>
        <w:tab/>
        <w:t>238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E.16</w:t>
        <w:tab/>
        <w:t>Effect size and 95% confidence interval of every one of the 48 pooled comparisons of Table E.8, ordered by checkpoint. No interval is both significant after correction and in the beneficial direction.</w:t>
        <w:tab/>
        <w:t>240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[50].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[57]. A guidance signal that raises such a score is therefore not automatically a success. Second, learned affinity predictors are known to be sensitive to data leakage between training and test sets, and to exploit ligand-only shortcuts [19], [34], [53];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Four bodies of work are most closely related. The first concerns diffusion models for SBDD and their guidance or conditioning by affinity or interaction information: interaction-conditioned generators [32], [56], [65],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[38], [59], leakage-controlled benchmarks [19], [34] and critiques of shortcut learning [45], [53]. The third concerns the evaluation of generative SBDD methods themselves, where independent work has questioned the reliability of docking scores as a success criterion and the practice of selecting checkpoints on test data [18]. The fourth, directly relevant to the positive control of Chapter VI, is best-of-N and best-of-K selection applied to diffusion SBDD generation itself, which BoKDiff reports as a novel generation technique in its own right, ranking an oversampled pool by a combined QED, SA and Vina score [29]; this thesis reuses the same mechanism for a different purpose, as a signal-swapped positive control rather than as a proposed generation method (Section VI.5).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an explicit positive control built from a genuine, non-surrogate signal, and the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A sixth and decisive addition, reported in Chapter VI.5, is a </w:t>
      </w:r>
      <w:r>
        <w:rPr>
          <w:rFonts w:ascii="Times New Roman" w:hAnsi="Times New Roman" w:eastAsia="Times New Roman"/>
          <w:b w:val="0"/>
          <w:i/>
          <w:sz w:val="24"/>
        </w:rPr>
        <w:t>positive control</w:t>
      </w:r>
      <w:r>
        <w:rPr>
          <w:rFonts w:ascii="Times New Roman" w:hAnsi="Times New Roman" w:eastAsia="Times New Roman"/>
          <w:b w:val="0"/>
          <w:i w:val="0"/>
          <w:sz w:val="24"/>
        </w:rPr>
        <w:t>: the same rejection-sampling mechanism of Chapter VI, applied with AutoDock Vina's own zero-shot score in place of the trained surrogate, on the identical generator, pockets and independent evaluation protocol. The novelty of the work lies in (i) the leakage-safe, target-level evaluation of predictors used for guidance; (ii) the systematic, statistically disciplined mapping of where gradient guidance and rejection sampling fail; (iii) the mechanistic diagnostics, extended in Chapter IV to a full information-content audit (an eight-block representation ladder, a within-target class-prior decomposition run for the deployed architecture itself, and failure diagnostics by activity cliff, matched molecular pair and protein family) and in Chapter VI.5 to a genuine-signal positive control that localises the guidance failure to the signal rather than the mechanism; and (iv) the methodological audits that accompany the results, including the recognition that an earlier generalisation gap was largely a split artefact, and a compound-level data-leakage audit that preceded, rather than followed, a production training-data-composition experiment.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five guidance routes produced a defensible improvement, and the information-content audit of Chapter IV shows why the two most carefully tested routes could not have been expected to.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with the trained surrogate improved raw docking scores in 12 of 15 pockets, but ligand efficiency worsened significantly in 14 of 15, the selected molecules were on average 12 heavy atoms larger, and PoseBusters validity fell by 29 percentage points. A positive control that replaced the trained surrogate with Vina's own zero-shot score, otherwise identical in mechanism, pockets and evaluation protocol, </w:t>
      </w:r>
      <w:r>
        <w:rPr>
          <w:rFonts w:ascii="Times New Roman" w:hAnsi="Times New Roman" w:eastAsia="Times New Roman"/>
          <w:b w:val="0"/>
          <w:i/>
          <w:sz w:val="24"/>
        </w:rPr>
        <w:t>did</w:t>
      </w:r>
      <w:r>
        <w:rPr>
          <w:rFonts w:ascii="Times New Roman" w:hAnsi="Times New Roman" w:eastAsia="Times New Roman"/>
          <w:b w:val="0"/>
          <w:i w:val="0"/>
          <w:sz w:val="24"/>
        </w:rPr>
        <w:t xml:space="preserve"> produce a significant, largely size-independent improvement in independently computed docking score (Wilcoxon p = 1.9 × 10⁻⁶; ligand efficiency flat, p = 0.756), directly validating the evaluation harness and localising the preceding two failures to the quality of the surrogate signal rather than to the selection or gradient mechanism. The information-content audit behind this localisation found that no representation of the binding pocket tested in this thesis, including a chemically typed interaction representation, reliably outperformed a ligand-only baseline after correction for multiple comparisons, and that 70 to 90% of the predictor's apparent performance, depending on architecture, is reproducible from a class-level prior with no within-target structure–activity signal at all.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and a dedicated attempt to close the gap by augmenting training data with BindingNet, after removing a compound-level leak found in the combined pool, did not outperform training on CrossDocked alone at matched size.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 Figure 1.1 draws the same map, grouped by the question each route addresses and coloured by outcome.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679"/>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information does the predictor actually use, and does a chemically typed interaction representation help?</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Representation ladder (IV.6)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 BH-corrected pairwise tests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12/40 wins for structure, 0 for ligand-only; typed PLIP interactions collapse to a size proxy (R² 0.08 → 0.32 after adding one size covariate)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representation of the pocket tested reliably beats a ligand-only baseline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augmenting training data with a larger external affinity data set (BindingNet) close the gap to ligand-only?</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Arm A vs. Arm C (IV.7)</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Validation R² (3 seeds/arm)</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Arm A (pure CrossDocked, matched size) 0.362 vs. Arm C (BindingNet-augmented, leakage-filtered) 0.272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More or different training data did not close the gap at matched size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How much of the apparent performance is a class-level prior rather than within-target structure–activity learning?</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Within-target y-randomisation (IV.8)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under label permutation, descriptor pipeline and the deployed EGNN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70% (descriptor) and 90% (EGNN) of real-label performance reproduced with no within-target signal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resolvable window beyond the class prior is narrower than one confidence interval</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 signed projection toward the nearest pocket contact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Magnitude correlates +0.240 with distance and is not explained by atom heaviness; signed direction gives mean cosine −0.019, 95% CI [−0.046, +0.008]</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but its direction is indistinguishable from random rather than inverted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genuine, non-surrogate signal succeed with the identical selection mechanism, generator and pockets?</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target-clustered bootstrap), ligand efficiency, SA/RA-score</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Significant improvement (p = 1.9 × 10⁻⁶); ligand efficiency flat (p = 0.756); size and synthesizability both worsen significantly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Harness validated; the guidance failure localises to the signal, not the selection mechanism</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591"/>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the molecules as the gradient is applied?</w:t>
            </w:r>
          </w:p>
        </w:tc>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 one molecule traced in detail and 24 repeated</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Median gap 0.0158 Å after 1,000 steps (0.77% of the cumulative nudge), but an 87× spread across molecules and 8 of 24 above 1%</w:t>
            </w:r>
          </w:p>
        </w:tc>
        <w:tc>
          <w:tcPr>
            <w:tcW w:type="dxa" w:w="1679"/>
          </w:tcPr>
          <w:p>
            <w:pPr>
              <w:keepNext w:val="0"/>
              <w:keepLines w:val="0"/>
              <w:widowControl/>
              <w:spacing w:line="240" w:lineRule="auto" w:before="20" w:after="20"/>
              <w:jc w:val="left"/>
            </w:pPr>
            <w:r>
              <w:rPr>
                <w:rFonts w:ascii="Times New Roman" w:hAnsi="Times New Roman" w:eastAsia="Times New Roman"/>
                <w:b w:val="0"/>
                <w:i w:val="0"/>
                <w:sz w:val="20"/>
              </w:rPr>
              <w:t>The nudge is overwhelmed by the sampler's own step noise in the typical molecule but not in all of them, and where it is not overwhelmed the docking score still does not improve</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073264"/>
            <wp:docPr id="1" name="Picture 1"/>
            <wp:cNvGraphicFramePr>
              <a:graphicFrameLocks noChangeAspect="1"/>
            </wp:cNvGraphicFramePr>
            <a:graphic>
              <a:graphicData uri="http://schemas.openxmlformats.org/drawingml/2006/picture">
                <pic:pic>
                  <pic:nvPicPr>
                    <pic:cNvPr id="0" name="fig_thesis_map.png"/>
                    <pic:cNvPicPr/>
                  </pic:nvPicPr>
                  <pic:blipFill>
                    <a:blip r:embed="rId21"/>
                    <a:stretch>
                      <a:fillRect/>
                    </a:stretch>
                  </pic:blipFill>
                  <pic:spPr>
                    <a:xfrm>
                      <a:off x="0" y="0"/>
                      <a:ext cx="5276088" cy="407326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1.1</w:t>
        <w:tab/>
        <w:t>Map of the thesis: every research objective of Table 1.1, the chapter that answers it, and the outcome it reached. The columns are the four questions the work asks in sequence, from whether the guidance signal carries usable information at all, through the two routes by which a signal can be applied (a gradient during sampling, and post-hoc selection), to the redesigns and robustness checks that followed. Each box is one experiment, coloured by outcome. The thesis reports several distinct kinds of negative result and one positive one, and the colours keep them apart rather than collapsing them into "failed": a pre-registered hypothesis that was falsified, an effect that was found and then explained away as an artefact of molecular size, and a test that simply detected nothing are three different outcomes with three different consequences. Four of the fourteen entries characterise a mechanism rather than test for an improvement, and are coloured accordingly. The figure is generated by parsing Table 1.1 out of this chapter's source, so a row added to or removed from that table that is not reflected here stops the build rather than leaving a stale picture.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the baseline guidance ablations, a fuller information-content audit of what the predictor reads, a training-data-composition experiment with BindingNet, and a class-prior decomposition and failure analysis by activity cliff, matched molecular pair and protein family. Chapter V reports the architecture and mechanism routes (Tracks A and B) and the gradient diagnostic. Chapter VI reports rejection sampling (Track C) and the positive control that replaces the trained surrogate with a genuine, non-surrogate affinity signal; Chapter VII reports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[44]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[65]. InterDiff conditions a diffusion model on interaction "prompts" detected with BINANA, uses cross-attention to inject them, and adds a cross-entropy loss that classifies protein-atom features into interaction types inside the denoiser [56]. BInD treats non-covalent interactions extracted with PLIP as an additional categorical channel that is generated jointly with atoms and bonds under its own loss, and applies knowledge-based guidance terms after the network prediction [32]. An earlier recurrent generator was constrained by an interaction fingerprint computed on docking poses [63].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[50].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[57]. Re-parameterisations of the function, such as Vinardo, were introduced because the conventional approach of fitting empirical terms by linear regression to experimental affinities does not yield a function with optimal docking capabilities [39].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[59]. PIGNet predicts atom–atom pairwise interaction terms with physics-informed equations whose parameters are produced by a neural network and sums them to obtain the affinity, and augments the training data with additional poses and ligands to improve generalisation [38]. Interformer combines a graph-transformer with an interaction-aware mixture density network for docking and affinity prediction [31], and PLANET is trained with three objectives (affinity, protein–ligand contact map and ligand distance matrix) [64]. A framework that adds an adjustable affinity term to the training of a mixture density network was proposed to balance scoring, docking, ranking and screening powers, which the authors note are rarely achieved simultaneously by a single machine-learned function [47].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[53].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[34]. A further line of work argues that the problem is not only leakage in the conventional sense of a complex crossing the split, but </w:t>
      </w:r>
      <w:r>
        <w:rPr>
          <w:rFonts w:ascii="Times New Roman" w:hAnsi="Times New Roman" w:eastAsia="Times New Roman"/>
          <w:b w:val="0"/>
          <w:i/>
          <w:sz w:val="24"/>
        </w:rPr>
        <w:t>redundancy</w:t>
      </w:r>
      <w:r>
        <w:rPr>
          <w:rFonts w:ascii="Times New Roman" w:hAnsi="Times New Roman" w:eastAsia="Times New Roman"/>
          <w:b w:val="0"/>
          <w:i w:val="0"/>
          <w:sz w:val="24"/>
        </w:rPr>
        <w:t>: MIRAGE reports that apparent generalisation in affinity prediction tracks how much historical protein-family support a test target has in public databases, that controls unable to exploit the test family stay flat, and that model rankings reverse on genuinely novel families, and it proposes reporting performance as the excess over a support-insensitive baseline [60]. That proposal is closely related to the class-prior decomposition this thesis arrives at independently, and contemporaneously, by a different construction in Chapter IV.8.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[45].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[41].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[48].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[40],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[54]. Related work re-scored Vina poses with random forests [33], and a delta model built on a linear empirical baseline and gradient boosting reported Pearson correlations of 0.853, 0.839 and 0.813 on locally optimised, redocked and ensemble-docked poses of the CASF-2016 core set [58].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[61]; and dual balancing acts on both loss scales and gradient magnitudes [36].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[43], [46]. Alternative encodings include the interaction fingerprints of ProLIF [5] and of related tools [14], [55].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QSAR Controls: y-Randomisation, Activity Cliffs and 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standard controls from the QSAR literature, none applied to this project's predictors before Chapter IV.6–IV.9, were adopted there to characterise what the affinity predictors actually learn. y-Randomisation, refitting a model after permuting the response variable and confirming performance collapses to chance, is a long-standing control against chance correlation in QSPR/QSAR modelling [42]; Chapter IV.8 adapts it further, by permuting labels </w:t>
      </w:r>
      <w:r>
        <w:rPr>
          <w:rFonts w:ascii="Times New Roman" w:hAnsi="Times New Roman" w:eastAsia="Times New Roman"/>
          <w:b w:val="0"/>
          <w:i/>
          <w:sz w:val="24"/>
        </w:rPr>
        <w:t>within</w:t>
      </w:r>
      <w:r>
        <w:rPr>
          <w:rFonts w:ascii="Times New Roman" w:hAnsi="Times New Roman" w:eastAsia="Times New Roman"/>
          <w:b w:val="0"/>
          <w:i w:val="0"/>
          <w:sz w:val="24"/>
        </w:rPr>
        <w:t xml:space="preserve"> each protein target rather than globally, into a decomposition of apparent predictive performance into a class-level prior and a within-target structure–activity component. Activity cliffs, pairs of structurally similar ligands with disproportionately different measured affinity, are a standard stress test for whether a model has learned local structure–activity relationship rather than coarse, class-level trends; the MoleculeACE benchmark reports that, across 24 machine-learning approaches evaluated on activity cliffs in 30 targets, descriptor-based models outperform more complex deep-learning architectures specifically on cliff compounds [51]. Matched molecular pairs, which isolate the effect of a single substituent change, are a related and stricter test of local structure–activity capture, reported in the literature to be the easiest case for any model, machine-learned or otherwise, to predict correctly [30]. Chapter IV.9 applies all three to this project's own predictors.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II.9</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[32], [65], and, in one case, as an auxiliary classification loss inside the generator's own denoiser [56]. Residual learning has been applied to scoring with tree ensembles [54], [58]. Multi-objective affinity networks with structural auxiliary targets exist [64].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Separately, best-of-N and best-of-K selection applied to diffusion SBDD generation itself, ranked by a combined QED, SA and Vina score, has been proposed as a novel generation technique by BoKDiff [29]; this thesis's own positive control (Chapter VI.5) reuses the same mechanism, but for a different purpose, as a diagnostic instrument that isolates signal quality from guidance mechanism, and was not found to be anticipated by that study. What was not found, within the limits of the searches described in Appendix B, is a study that (i) evaluates learned affinity or synthesizability guidance for a 3D diffusion generator against independently computed outcomes under a leakage-safe, statistically corrected protocol with an explicit positive control built from a genuine, non-surrogate signal,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 Figure 2.1 shows the same comparison as a matrix, in which the gap is visible as a combination of columns rather than as any single one.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negative/positive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[65]</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[56]</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BoKDiff [29]</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(best-of-N/K selection by an external QED+SA+Vina score, no separate trained predictor)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(proposed as a generation technique, not framed as a positive control against a prior guidance failure)</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[64]</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[54]; Δ-XGBoost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 also a genuine, non-surrogate Vina control</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(tested as a guidance representation, Chapter IV.6; collapses to a size proxy)</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a signal-swapped positive control; Section III.6 and Chapter VI.5)</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215947"/>
            <wp:docPr id="2" name="Picture 2"/>
            <wp:cNvGraphicFramePr>
              <a:graphicFrameLocks noChangeAspect="1"/>
            </wp:cNvGraphicFramePr>
            <a:graphic>
              <a:graphicData uri="http://schemas.openxmlformats.org/drawingml/2006/picture">
                <pic:pic>
                  <pic:nvPicPr>
                    <pic:cNvPr id="0" name="fig_literature_matrix.png"/>
                    <pic:cNvPicPr/>
                  </pic:nvPicPr>
                  <pic:blipFill>
                    <a:blip r:embed="rId26"/>
                    <a:stretch>
                      <a:fillRect/>
                    </a:stretch>
                  </pic:blipFill>
                  <pic:spPr>
                    <a:xfrm>
                      <a:off x="0" y="0"/>
                      <a:ext cx="5276088" cy="32159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2.1</w:t>
        <w:tab/>
        <w:t>The research gap of Table 2.1 as a matrix. Rows are the closest prior work, in the order of that table, with this thesis in the shaded row at the bottom; columns are the six ingredients the table compares. A filled marker means the ingredient is present, an open marker that it is absent, and a grey marker that the material reviewed does not state it either way. The third state is kept separate from the second on purpose and is not a criticism of the work concerned: the review of each study was bounded, as Appendix B describes, and treating "not stated in what was read" as "absent" would attribute an omission to a study on the strength of a search that did not look for it. Several of the ingredients are individually well established in prior work, and the gap this thesis occupies is a combination rather than any single column, principally the pairing of a separate learned guidance predictor with a leakage-safe, target-disjoint evaluation carried out under explicit controls. The figure is generated by parsing Table 2.1 out of this chapter's source, so the two cannot drift apart.</w:t>
      </w:r>
    </w:p>
    <w:p>
      <w:pPr>
        <w:sectPr>
          <w:headerReference w:type="default" r:id="rId22"/>
          <w:headerReference w:type="first" r:id="rId23"/>
          <w:footerReference w:type="default" r:id="rId24"/>
          <w:footerReference w:type="first" r:id="rId2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3" name="Picture 3"/>
            <wp:cNvGraphicFramePr>
              <a:graphicFrameLocks noChangeAspect="1"/>
            </wp:cNvGraphicFramePr>
            <a:graphic>
              <a:graphicData uri="http://schemas.openxmlformats.org/drawingml/2006/picture">
                <pic:pic>
                  <pic:nvPicPr>
                    <pic:cNvPr id="0" name="fig_pipeline.png"/>
                    <pic:cNvPicPr/>
                  </pic:nvPicPr>
                  <pic:blipFill>
                    <a:blip r:embed="rId31"/>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Three candidate mechanisms for a guidance failure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route failing its pre-declared criteria does not, by itself, say </w:t>
      </w:r>
      <w:r>
        <w:rPr>
          <w:rFonts w:ascii="Times New Roman" w:hAnsi="Times New Roman" w:eastAsia="Times New Roman"/>
          <w:b w:val="0"/>
          <w:i/>
          <w:sz w:val="24"/>
        </w:rPr>
        <w:t>why</w:t>
      </w:r>
      <w:r>
        <w:rPr>
          <w:rFonts w:ascii="Times New Roman" w:hAnsi="Times New Roman" w:eastAsia="Times New Roman"/>
          <w:b w:val="0"/>
          <w:i w:val="0"/>
          <w:sz w:val="24"/>
        </w:rPr>
        <w:t xml:space="preserve"> it failed, and several of this thesis's methodological choices, the positive control of Chapter VI.5 and the information-content audit of Chapter IV chief among them, were made so that a null result could be read against three candidate mechanisms rather than left unexplained. The three are not mutually exclusive, and a single checkpoint rarely adjudicates all of them at once. </w:t>
      </w:r>
      <w:r>
        <w:rPr>
          <w:rFonts w:ascii="Times New Roman" w:hAnsi="Times New Roman" w:eastAsia="Times New Roman"/>
          <w:b/>
          <w:i w:val="0"/>
          <w:sz w:val="24"/>
        </w:rPr>
        <w:t>F1</w:t>
      </w:r>
      <w:r>
        <w:rPr>
          <w:rFonts w:ascii="Times New Roman" w:hAnsi="Times New Roman" w:eastAsia="Times New Roman"/>
          <w:b w:val="0"/>
          <w:i w:val="0"/>
          <w:sz w:val="24"/>
        </w:rPr>
        <w:t xml:space="preserve">, an uninformative signal: the guidance predictor carries little usable information about the quantity it is meant to steer toward, specifically the true binding interface, so that no mechanism built on it could succeed regardless of how the signal is used. </w:t>
      </w:r>
      <w:r>
        <w:rPr>
          <w:rFonts w:ascii="Times New Roman" w:hAnsi="Times New Roman" w:eastAsia="Times New Roman"/>
          <w:b/>
          <w:i w:val="0"/>
          <w:sz w:val="24"/>
        </w:rPr>
        <w:t>F2</w:t>
      </w:r>
      <w:r>
        <w:rPr>
          <w:rFonts w:ascii="Times New Roman" w:hAnsi="Times New Roman" w:eastAsia="Times New Roman"/>
          <w:b w:val="0"/>
          <w:i w:val="0"/>
          <w:sz w:val="24"/>
        </w:rPr>
        <w:t xml:space="preserve">, a misaligned mechanism: the signal is informative in principle, but the specific way it is turned into guidance, a gradient computed on a clean-data estimate, a particular scale or timing, a top-k selection rule, misapplies it. </w:t>
      </w:r>
      <w:r>
        <w:rPr>
          <w:rFonts w:ascii="Times New Roman" w:hAnsi="Times New Roman" w:eastAsia="Times New Roman"/>
          <w:b/>
          <w:i w:val="0"/>
          <w:sz w:val="24"/>
        </w:rPr>
        <w:t>F3</w:t>
      </w:r>
      <w:r>
        <w:rPr>
          <w:rFonts w:ascii="Times New Roman" w:hAnsi="Times New Roman" w:eastAsia="Times New Roman"/>
          <w:b w:val="0"/>
          <w:i w:val="0"/>
          <w:sz w:val="24"/>
        </w:rPr>
        <w:t>, a gameable objective: the guidance objective can be satisfied in a way that does not correspond to a genuine improvement in the quantity a practitioner cares about, for instance by exploiting a correlate of the evaluation metric, such as molecular size, that a differently shaped objective would not reward. This framework is introduced here because it is used to interpret results throughout the thesis, most directly in Chapter VI.5's positive control, which varies the signal while holding the mechanism fixed, and in Chapter IX.2's synthesis of the evidence for each of the three once every route has reported.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III.1.2</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0"/>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112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3 pockets, 144 states (magnitude); 20 pockets, 23,202 atom-states (direction)</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 signed projection toward nearest contact</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Magnitude +0.240 (largest far from the pocket); direction indistinguishable from random (mean cos −0.019, CI [−0.046, +0.008])</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772"/>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28"/>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0"/>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112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[34]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[48]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[44]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[59], in which covalent (or covalent-proxy) and non-covalent edges share one message pass and are differentiated by separate MLPs, with the physics-decomposed readout of PIGNet [38]: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III.5.1</w:t>
        <w:tab/>
      </w:r>
      <w:r>
        <w:rPr>
          <w:rFonts w:ascii="Times New Roman" w:hAnsi="Times New Roman" w:eastAsia="Times New Roman"/>
          <w:b w:val="0"/>
          <w:i/>
          <w:sz w:val="24"/>
        </w:rPr>
        <w:t>What each metric does not certify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metric in Table 3.5 answers one narrow question, and the combination is still far short of a usability assessment. PoseBusters checks that a </w:t>
      </w:r>
      <w:r>
        <w:rPr>
          <w:rFonts w:ascii="Times New Roman" w:hAnsi="Times New Roman" w:eastAsia="Times New Roman"/>
          <w:b w:val="0"/>
          <w:i/>
          <w:sz w:val="24"/>
        </w:rPr>
        <w:t>pose</w:t>
      </w:r>
      <w:r>
        <w:rPr>
          <w:rFonts w:ascii="Times New Roman" w:hAnsi="Times New Roman" w:eastAsia="Times New Roman"/>
          <w:b w:val="0"/>
          <w:i w:val="0"/>
          <w:sz w:val="24"/>
        </w:rPr>
        <w:t xml:space="preserve"> is geometrically and chemically well formed: correct stereochemistry, planar aromatic rings, plausible bond lengths, no steric clash with the receptor. A molecule passing it is not thereby a reasonable compound; it has not been checked for internal strain beyond those geometric tests, for promiscuous or assay-interfering substructures, or for anything pharmacological. Ligand efficiency normalises a docking score by heavy-atom count and so detects one specific artefact, the preference for larger molecules; it does not detect others. The RA-score estimates whether a retrosynthetic planner can find a route, not whether that route is practical, cheap or safe. Throughout this thesis, "valid" means "passes the stated check", never "suitable for synthesis or testing", and the gap between those two is the subject of Section X.3.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III.5.2</w:t>
        <w:tab/>
      </w:r>
      <w:r>
        <w:rPr>
          <w:rFonts w:ascii="Times New Roman" w:hAnsi="Times New Roman" w:eastAsia="Times New Roman"/>
          <w:b w:val="0"/>
          <w:i/>
          <w:sz w:val="24"/>
        </w:rPr>
        <w:t>What "independent" means in this thesis, and what it does not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phrase </w:t>
      </w:r>
      <w:r>
        <w:rPr>
          <w:rFonts w:ascii="Times New Roman" w:hAnsi="Times New Roman" w:eastAsia="Times New Roman"/>
          <w:b w:val="0"/>
          <w:i/>
          <w:sz w:val="24"/>
        </w:rPr>
        <w:t>independently computed</w:t>
      </w:r>
      <w:r>
        <w:rPr>
          <w:rFonts w:ascii="Times New Roman" w:hAnsi="Times New Roman" w:eastAsia="Times New Roman"/>
          <w:b w:val="0"/>
          <w:i w:val="0"/>
          <w:sz w:val="24"/>
        </w:rPr>
        <w:t xml:space="preserve"> recurs throughout this thesis and carries a deliberately narrow, operational meaning that is fixed here once: the quantity is produced by a program that does not read, and was not fitted to, the guidance predictor's output or parameters. It is a statement about the provenance of a number, not about its physical validity. Three consequences follow and are relied on in later chapters. First, independence in this sense rules out the circularity of reporting a model's own score as its own success criterion; it is the minimum any evaluation of guidance must satisfy, and the main thesis's gradient routes satisfy it by construction. Second, it does not make two numbers </w:t>
      </w:r>
      <w:r>
        <w:rPr>
          <w:rFonts w:ascii="Times New Roman" w:hAnsi="Times New Roman" w:eastAsia="Times New Roman"/>
          <w:b w:val="0"/>
          <w:i/>
          <w:sz w:val="24"/>
        </w:rPr>
        <w:t>orthogonal</w:t>
      </w:r>
      <w:r>
        <w:rPr>
          <w:rFonts w:ascii="Times New Roman" w:hAnsi="Times New Roman" w:eastAsia="Times New Roman"/>
          <w:b w:val="0"/>
          <w:i w:val="0"/>
          <w:sz w:val="24"/>
        </w:rPr>
        <w:t xml:space="preserve">: two quantities can both be independent of the predictor while sharing an upstream bias with each other, which is exactly the situation of the positive control in Section VI.5, where selection and evaluation use two modes of one scoring function and therefore share that function's documented preference for larger ligands. Third, it does not make a computed quantity an </w:t>
      </w:r>
      <w:r>
        <w:rPr>
          <w:rFonts w:ascii="Times New Roman" w:hAnsi="Times New Roman" w:eastAsia="Times New Roman"/>
          <w:b w:val="0"/>
          <w:i/>
          <w:sz w:val="24"/>
        </w:rPr>
        <w:t>experimental</w:t>
      </w:r>
      <w:r>
        <w:rPr>
          <w:rFonts w:ascii="Times New Roman" w:hAnsi="Times New Roman" w:eastAsia="Times New Roman"/>
          <w:b w:val="0"/>
          <w:i w:val="0"/>
          <w:sz w:val="24"/>
        </w:rPr>
        <w:t xml:space="preserve"> measurement. Vina Dock is a predicted docking score, not a measured dissociation constant, and no claim in this thesis about a molecule being a better binder rests on anything stronger than that proxy; where this distinction affects the reading of a result, it is restated locally rather than assumed. A genuinely orthogonal evaluation would require a scoring function sharing neither parameters nor functional form with the selector, or an assay; neither was available within this project's scope (Section X.3).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[48]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[57];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4" name="Picture 4"/>
            <wp:cNvGraphicFramePr>
              <a:graphicFrameLocks noChangeAspect="1"/>
            </wp:cNvGraphicFramePr>
            <a:graphic>
              <a:graphicData uri="http://schemas.openxmlformats.org/drawingml/2006/picture">
                <pic:pic>
                  <pic:nvPicPr>
                    <pic:cNvPr id="0" name="fig_verdict_flow.png"/>
                    <pic:cNvPicPr/>
                  </pic:nvPicPr>
                  <pic:blipFill>
                    <a:blip r:embed="rId32"/>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III.6.7</w:t>
        <w:tab/>
      </w:r>
      <w:r>
        <w:rPr>
          <w:rFonts w:ascii="Times New Roman" w:hAnsi="Times New Roman" w:eastAsia="Times New Roman"/>
          <w:b w:val="0"/>
          <w:i/>
          <w:sz w:val="24"/>
        </w:rPr>
        <w:t>Is the target the right cluster? A family-level check</w:t>
      </w:r>
    </w:p>
    <w:p>
      <w:pPr>
        <w:keepNext w:val="0"/>
        <w:keepLines w:val="0"/>
        <w:widowControl/>
        <w:spacing w:line="480" w:lineRule="auto" w:before="0" w:after="0"/>
        <w:ind w:firstLine="720"/>
        <w:jc w:val="both"/>
      </w:pPr>
      <w:r>
        <w:rPr>
          <w:rFonts w:ascii="Times New Roman" w:hAnsi="Times New Roman" w:eastAsia="Times New Roman"/>
          <w:b w:val="0"/>
          <w:i w:val="0"/>
          <w:sz w:val="24"/>
        </w:rPr>
        <w:t>Clustering by target rests on an argument that can be pushed one step further: if complexes of one target are dependent, then targets of one protein family are dependent too, and an interval that resamples targets independently would still be optimistic. Were that so, every interval in this thesis would be too narrow, and the comparisons reported as ties would be ties for the wrong reason. The check is cheap, because only the grouping has to change: the headline comparison of the structure-aware ensemble against the ligand-only ridge was re-run at three clustering levels with the data, models, statistic, resample count and seed all held fixed, so that any difference between the three intervals is attributable to the clustering alone. All 127 test targets carry a Pfam annotation, giving 63 family clusters, so no target had to be dropped or pooled into an "unknown" block.</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is reported in Table 3.7 and drawn in Figure 3.3, and it separates two questions that are easily conflated. The step that matters is the first one. Without clustering, the difference of ΔR² = 0.0541 has a 95% interval of [0.0416, 0.0664] and a bootstrap p of 0.000: analysed that way, this thesis would have reported a significant advantage for the structure-aware model, which is precisely the claim the rest of Chapter IV argues is not supported. Resampling targets instead widens the interval by a factor of 7.3, to [−0.0400, 0.1398], and the comparison becomes a tie. Clustering by family on top of that does not widen it further; the family interval is [−0.0269, 0.1313], 0.88 times the width of the target interval, and the verdict is unchanged.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the family interval is slightly </w:t>
      </w:r>
      <w:r>
        <w:rPr>
          <w:rFonts w:ascii="Times New Roman" w:hAnsi="Times New Roman" w:eastAsia="Times New Roman"/>
          <w:b w:val="0"/>
          <w:i/>
          <w:sz w:val="24"/>
        </w:rPr>
        <w:t>narrower</w:t>
      </w:r>
      <w:r>
        <w:rPr>
          <w:rFonts w:ascii="Times New Roman" w:hAnsi="Times New Roman" w:eastAsia="Times New Roman"/>
          <w:b w:val="0"/>
          <w:i w:val="0"/>
          <w:sz w:val="24"/>
        </w:rPr>
        <w:t xml:space="preserve"> rather than wider is not the direction the concern anticipated, and it is not over-read here. The two intervals overlap almost entirely, and a ratio of 0.88 on 2,000 resamples is within the noise of the procedure; halving the number of clusters from 127 to 63 removes resampling variance through larger, more balanced clusters at the same time as it adds dependence, and these pull in opposite directions. The defensible reading is the weaker one: at this sample size the choice between target-level and family-level clustering does not change the width of the interval or the conclusion drawn from it, whereas the choice between clustering and not clustering changes both. The thesis therefore keeps the target as its resampling unit, and the comparisons it reports as ties are not an artefact of having chosen too fine a cluster.</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3.7</w:t>
        <w:tab/>
        <w:t>The headline predictor comparison at three clustering levels (B = 2,000, seed 20260925, identical data and models)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2477"/>
            <w:shd w:val="clear" w:fill="E7E9EE"/>
          </w:tcPr>
          <w:p>
            <w:pPr>
              <w:keepNext w:val="0"/>
              <w:keepLines w:val="0"/>
              <w:widowControl/>
              <w:spacing w:line="240" w:lineRule="auto" w:before="20" w:after="20"/>
              <w:jc w:val="center"/>
            </w:pPr>
            <w:r>
              <w:rPr>
                <w:rFonts w:ascii="Times New Roman" w:hAnsi="Times New Roman" w:eastAsia="Times New Roman"/>
                <w:b/>
                <w:i w:val="0"/>
                <w:sz w:val="18"/>
              </w:rPr>
              <w:t>Resampling unit</w:t>
            </w:r>
          </w:p>
        </w:tc>
        <w:tc>
          <w:tcPr>
            <w:tcW w:type="dxa" w:w="728"/>
            <w:shd w:val="clear" w:fill="E7E9EE"/>
          </w:tcPr>
          <w:p>
            <w:pPr>
              <w:keepNext w:val="0"/>
              <w:keepLines w:val="0"/>
              <w:widowControl/>
              <w:spacing w:line="240" w:lineRule="auto" w:before="20" w:after="20"/>
              <w:jc w:val="center"/>
            </w:pPr>
            <w:r>
              <w:rPr>
                <w:rFonts w:ascii="Times New Roman" w:hAnsi="Times New Roman" w:eastAsia="Times New Roman"/>
                <w:b/>
                <w:i w:val="0"/>
                <w:sz w:val="18"/>
              </w:rPr>
              <w:t>Clusters</w:t>
            </w:r>
          </w:p>
        </w:tc>
        <w:tc>
          <w:tcPr>
            <w:tcW w:type="dxa" w:w="728"/>
            <w:shd w:val="clear" w:fill="E7E9EE"/>
          </w:tcPr>
          <w:p>
            <w:pPr>
              <w:keepNext w:val="0"/>
              <w:keepLines w:val="0"/>
              <w:widowControl/>
              <w:spacing w:line="240" w:lineRule="auto" w:before="20" w:after="20"/>
              <w:jc w:val="center"/>
            </w:pPr>
            <w:r>
              <w:rPr>
                <w:rFonts w:ascii="Times New Roman" w:hAnsi="Times New Roman" w:eastAsia="Times New Roman"/>
                <w:b/>
                <w:i w:val="0"/>
                <w:sz w:val="18"/>
              </w:rPr>
              <w:t>ΔR²</w:t>
            </w:r>
          </w:p>
        </w:tc>
        <w:tc>
          <w:tcPr>
            <w:tcW w:type="dxa" w:w="1032"/>
            <w:shd w:val="clear" w:fill="E7E9EE"/>
          </w:tcPr>
          <w:p>
            <w:pPr>
              <w:keepNext w:val="0"/>
              <w:keepLines w:val="0"/>
              <w:widowControl/>
              <w:spacing w:line="240" w:lineRule="auto" w:before="20" w:after="20"/>
              <w:jc w:val="center"/>
            </w:pPr>
            <w:r>
              <w:rPr>
                <w:rFonts w:ascii="Times New Roman" w:hAnsi="Times New Roman" w:eastAsia="Times New Roman"/>
                <w:b/>
                <w:i w:val="0"/>
                <w:sz w:val="18"/>
              </w:rPr>
              <w:t>95% CI</w:t>
            </w:r>
          </w:p>
        </w:tc>
        <w:tc>
          <w:tcPr>
            <w:tcW w:type="dxa" w:w="728"/>
            <w:shd w:val="clear" w:fill="E7E9EE"/>
          </w:tcPr>
          <w:p>
            <w:pPr>
              <w:keepNext w:val="0"/>
              <w:keepLines w:val="0"/>
              <w:widowControl/>
              <w:spacing w:line="240" w:lineRule="auto" w:before="20" w:after="20"/>
              <w:jc w:val="center"/>
            </w:pPr>
            <w:r>
              <w:rPr>
                <w:rFonts w:ascii="Times New Roman" w:hAnsi="Times New Roman" w:eastAsia="Times New Roman"/>
                <w:b/>
                <w:i w:val="0"/>
                <w:sz w:val="18"/>
              </w:rPr>
              <w:t>CI width</w:t>
            </w:r>
          </w:p>
        </w:tc>
        <w:tc>
          <w:tcPr>
            <w:tcW w:type="dxa" w:w="757"/>
            <w:shd w:val="clear" w:fill="E7E9EE"/>
          </w:tcPr>
          <w:p>
            <w:pPr>
              <w:keepNext w:val="0"/>
              <w:keepLines w:val="0"/>
              <w:widowControl/>
              <w:spacing w:line="240" w:lineRule="auto" w:before="20" w:after="20"/>
              <w:jc w:val="center"/>
            </w:pPr>
            <w:r>
              <w:rPr>
                <w:rFonts w:ascii="Times New Roman" w:hAnsi="Times New Roman" w:eastAsia="Times New Roman"/>
                <w:b/>
                <w:i w:val="0"/>
                <w:sz w:val="18"/>
              </w:rPr>
              <w:t>Bootstrap p</w:t>
            </w:r>
          </w:p>
        </w:tc>
        <w:tc>
          <w:tcPr>
            <w:tcW w:type="dxa" w:w="185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2477"/>
          </w:tcPr>
          <w:p>
            <w:pPr>
              <w:keepNext w:val="0"/>
              <w:keepLines w:val="0"/>
              <w:widowControl/>
              <w:spacing w:line="240" w:lineRule="auto" w:before="20" w:after="20"/>
              <w:jc w:val="left"/>
            </w:pPr>
            <w:r>
              <w:rPr>
                <w:rFonts w:ascii="Times New Roman" w:hAnsi="Times New Roman" w:eastAsia="Times New Roman"/>
                <w:b w:val="0"/>
                <w:i w:val="0"/>
                <w:sz w:val="18"/>
              </w:rPr>
              <w:t>Complex (no clustering)</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11,855</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0.0541</w:t>
            </w:r>
          </w:p>
        </w:tc>
        <w:tc>
          <w:tcPr>
            <w:tcW w:type="dxa" w:w="1032"/>
          </w:tcPr>
          <w:p>
            <w:pPr>
              <w:keepNext w:val="0"/>
              <w:keepLines w:val="0"/>
              <w:widowControl/>
              <w:spacing w:line="240" w:lineRule="auto" w:before="20" w:after="20"/>
              <w:jc w:val="left"/>
            </w:pPr>
            <w:r>
              <w:rPr>
                <w:rFonts w:ascii="Times New Roman" w:hAnsi="Times New Roman" w:eastAsia="Times New Roman"/>
                <w:b w:val="0"/>
                <w:i w:val="0"/>
                <w:sz w:val="18"/>
              </w:rPr>
              <w:t>[0.0416, 0.0664]</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0.0248</w:t>
            </w:r>
          </w:p>
        </w:tc>
        <w:tc>
          <w:tcPr>
            <w:tcW w:type="dxa" w:w="757"/>
          </w:tcPr>
          <w:p>
            <w:pPr>
              <w:keepNext w:val="0"/>
              <w:keepLines w:val="0"/>
              <w:widowControl/>
              <w:spacing w:line="240" w:lineRule="auto" w:before="20" w:after="20"/>
              <w:jc w:val="center"/>
            </w:pPr>
            <w:r>
              <w:rPr>
                <w:rFonts w:ascii="Times New Roman" w:hAnsi="Times New Roman" w:eastAsia="Times New Roman"/>
                <w:b w:val="0"/>
                <w:i w:val="0"/>
                <w:sz w:val="18"/>
              </w:rPr>
              <w:t>0.000</w:t>
            </w:r>
          </w:p>
        </w:tc>
        <w:tc>
          <w:tcPr>
            <w:tcW w:type="dxa" w:w="1858"/>
          </w:tcPr>
          <w:p>
            <w:pPr>
              <w:keepNext w:val="0"/>
              <w:keepLines w:val="0"/>
              <w:widowControl/>
              <w:spacing w:line="240" w:lineRule="auto" w:before="20" w:after="20"/>
              <w:jc w:val="left"/>
            </w:pPr>
            <w:r>
              <w:rPr>
                <w:rFonts w:ascii="Times New Roman" w:hAnsi="Times New Roman" w:eastAsia="Times New Roman"/>
                <w:b w:val="0"/>
                <w:i w:val="0"/>
                <w:sz w:val="18"/>
              </w:rPr>
              <w:t>would be called significant</w:t>
            </w:r>
          </w:p>
        </w:tc>
      </w:tr>
      <w:tr>
        <w:trPr>
          <w:cantSplit/>
        </w:trPr>
        <w:tc>
          <w:tcPr>
            <w:tcW w:type="dxa" w:w="2477"/>
          </w:tcPr>
          <w:p>
            <w:pPr>
              <w:keepNext w:val="0"/>
              <w:keepLines w:val="0"/>
              <w:widowControl/>
              <w:spacing w:line="240" w:lineRule="auto" w:before="20" w:after="20"/>
              <w:jc w:val="left"/>
            </w:pPr>
            <w:r>
              <w:rPr>
                <w:rFonts w:ascii="Times New Roman" w:hAnsi="Times New Roman" w:eastAsia="Times New Roman"/>
                <w:b w:val="0"/>
                <w:i w:val="0"/>
                <w:sz w:val="18"/>
              </w:rPr>
              <w:t>Target (used throughout this thesis)</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0.0541</w:t>
            </w:r>
          </w:p>
        </w:tc>
        <w:tc>
          <w:tcPr>
            <w:tcW w:type="dxa" w:w="1032"/>
          </w:tcPr>
          <w:p>
            <w:pPr>
              <w:keepNext w:val="0"/>
              <w:keepLines w:val="0"/>
              <w:widowControl/>
              <w:spacing w:line="240" w:lineRule="auto" w:before="20" w:after="20"/>
              <w:jc w:val="left"/>
            </w:pPr>
            <w:r>
              <w:rPr>
                <w:rFonts w:ascii="Times New Roman" w:hAnsi="Times New Roman" w:eastAsia="Times New Roman"/>
                <w:b w:val="0"/>
                <w:i w:val="0"/>
                <w:sz w:val="18"/>
              </w:rPr>
              <w:t>[−0.0400, 0.1398]</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0.1798</w:t>
            </w:r>
          </w:p>
        </w:tc>
        <w:tc>
          <w:tcPr>
            <w:tcW w:type="dxa" w:w="757"/>
          </w:tcPr>
          <w:p>
            <w:pPr>
              <w:keepNext w:val="0"/>
              <w:keepLines w:val="0"/>
              <w:widowControl/>
              <w:spacing w:line="240" w:lineRule="auto" w:before="20" w:after="20"/>
              <w:jc w:val="center"/>
            </w:pPr>
            <w:r>
              <w:rPr>
                <w:rFonts w:ascii="Times New Roman" w:hAnsi="Times New Roman" w:eastAsia="Times New Roman"/>
                <w:b w:val="0"/>
                <w:i w:val="0"/>
                <w:sz w:val="18"/>
              </w:rPr>
              <w:t>0.215</w:t>
            </w:r>
          </w:p>
        </w:tc>
        <w:tc>
          <w:tcPr>
            <w:tcW w:type="dxa" w:w="1858"/>
          </w:tcPr>
          <w:p>
            <w:pPr>
              <w:keepNext w:val="0"/>
              <w:keepLines w:val="0"/>
              <w:widowControl/>
              <w:spacing w:line="240" w:lineRule="auto" w:before="20" w:after="20"/>
              <w:jc w:val="center"/>
            </w:pPr>
            <w:r>
              <w:rPr>
                <w:rFonts w:ascii="Times New Roman" w:hAnsi="Times New Roman" w:eastAsia="Times New Roman"/>
                <w:b w:val="0"/>
                <w:i w:val="0"/>
                <w:sz w:val="18"/>
              </w:rPr>
              <w:t>tie</w:t>
            </w:r>
          </w:p>
        </w:tc>
      </w:tr>
      <w:tr>
        <w:trPr>
          <w:cantSplit/>
        </w:trPr>
        <w:tc>
          <w:tcPr>
            <w:tcW w:type="dxa" w:w="2477"/>
          </w:tcPr>
          <w:p>
            <w:pPr>
              <w:keepNext w:val="0"/>
              <w:keepLines w:val="0"/>
              <w:widowControl/>
              <w:spacing w:line="240" w:lineRule="auto" w:before="20" w:after="20"/>
              <w:jc w:val="left"/>
            </w:pPr>
            <w:r>
              <w:rPr>
                <w:rFonts w:ascii="Times New Roman" w:hAnsi="Times New Roman" w:eastAsia="Times New Roman"/>
                <w:b w:val="0"/>
                <w:i w:val="0"/>
                <w:sz w:val="18"/>
              </w:rPr>
              <w:t>Pfam family</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63</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0.0541</w:t>
            </w:r>
          </w:p>
        </w:tc>
        <w:tc>
          <w:tcPr>
            <w:tcW w:type="dxa" w:w="1032"/>
          </w:tcPr>
          <w:p>
            <w:pPr>
              <w:keepNext w:val="0"/>
              <w:keepLines w:val="0"/>
              <w:widowControl/>
              <w:spacing w:line="240" w:lineRule="auto" w:before="20" w:after="20"/>
              <w:jc w:val="left"/>
            </w:pPr>
            <w:r>
              <w:rPr>
                <w:rFonts w:ascii="Times New Roman" w:hAnsi="Times New Roman" w:eastAsia="Times New Roman"/>
                <w:b w:val="0"/>
                <w:i w:val="0"/>
                <w:sz w:val="18"/>
              </w:rPr>
              <w:t>[−0.0269, 0.1313]</w:t>
            </w:r>
          </w:p>
        </w:tc>
        <w:tc>
          <w:tcPr>
            <w:tcW w:type="dxa" w:w="728"/>
          </w:tcPr>
          <w:p>
            <w:pPr>
              <w:keepNext w:val="0"/>
              <w:keepLines w:val="0"/>
              <w:widowControl/>
              <w:spacing w:line="240" w:lineRule="auto" w:before="20" w:after="20"/>
              <w:jc w:val="center"/>
            </w:pPr>
            <w:r>
              <w:rPr>
                <w:rFonts w:ascii="Times New Roman" w:hAnsi="Times New Roman" w:eastAsia="Times New Roman"/>
                <w:b w:val="0"/>
                <w:i w:val="0"/>
                <w:sz w:val="18"/>
              </w:rPr>
              <w:t>0.1582</w:t>
            </w:r>
          </w:p>
        </w:tc>
        <w:tc>
          <w:tcPr>
            <w:tcW w:type="dxa" w:w="757"/>
          </w:tcPr>
          <w:p>
            <w:pPr>
              <w:keepNext w:val="0"/>
              <w:keepLines w:val="0"/>
              <w:widowControl/>
              <w:spacing w:line="240" w:lineRule="auto" w:before="20" w:after="20"/>
              <w:jc w:val="center"/>
            </w:pPr>
            <w:r>
              <w:rPr>
                <w:rFonts w:ascii="Times New Roman" w:hAnsi="Times New Roman" w:eastAsia="Times New Roman"/>
                <w:b w:val="0"/>
                <w:i w:val="0"/>
                <w:sz w:val="18"/>
              </w:rPr>
              <w:t>0.163</w:t>
            </w:r>
          </w:p>
        </w:tc>
        <w:tc>
          <w:tcPr>
            <w:tcW w:type="dxa" w:w="1858"/>
          </w:tcPr>
          <w:p>
            <w:pPr>
              <w:keepNext w:val="0"/>
              <w:keepLines w:val="0"/>
              <w:widowControl/>
              <w:spacing w:line="240" w:lineRule="auto" w:before="20" w:after="20"/>
              <w:jc w:val="center"/>
            </w:pPr>
            <w:r>
              <w:rPr>
                <w:rFonts w:ascii="Times New Roman" w:hAnsi="Times New Roman" w:eastAsia="Times New Roman"/>
                <w:b w:val="0"/>
                <w:i w:val="0"/>
                <w:sz w:val="18"/>
              </w:rPr>
              <w:t>tie</w:t>
            </w:r>
          </w:p>
        </w:tc>
      </w:tr>
    </w:tbl>
    <w:p>
      <w:pPr>
        <w:keepNext w:val="0"/>
        <w:keepLines w:val="0"/>
        <w:widowControl/>
        <w:spacing w:line="240" w:lineRule="auto" w:before="80" w:after="0"/>
        <w:jc w:val="both"/>
      </w:pPr>
      <w:r>
        <w:rPr>
          <w:rFonts w:ascii="Times New Roman" w:hAnsi="Times New Roman" w:eastAsia="Times New Roman"/>
          <w:b w:val="0"/>
          <w:i w:val="0"/>
          <w:sz w:val="20"/>
        </w:rPr>
        <w:t>ΔR² is the held-out R² of the structure-aware EGNN ensemble minus that of the 14-descriptor ligand-only ridge, and is identical in all three rows because only the resampling changes, not the fit. Source: `guidance/cheminformatics/family_cluster_bootstrap_results.json`. The bootstrap is paired: the same resampled rows feed both R² terms in every draw, so the interval is about the difference rather than about two separately resampled marginals.</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22154"/>
            <wp:docPr id="5" name="Picture 5"/>
            <wp:cNvGraphicFramePr>
              <a:graphicFrameLocks noChangeAspect="1"/>
            </wp:cNvGraphicFramePr>
            <a:graphic>
              <a:graphicData uri="http://schemas.openxmlformats.org/drawingml/2006/picture">
                <pic:pic>
                  <pic:nvPicPr>
                    <pic:cNvPr id="0" name="fig_clustering_levels.png"/>
                    <pic:cNvPicPr/>
                  </pic:nvPicPr>
                  <pic:blipFill>
                    <a:blip r:embed="rId33"/>
                    <a:stretch>
                      <a:fillRect/>
                    </a:stretch>
                  </pic:blipFill>
                  <pic:spPr>
                    <a:xfrm>
                      <a:off x="0" y="0"/>
                      <a:ext cx="5276088" cy="232215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3.3</w:t>
        <w:tab/>
        <w:t>The headline predictor comparison of Table 3.7 at three resampling units. The marker is the point estimate of ΔR², the held-out R² of the structure-aware EGNN ensemble minus that of the 14-descriptor ligand-only ridge, and it is identical in all three rows because only the resampling changes and not the fit; the entire difference between the rows is the width of the interval. Analysed without clustering, as though the 11,855 complexes were independent, the interval excludes zero and the comparison would be reported as a significant advantage for the structure-aware model. Resampling the 127 targets instead widens the interval 7.3-fold and the comparison becomes a tie, which is the result this thesis reports. Clustering more coarsely still, by the 63 Pfam families, does not widen it further and does not change the verdict. The figure is included because the first step is the one that decides the headline conclusion of Chapter IV, and it is a choice of analysis rather than a property of the data.</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7"/>
          <w:headerReference w:type="first" r:id="rId28"/>
          <w:footerReference w:type="default" r:id="rId29"/>
          <w:footerReference w:type="first" r:id="rId3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[57].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6" name="Picture 6"/>
            <wp:cNvGraphicFramePr>
              <a:graphicFrameLocks noChangeAspect="1"/>
            </wp:cNvGraphicFramePr>
            <a:graphic>
              <a:graphicData uri="http://schemas.openxmlformats.org/drawingml/2006/picture">
                <pic:pic>
                  <pic:nvPicPr>
                    <pic:cNvPr id="0" name="fig_split_artifact.png"/>
                    <pic:cNvPicPr/>
                  </pic:nvPicPr>
                  <pic:blipFill>
                    <a:blip r:embed="rId38"/>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Three limits of this conclusion should be noted. The first is that "the split" changed in more than one way at once, so the attribution is to the change as a whole and not to any single component of it: the new split simultaneously removed the target overlap between training and validation, enlarged the test set from 27 pockets to 127 targets, and altered which complexes fall on each side. Each of these alone could move the measured gap, the second for reasons of precision rather than of generalisation, and this design does not separate them; an intermediate split that fixed only the validation overlap while keeping a 27-pocket test set would be needed to apportion the effect, and was not built. What the comparison supports is that the earlier gap was largely an artefact of how the data were divided, not which component of the division was responsible. The second is that the comparison is between models evaluated on different test sets, so the two R² values are not paired estimates. The third is that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7" name="Picture 7"/>
            <wp:cNvGraphicFramePr>
              <a:graphicFrameLocks noChangeAspect="1"/>
            </wp:cNvGraphicFramePr>
            <a:graphic>
              <a:graphicData uri="http://schemas.openxmlformats.org/drawingml/2006/picture">
                <pic:pic>
                  <pic:nvPicPr>
                    <pic:cNvPr id="0" name="fig_predictive_quality.png"/>
                    <pic:cNvPicPr/>
                  </pic:nvPicPr>
                  <pic:blipFill>
                    <a:blip r:embed="rId39"/>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What a range of λ does and does not cover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sweep spanning three orders of magnitude sounds exhaustive, but λ is a dimensionless multiplier on a gradient whose own scale is a property of the trained predictor, so the nominal range does not by itself establish that the </w:t>
      </w:r>
      <w:r>
        <w:rPr>
          <w:rFonts w:ascii="Times New Roman" w:hAnsi="Times New Roman" w:eastAsia="Times New Roman"/>
          <w:b w:val="0"/>
          <w:i/>
          <w:sz w:val="24"/>
        </w:rPr>
        <w:t>effective</w:t>
      </w:r>
      <w:r>
        <w:rPr>
          <w:rFonts w:ascii="Times New Roman" w:hAnsi="Times New Roman" w:eastAsia="Times New Roman"/>
          <w:b w:val="0"/>
          <w:i w:val="0"/>
          <w:sz w:val="24"/>
        </w:rPr>
        <w:t xml:space="preserve"> regime was covered. Two measurements made elsewhere in this thesis bound what the range meant physically, and they are quoted here so the sweep is not read as broader than it was. The gradient magnitudes of the deployed predictor average about 1 × 10⁻³ in the captured states (Section V.4), and the direct trajectory trace of Appendix E.5 shows that at λ = 1.0 the summed magnitude of the per-step nudges reaches roughly 9.5 Å over 1,000 steps while the net displacement between the guided and unguided molecule ends below 0.1 Å. The operative quantity is therefore not λ itself but the per-step displacement relative to the sampler's own posterior noise, and across the tested range that ratio stayed small until the point where molecules began to fragment, which is what set the upper bound (Section IV.5.2) rather than any judgement about sufficiency. A regime in which guidance displaces atoms comparably to the posterior noise without destroying the molecule may exist under a different gradient normalisation, a different predictor scale, or a schedule that concentrates the nudge in late steps; variant B1 of Chapter V tests the first of these and does not rescue the result, but the space is not exhausted by a λ sweep alone.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IV.5.4</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A Fuller Information-Content Audit: What Representation Predicts Affinity?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Table 4.4 established that a ligand-only random forest on ECFP4 fingerprints (R² 0.195) did not match the EGNN (0.342). This section asks the same question with a wider and, as it turns out, more damaging set of ligand-only representations, together with every other feature block that could plausibly be swapped in as a guidance signal: pocket-only descriptors, raw and size-normalised contact-count fingerprints (ECIF), and the typed non-covalent interaction counts (PLIP) considered as a guidance representation in Chapter III. All comparisons below use the leakage-safe split of Section IV.4, target-clustered bootstrap confidence intervals (B = 2,000) and Benjamini–Hochberg correction across every pairwise comparison reported together, following the statistical protocol of Section III.6.</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IV.6.1</w:t>
        <w:tab/>
      </w:r>
      <w:r>
        <w:rPr>
          <w:rFonts w:ascii="Times New Roman" w:hAnsi="Times New Roman" w:eastAsia="Times New Roman"/>
          <w:b w:val="0"/>
          <w:i/>
          <w:sz w:val="24"/>
        </w:rPr>
        <w:t>The representation ladder</w:t>
      </w:r>
    </w:p>
    <w:p>
      <w:pPr>
        <w:keepNext w:val="0"/>
        <w:keepLines w:val="0"/>
        <w:widowControl/>
        <w:spacing w:line="480" w:lineRule="auto" w:before="0" w:after="0"/>
        <w:ind w:firstLine="720"/>
        <w:jc w:val="both"/>
      </w:pPr>
      <w:r>
        <w:rPr>
          <w:rFonts w:ascii="Times New Roman" w:hAnsi="Times New Roman" w:eastAsia="Times New Roman"/>
          <w:b w:val="0"/>
          <w:i w:val="0"/>
          <w:sz w:val="24"/>
        </w:rPr>
        <w:t>Table 4.7 reports the held-out R² of eight representation blocks, each paired with the model (ridge regression or a gradient-boosted tree) that performed best on it in a light hyper-parameter search.</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Because this section's conclusion turns on a comparison between models, the budget each one received has to be stated, or the comparison is not interpretable. Two asymmetries exist and they point in opposite directions. Within the ladder the budget is deliberately </w:t>
      </w:r>
      <w:r>
        <w:rPr>
          <w:rFonts w:ascii="Times New Roman" w:hAnsi="Times New Roman" w:eastAsia="Times New Roman"/>
          <w:b w:val="0"/>
          <w:i/>
          <w:sz w:val="24"/>
        </w:rPr>
        <w:t>symmetric</w:t>
      </w:r>
      <w:r>
        <w:rPr>
          <w:rFonts w:ascii="Times New Roman" w:hAnsi="Times New Roman" w:eastAsia="Times New Roman"/>
          <w:b w:val="0"/>
          <w:i w:val="0"/>
          <w:sz w:val="24"/>
        </w:rPr>
        <w:t xml:space="preserve">: every block, ligand-only and pocket-aware alike, is fitted with the same five ridge penalties and the same single gradient-boosting configuration, the better of the two families is chosen on the validation set only, and the test set is scored once. Both families are tried for every block precisely so that a block is not penalised for happening to suit one regressor, since the question asked is what the </w:t>
      </w:r>
      <w:r>
        <w:rPr>
          <w:rFonts w:ascii="Times New Roman" w:hAnsi="Times New Roman" w:eastAsia="Times New Roman"/>
          <w:b w:val="0"/>
          <w:i/>
          <w:sz w:val="24"/>
        </w:rPr>
        <w:t>information</w:t>
      </w:r>
      <w:r>
        <w:rPr>
          <w:rFonts w:ascii="Times New Roman" w:hAnsi="Times New Roman" w:eastAsia="Times New Roman"/>
          <w:b w:val="0"/>
          <w:i w:val="0"/>
          <w:sz w:val="24"/>
        </w:rPr>
        <w:t xml:space="preserve"> is worth rather than which regressor fits it best. Between the ladder and the EGNN the budget is sharply </w:t>
      </w:r>
      <w:r>
        <w:rPr>
          <w:rFonts w:ascii="Times New Roman" w:hAnsi="Times New Roman" w:eastAsia="Times New Roman"/>
          <w:b w:val="0"/>
          <w:i/>
          <w:sz w:val="24"/>
        </w:rPr>
        <w:t>asymmetric</w:t>
      </w:r>
      <w:r>
        <w:rPr>
          <w:rFonts w:ascii="Times New Roman" w:hAnsi="Times New Roman" w:eastAsia="Times New Roman"/>
          <w:b w:val="0"/>
          <w:i w:val="0"/>
          <w:sz w:val="24"/>
        </w:rPr>
        <w:t xml:space="preserve">, and the asymmetry favours the structure-aware model: the EGNN received hours of GPU training with early stopping on a validation set, while the ligand-only ridge that matches it received six cheap fits. A reader inclined to object that the baselines were under-tuned should note that the objection runs the wrong way here. The finding is that a model given far less compute, and no protein information at all, is statistically indistinguishable from one given far more and the entire pocket; a </w:t>
      </w:r>
      <w:r>
        <w:rPr>
          <w:rFonts w:ascii="Times New Roman" w:hAnsi="Times New Roman" w:eastAsia="Times New Roman"/>
          <w:b w:val="0"/>
          <w:i/>
          <w:sz w:val="24"/>
        </w:rPr>
        <w:t>better</w:t>
      </w:r>
      <w:r>
        <w:rPr>
          <w:rFonts w:ascii="Times New Roman" w:hAnsi="Times New Roman" w:eastAsia="Times New Roman"/>
          <w:b w:val="0"/>
          <w:i w:val="0"/>
          <w:sz w:val="24"/>
        </w:rPr>
        <w:t>-tuned ligand-only baseline could only widen that result, not narrow it. A 14-descriptor ligand-only block (molecular weight, logP, topological polar surface area, rotatable-bond count and ten related RDKit descriptors, no protein information at all) reaches R² = 0.3531, matching the EGNN's 0.3420 (single seed) and 0.3437 (three-seed mean, SD 0.0377). A single feature, the ligand's heavy-atom count alone, reaches R² = 0.3069, 90% of the structure-aware model's variance explained. A 38-descriptor pocket-only block, with no ligand information and evaluated on unseen targets, reaches R² = 0.2889.</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4.7</w:t>
        <w:tab/>
        <w:t>Representation ladder: held-out R² of each information source (test, 127 target clusters,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455"/>
            <w:shd w:val="clear" w:fill="E7E9EE"/>
          </w:tcPr>
          <w:p>
            <w:pPr>
              <w:keepNext w:val="0"/>
              <w:keepLines w:val="0"/>
              <w:widowControl/>
              <w:spacing w:line="240" w:lineRule="auto" w:before="20" w:after="20"/>
              <w:jc w:val="center"/>
            </w:pPr>
            <w:r>
              <w:rPr>
                <w:rFonts w:ascii="Times New Roman" w:hAnsi="Times New Roman" w:eastAsia="Times New Roman"/>
                <w:b/>
                <w:i w:val="0"/>
                <w:sz w:val="20"/>
              </w:rPr>
              <w:t>Representation block</w:t>
            </w:r>
          </w:p>
        </w:tc>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20"/>
              </w:rPr>
              <w:t>Dim.</w:t>
            </w:r>
          </w:p>
        </w:tc>
        <w:tc>
          <w:tcPr>
            <w:tcW w:type="dxa" w:w="1909"/>
            <w:shd w:val="clear" w:fill="E7E9EE"/>
          </w:tcPr>
          <w:p>
            <w:pPr>
              <w:keepNext w:val="0"/>
              <w:keepLines w:val="0"/>
              <w:widowControl/>
              <w:spacing w:line="240" w:lineRule="auto" w:before="20" w:after="20"/>
              <w:jc w:val="center"/>
            </w:pPr>
            <w:r>
              <w:rPr>
                <w:rFonts w:ascii="Times New Roman" w:hAnsi="Times New Roman" w:eastAsia="Times New Roman"/>
                <w:b/>
                <w:i w:val="0"/>
                <w:sz w:val="20"/>
              </w:rPr>
              <w:t>Best model</w:t>
            </w:r>
          </w:p>
        </w:tc>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1455"/>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Ligand-only (14 RDKit descriptors)</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0.3534</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[0.208, 0.447]</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Heavy-atom count alone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1</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0.3069</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Pocket-only (38 descriptors, no ligand)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38</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0.2889</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[0.153, 0.376]</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ECIF, raw contact counts</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72</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0.3701</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[0.213, 0.473]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ECIF, size-normalised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72</w:t>
            </w:r>
          </w:p>
        </w:tc>
        <w:tc>
          <w:tcPr>
            <w:tcW w:type="dxa" w:w="1909"/>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0.2077</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[0.021, 0.348]</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ECIF, size-normalised + one size covariate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73</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0.3547</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[0.207, 0.454]</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raw</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909"/>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0.0743</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[−0.093, 0.173]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PLIP typed interaction counts, size-normalised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4</w:t>
            </w:r>
          </w:p>
        </w:tc>
        <w:tc>
          <w:tcPr>
            <w:tcW w:type="dxa" w:w="1909"/>
          </w:tcPr>
          <w:p>
            <w:pPr>
              <w:keepNext w:val="0"/>
              <w:keepLines w:val="0"/>
              <w:widowControl/>
              <w:spacing w:line="240" w:lineRule="auto" w:before="20" w:after="20"/>
              <w:jc w:val="left"/>
            </w:pPr>
            <w:r>
              <w:rPr>
                <w:rFonts w:ascii="Times New Roman" w:hAnsi="Times New Roman" w:eastAsia="Times New Roman"/>
                <w:b w:val="0"/>
                <w:i w:val="0"/>
                <w:sz w:val="20"/>
              </w:rPr>
              <w:t>gradient-boosted tree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0.0822</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[−0.043, 0.173]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PLIP counts + one size covariate (heavy-atom count)</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5</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0.3241</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[0.167, 0.430]</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Ligand + pocket (both sources combined)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52</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0.3832</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[0.201, 0.496]</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All blocks combined</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124</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ridge</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0.3639</w:t>
            </w:r>
          </w:p>
        </w:tc>
        <w:tc>
          <w:tcPr>
            <w:tcW w:type="dxa" w:w="1455"/>
          </w:tcPr>
          <w:p>
            <w:pPr>
              <w:keepNext w:val="0"/>
              <w:keepLines w:val="0"/>
              <w:widowControl/>
              <w:spacing w:line="240" w:lineRule="auto" w:before="20" w:after="20"/>
              <w:jc w:val="center"/>
            </w:pPr>
            <w:r>
              <w:rPr>
                <w:rFonts w:ascii="Times New Roman" w:hAnsi="Times New Roman" w:eastAsia="Times New Roman"/>
                <w:b w:val="0"/>
                <w:i w:val="0"/>
                <w:sz w:val="20"/>
              </w:rPr>
              <w:t>[0.175, 0.483]</w:t>
            </w:r>
          </w:p>
        </w:tc>
      </w:tr>
      <w:tr>
        <w:trPr>
          <w:cantSplit/>
        </w:trPr>
        <w:tc>
          <w:tcPr>
            <w:tcW w:type="dxa" w:w="3455"/>
          </w:tcPr>
          <w:p>
            <w:pPr>
              <w:keepNext w:val="0"/>
              <w:keepLines w:val="0"/>
              <w:widowControl/>
              <w:spacing w:line="240" w:lineRule="auto" w:before="20" w:after="20"/>
              <w:jc w:val="left"/>
            </w:pPr>
            <w:r>
              <w:rPr>
                <w:rFonts w:ascii="Times New Roman" w:hAnsi="Times New Roman" w:eastAsia="Times New Roman"/>
                <w:b w:val="0"/>
                <w:i w:val="0"/>
                <w:sz w:val="20"/>
              </w:rPr>
              <w:t>EGNN Stage 0 (three-seed mean)</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909"/>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745"/>
          </w:tcPr>
          <w:p>
            <w:pPr>
              <w:keepNext w:val="0"/>
              <w:keepLines w:val="0"/>
              <w:widowControl/>
              <w:spacing w:line="240" w:lineRule="auto" w:before="20" w:after="20"/>
              <w:jc w:val="center"/>
            </w:pPr>
            <w:r>
              <w:rPr>
                <w:rFonts w:ascii="Times New Roman" w:hAnsi="Times New Roman" w:eastAsia="Times New Roman"/>
                <w:b w:val="0"/>
                <w:i w:val="0"/>
                <w:sz w:val="20"/>
              </w:rPr>
              <w:t>0.3437</w:t>
            </w:r>
          </w:p>
        </w:tc>
        <w:tc>
          <w:tcPr>
            <w:tcW w:type="dxa" w:w="1455"/>
          </w:tcPr>
          <w:p>
            <w:pPr>
              <w:keepNext w:val="0"/>
              <w:keepLines w:val="0"/>
              <w:widowControl/>
              <w:spacing w:line="240" w:lineRule="auto" w:before="20" w:after="20"/>
              <w:jc w:val="left"/>
            </w:pPr>
            <w:r>
              <w:rPr>
                <w:rFonts w:ascii="Times New Roman" w:hAnsi="Times New Roman" w:eastAsia="Times New Roman"/>
                <w:b w:val="0"/>
                <w:i w:val="0"/>
                <w:sz w:val="20"/>
              </w:rPr>
              <w:t>SD 0.0377, n = 3</w:t>
            </w:r>
          </w:p>
        </w:tc>
      </w:tr>
    </w:tbl>
    <w:p>
      <w:pPr>
        <w:keepNext w:val="0"/>
        <w:keepLines w:val="0"/>
        <w:widowControl/>
        <w:spacing w:line="240" w:lineRule="auto" w:before="80" w:after="0"/>
        <w:jc w:val="both"/>
      </w:pPr>
      <w:r>
        <w:rPr>
          <w:rFonts w:ascii="Times New Roman" w:hAnsi="Times New Roman" w:eastAsia="Times New Roman"/>
          <w:b w:val="0"/>
          <w:i w:val="0"/>
          <w:sz w:val="20"/>
        </w:rPr>
        <w:t>Every ladder block carries a target-clustered bootstrap interval from the same run (`guidance/cheminformatics/representation_ladder_results.json`, B = 2,000 over 127 target clusters); the heavy-atom row is the one exception, as it comes from the dedicated ligand-only baseline script rather than from the ladder. The intervals are wide and overlap one another almost completely, which is the substantive point of the table rather than a defect in it: the ordering of the point estimates is not a ranking, and the pairwise tests reported below, not the column of point estimates, are what license every comparative claim in this section. The model column records which family won on the validation set for that block, not a family chosen in advance. The ligand-only block appears twice in this thesis with slightly different values, and the difference is a fitting detail rather than a disagreement: the ladder refits it inside its own alpha grid and reaches R² = 0.3534, while the dedicated ligand-only baseline script reaches R² = 0.3531 on the same features and split. The latter is the figure used wherever this thesis refers to the ligand-only ceiling, including the power analysis of Section IV.8, because that script is also the source of the heavy-atom and ECFP baselines quoted alongside 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IV.6.2</w:t>
        <w:tab/>
      </w:r>
      <w:r>
        <w:rPr>
          <w:rFonts w:ascii="Times New Roman" w:hAnsi="Times New Roman" w:eastAsia="Times New Roman"/>
          <w:b w:val="0"/>
          <w:i/>
          <w:sz w:val="24"/>
        </w:rPr>
        <w:t>Ligand size, not interaction identity, is the dominant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findings converge. First, combining ligand and pocket information produced no gain over either source alone (ligand+pocket vs. ligand: tie; vs. pocket: tie, after correction), so the two sources are largely redundant rather than complementary on this split. Second, the raw ECIF contact-count fingerprint (0.3701) significantly outperformed its own size-normalised variant (0.2077; ΔR² = +0.1625, q = 0.013), indicating that most of its apparent signal is a re-encoding of ligand size through contact </w:t>
      </w:r>
      <w:r>
        <w:rPr>
          <w:rFonts w:ascii="Times New Roman" w:hAnsi="Times New Roman" w:eastAsia="Times New Roman"/>
          <w:b w:val="0"/>
          <w:i/>
          <w:sz w:val="24"/>
        </w:rPr>
        <w:t>count</w:t>
      </w:r>
      <w:r>
        <w:rPr>
          <w:rFonts w:ascii="Times New Roman" w:hAnsi="Times New Roman" w:eastAsia="Times New Roman"/>
          <w:b w:val="0"/>
          <w:i w:val="0"/>
          <w:sz w:val="24"/>
        </w:rPr>
        <w:t xml:space="preserve"> rather than contact </w:t>
      </w:r>
      <w:r>
        <w:rPr>
          <w:rFonts w:ascii="Times New Roman" w:hAnsi="Times New Roman" w:eastAsia="Times New Roman"/>
          <w:b w:val="0"/>
          <w:i/>
          <w:sz w:val="24"/>
        </w:rPr>
        <w:t>identity</w:t>
      </w:r>
      <w:r>
        <w:rPr>
          <w:rFonts w:ascii="Times New Roman" w:hAnsi="Times New Roman" w:eastAsia="Times New Roman"/>
          <w:b w:val="0"/>
          <w:i w:val="0"/>
          <w:sz w:val="24"/>
        </w:rPr>
        <w:t>; a specific prior claim that a size-normalised interaction fingerprint of this kind should retain the relevant signal (the CORDIAL finding of Brown et al., reviewed in Chapter II) was not supported on this split, since the normalised fingerprint tied with both ligand-only and pocket-only marginals rather than exceeding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Third, and sharper still, the same pattern holds for a representation that is chemically explicit by design rather than only implicitly size-correlated. Four typed non-covalent interaction counts (hydrogen bond, hydrophobic contact, π-stacking and salt bridge, extracted with PLIP and summed per complex, the coarsest possible typed-interaction representation and the one considered for guidance in Chapter III) explain almost no variance on their own (R² 0.07–0.08) and lose significantly to both the ligand-only block (ΔR² = −0.2712, q = 0.003) and the pocket-only block (ΔR² = −0.2066, q = 0.003). Unlike the ECIF pair, the raw and size-normalised PLIP counts did not differ from each other (ΔR² = −0.0080, q = 0.870), so this particular block carries no detectable confound between its raw and normalised forms considered alone; what moves the result is adding a single explicit size covariate (heavy-atom count) to the four interaction counts, which raises R² from 0.0822 to 0.3241 (ΔR² = +0.2419, q &lt; 0.001). A representation built specifically to describe </w:t>
      </w:r>
      <w:r>
        <w:rPr>
          <w:rFonts w:ascii="Times New Roman" w:hAnsi="Times New Roman" w:eastAsia="Times New Roman"/>
          <w:b w:val="0"/>
          <w:i/>
          <w:sz w:val="24"/>
        </w:rPr>
        <w:t>what kind</w:t>
      </w:r>
      <w:r>
        <w:rPr>
          <w:rFonts w:ascii="Times New Roman" w:hAnsi="Times New Roman" w:eastAsia="Times New Roman"/>
          <w:b w:val="0"/>
          <w:i w:val="0"/>
          <w:sz w:val="24"/>
        </w:rPr>
        <w:t xml:space="preserve"> of contact a ligand makes is, on this split, dominated by </w:t>
      </w:r>
      <w:r>
        <w:rPr>
          <w:rFonts w:ascii="Times New Roman" w:hAnsi="Times New Roman" w:eastAsia="Times New Roman"/>
          <w:b w:val="0"/>
          <w:i/>
          <w:sz w:val="24"/>
        </w:rPr>
        <w:t>how big</w:t>
      </w:r>
      <w:r>
        <w:rPr>
          <w:rFonts w:ascii="Times New Roman" w:hAnsi="Times New Roman" w:eastAsia="Times New Roman"/>
          <w:b w:val="0"/>
          <w:i w:val="0"/>
          <w:sz w:val="24"/>
        </w:rPr>
        <w:t xml:space="preserve"> the ligand is to a degree comparable to, and in this instance sharper than, the simpler ECIF count fingerprint.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IV.6.3</w:t>
        <w:tab/>
      </w:r>
      <w:r>
        <w:rPr>
          <w:rFonts w:ascii="Times New Roman" w:hAnsi="Times New Roman" w:eastAsia="Times New Roman"/>
          <w:b w:val="0"/>
          <w:i/>
          <w:sz w:val="24"/>
        </w:rPr>
        <w:t>Structure rarely beats ligand-only, after correction</w:t>
      </w:r>
    </w:p>
    <w:p>
      <w:pPr>
        <w:keepNext w:val="0"/>
        <w:keepLines w:val="0"/>
        <w:widowControl/>
        <w:spacing w:line="480" w:lineRule="auto" w:before="0" w:after="0"/>
        <w:ind w:firstLine="720"/>
        <w:jc w:val="both"/>
      </w:pPr>
      <w:r>
        <w:rPr>
          <w:rFonts w:ascii="Times New Roman" w:hAnsi="Times New Roman" w:eastAsia="Times New Roman"/>
          <w:b w:val="0"/>
          <w:i w:val="0"/>
          <w:sz w:val="24"/>
        </w:rPr>
        <w:t>A systematic pairwise comparison of every representation block against every other, 40 comparisons in total with Benjamini–Hochberg correction, found 12 cases where a structure-aware block significantly outperformed a ligand-only block, 28 ties, and zero cases where a ligand-only block significantly outperformed a structure-aware one. Three nominally significant wins for structure (p = 0.039, 0.044 and 0.049 before correction) did not survive the correction (q = 0.12–0.13) and are reported as ties. This is consistent with, and sharpens, the single comparison of Table 4.4: on a target-disjoint, leakage-safe split, no representation of the binding pocket tested in this thesis, including a chemically typed interaction representation, reliably outperforms a 14-descriptor model of the ligand alone. Figure 4.3 shows the same ladder with its intervals drawn, which is the form in which the overlap, rather than the ordering, is visible.</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57676"/>
            <wp:docPr id="8" name="Picture 8"/>
            <wp:cNvGraphicFramePr>
              <a:graphicFrameLocks noChangeAspect="1"/>
            </wp:cNvGraphicFramePr>
            <a:graphic>
              <a:graphicData uri="http://schemas.openxmlformats.org/drawingml/2006/picture">
                <pic:pic>
                  <pic:nvPicPr>
                    <pic:cNvPr id="0" name="fig_representation_ladder.png"/>
                    <pic:cNvPicPr/>
                  </pic:nvPicPr>
                  <pic:blipFill>
                    <a:blip r:embed="rId40"/>
                    <a:stretch>
                      <a:fillRect/>
                    </a:stretch>
                  </pic:blipFill>
                  <pic:spPr>
                    <a:xfrm>
                      <a:off x="0" y="0"/>
                      <a:ext cx="5276088" cy="315767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4.3</w:t>
        <w:tab/>
        <w:t>The representation ladder of Table 4.7, drawn with its intervals. Horizontal bars are held-out R² on the leakage-safe, target-disjoint test set; whiskers are 95% target-clustered bootstrap intervals (B = 2,000 over 127 target clusters). Colour marks what the block contains, not how well it did: green for blocks that include ligand information, blue for the pocket-only block, orange for the interaction-count blocks. Each row is annotated with the verdict of its pairwise bootstrap test against the ligand-only block after Benjamini–Hochberg correction, and rows for which no such test was computed say so rather than being left to be read as wins. Every interval overlaps the ligand-only interval, and no block significantly exceeds it; the one significant difference against the ligand-only baseline runs the other way (normalised PLIP counts, q = 0.003). The vertical lines mark the class-level prior (0.2468) and the estimated label-noise ceiling (0.5776) from Table 4.9.</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IV.7</w:t>
        <w:tab/>
      </w:r>
      <w:r>
        <w:rPr>
          <w:rFonts w:ascii="Times New Roman" w:hAnsi="Times New Roman" w:eastAsia="Times New Roman"/>
          <w:b/>
          <w:i w:val="0"/>
          <w:sz w:val="24"/>
        </w:rPr>
        <w:t>Does More Training Data Close the Gap? Augmenting with BindingNet</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 examined so far was trained only on CrossDocked2020. A separate question is whether its ceiling is a property of the architecture and representation, which the previous section addresses, or simply of training-set size and diversity. BindingNet is a larger, structurally paired affinity data set; this section reports a dedicated training-data-composition study (Arms 0, B, A and C) that augments the CrossDocked training pool with BindingNet rows and asks whether the resulting predictor closes the distance to the ligand-only ceiling (0.3531) or exceeds the class-level prior established in Section IV.8.</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IV.7.1</w:t>
        <w:tab/>
      </w:r>
      <w:r>
        <w:rPr>
          <w:rFonts w:ascii="Times New Roman" w:hAnsi="Times New Roman" w:eastAsia="Times New Roman"/>
          <w:b w:val="0"/>
          <w:i/>
          <w:sz w:val="24"/>
        </w:rPr>
        <w:t>A compound-level leak, found and removed before it could inflate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Before the production arms were run, a compound-level leakage audit of the combined CrossDocked–BindingNet pool found that 423 of 124,973 candidate training rows (0.34%) shared a ligand, by exact structure match, with a row in the validation or test partition. Measured the other way, the affected ligands accounted for 10.12% of evaluation records (1,814 of 17,924) and 8.6% of distinct validation/test ligands, a thirty-fold difference between the two ways of expressing the same leak that illustrates why a leakage audit must be read from the evaluation side, not only from the training side, to judge its practical severity. A seed-by-seed replay of the exact sampling used for an earlier exploratory run (Arm B, seed 2021) found actual per-seed exposure of 3.06–4.65% of evaluation records across three seeds. A filter was built and applied before any production arm was trained, removing the 423 rows (123 distinct compounds) and is enforced in code, not only upstream in a cached file, by `train_surrogate_arm.py`'s `compound_filter=True` default, which raises explicitly if its reference summary file is missing.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IV.7.2</w:t>
        <w:tab/>
      </w:r>
      <w:r>
        <w:rPr>
          <w:rFonts w:ascii="Times New Roman" w:hAnsi="Times New Roman" w:eastAsia="Times New Roman"/>
          <w:b w:val="0"/>
          <w:i/>
          <w:sz w:val="24"/>
        </w:rPr>
        <w:t>Arm A versus Arm C: pure CrossDocked outperforms BindingNet augmentation at matched size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arms, each with three seeds, were trained under the batch-size-1, no-mixed-precision regime validated in Section III.7 (an earlier batch-size-4, mixed-precision configuration was rejected at an explicit quality gate, described in that same section, because of oscillating validation R² and markedly worse final quality). Arm A trained on 20,000 CrossDocked rows only. Arm C trained on the production composition (6,000 CrossDocked plus 14,000 BindingNet rows, matched to the total row count of Arm A) drawn from the leakage-filtered pool. Table 4.8 reports the result, alongside the earlier Arm B-match run (the same composition as Arm C, but from the pool </w:t>
      </w:r>
      <w:r>
        <w:rPr>
          <w:rFonts w:ascii="Times New Roman" w:hAnsi="Times New Roman" w:eastAsia="Times New Roman"/>
          <w:b w:val="0"/>
          <w:i/>
          <w:sz w:val="24"/>
        </w:rPr>
        <w:t>before</w:t>
      </w:r>
      <w:r>
        <w:rPr>
          <w:rFonts w:ascii="Times New Roman" w:hAnsi="Times New Roman" w:eastAsia="Times New Roman"/>
          <w:b w:val="0"/>
          <w:i w:val="0"/>
          <w:sz w:val="24"/>
        </w:rPr>
        <w:t xml:space="preserve"> the compound filter existed, included as a check of the filter's practical effect).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4.8</w:t>
        <w:tab/>
        <w:t>Surrogate predictor, training-data composition (3 seeds per arm, validation R², B = 2,000)</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Arm</w:t>
            </w:r>
          </w:p>
        </w:tc>
        <w:tc>
          <w:tcPr>
            <w:tcW w:type="dxa" w:w="2683"/>
            <w:shd w:val="clear" w:fill="E7E9EE"/>
          </w:tcPr>
          <w:p>
            <w:pPr>
              <w:keepNext w:val="0"/>
              <w:keepLines w:val="0"/>
              <w:widowControl/>
              <w:spacing w:line="240" w:lineRule="auto" w:before="20" w:after="20"/>
              <w:jc w:val="center"/>
            </w:pPr>
            <w:r>
              <w:rPr>
                <w:rFonts w:ascii="Times New Roman" w:hAnsi="Times New Roman" w:eastAsia="Times New Roman"/>
                <w:b/>
                <w:i w:val="0"/>
                <w:sz w:val="20"/>
              </w:rPr>
              <w:t>Composition</w:t>
            </w:r>
          </w:p>
        </w:tc>
        <w:tc>
          <w:tcPr>
            <w:tcW w:type="dxa" w:w="1342"/>
            <w:shd w:val="clear" w:fill="E7E9EE"/>
          </w:tcPr>
          <w:p>
            <w:pPr>
              <w:keepNext w:val="0"/>
              <w:keepLines w:val="0"/>
              <w:widowControl/>
              <w:spacing w:line="240" w:lineRule="auto" w:before="20" w:after="20"/>
              <w:jc w:val="center"/>
            </w:pPr>
            <w:r>
              <w:rPr>
                <w:rFonts w:ascii="Times New Roman" w:hAnsi="Times New Roman" w:eastAsia="Times New Roman"/>
                <w:b/>
                <w:i w:val="0"/>
                <w:sz w:val="20"/>
              </w:rPr>
              <w:t>Seed R² values</w:t>
            </w:r>
          </w:p>
        </w:tc>
        <w:tc>
          <w:tcPr>
            <w:tcW w:type="dxa" w:w="75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w:t>
            </w:r>
          </w:p>
        </w:tc>
        <w:tc>
          <w:tcPr>
            <w:tcW w:type="dxa" w:w="847"/>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A</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20,000 rows, CrossDocked only</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0.351, 0.344, 0.391</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0.362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[0.299, 0.425]</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leakage-filtered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0.271, 0.292, 0.253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0.272</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[0.224, 0.320]</w:t>
            </w:r>
          </w:p>
        </w:tc>
      </w:tr>
      <w:tr>
        <w:trPr>
          <w:cantSplit/>
        </w:trPr>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Arm B-match (pre-filter pool, same composition as Arm C)</w:t>
            </w:r>
          </w:p>
        </w:tc>
        <w:tc>
          <w:tcPr>
            <w:tcW w:type="dxa" w:w="2683"/>
          </w:tcPr>
          <w:p>
            <w:pPr>
              <w:keepNext w:val="0"/>
              <w:keepLines w:val="0"/>
              <w:widowControl/>
              <w:spacing w:line="240" w:lineRule="auto" w:before="20" w:after="20"/>
              <w:jc w:val="left"/>
            </w:pPr>
            <w:r>
              <w:rPr>
                <w:rFonts w:ascii="Times New Roman" w:hAnsi="Times New Roman" w:eastAsia="Times New Roman"/>
                <w:b w:val="0"/>
                <w:i w:val="0"/>
                <w:sz w:val="20"/>
              </w:rPr>
              <w:t>6,000 CrossDocked + 14,000 BindingNet, unfiltered</w:t>
            </w:r>
          </w:p>
        </w:tc>
        <w:tc>
          <w:tcPr>
            <w:tcW w:type="dxa" w:w="1342"/>
          </w:tcPr>
          <w:p>
            <w:pPr>
              <w:keepNext w:val="0"/>
              <w:keepLines w:val="0"/>
              <w:widowControl/>
              <w:spacing w:line="240" w:lineRule="auto" w:before="20" w:after="20"/>
              <w:jc w:val="left"/>
            </w:pPr>
            <w:r>
              <w:rPr>
                <w:rFonts w:ascii="Times New Roman" w:hAnsi="Times New Roman" w:eastAsia="Times New Roman"/>
                <w:b w:val="0"/>
                <w:i w:val="0"/>
                <w:sz w:val="20"/>
              </w:rPr>
              <w:t>0.298, 0.254, 0.283</w:t>
            </w:r>
          </w:p>
        </w:tc>
        <w:tc>
          <w:tcPr>
            <w:tcW w:type="dxa" w:w="754"/>
          </w:tcPr>
          <w:p>
            <w:pPr>
              <w:keepNext w:val="0"/>
              <w:keepLines w:val="0"/>
              <w:widowControl/>
              <w:spacing w:line="240" w:lineRule="auto" w:before="20" w:after="20"/>
              <w:jc w:val="center"/>
            </w:pPr>
            <w:r>
              <w:rPr>
                <w:rFonts w:ascii="Times New Roman" w:hAnsi="Times New Roman" w:eastAsia="Times New Roman"/>
                <w:b w:val="0"/>
                <w:i w:val="0"/>
                <w:sz w:val="20"/>
              </w:rPr>
              <w:t>0.278</w:t>
            </w:r>
          </w:p>
        </w:tc>
        <w:tc>
          <w:tcPr>
            <w:tcW w:type="dxa" w:w="847"/>
          </w:tcPr>
          <w:p>
            <w:pPr>
              <w:keepNext w:val="0"/>
              <w:keepLines w:val="0"/>
              <w:widowControl/>
              <w:spacing w:line="240" w:lineRule="auto" w:before="20" w:after="20"/>
              <w:jc w:val="center"/>
            </w:pPr>
            <w:r>
              <w:rPr>
                <w:rFonts w:ascii="Times New Roman" w:hAnsi="Times New Roman" w:eastAsia="Times New Roman"/>
                <w:b w:val="0"/>
                <w:i w:val="0"/>
                <w:sz w:val="20"/>
              </w:rPr>
              <w:t>[0.223, 0.334]</w:t>
            </w:r>
          </w:p>
        </w:tc>
      </w:tr>
    </w:tbl>
    <w:p>
      <w:pPr>
        <w:keepNext w:val="0"/>
        <w:keepLines w:val="0"/>
        <w:widowControl/>
        <w:spacing w:line="240" w:lineRule="auto" w:before="80" w:after="0"/>
        <w:jc w:val="both"/>
      </w:pPr>
      <w:r>
        <w:rPr>
          <w:rFonts w:ascii="Times New Roman" w:hAnsi="Times New Roman" w:eastAsia="Times New Roman"/>
          <w:b w:val="0"/>
          <w:i w:val="0"/>
          <w:sz w:val="20"/>
        </w:rPr>
        <w:t>Comparisons across arms are descriptive (per-arm point estimate and marginal bootstrap CI, n = 3 seeds); a formal target-clustered paired test on matched evaluation rows was not run and would be needed before a significance claim is made. The arms were not budget-matched, and the imbalance runs against the weaker arm: Arm C trained for 38 epochs over 24.6 h against Arm A's 27 epochs over 17.0 h at the same per-epoch throughput (Table A.1), so Arm C's lower R² cannot be attributed to under-training.</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Before those numbers are interpreted, one confound has to be named, because it offers a competing explanation that the design cannot exclude. Matching the two arms on total row count does not match them on </w:t>
      </w:r>
      <w:r>
        <w:rPr>
          <w:rFonts w:ascii="Times New Roman" w:hAnsi="Times New Roman" w:eastAsia="Times New Roman"/>
          <w:b w:val="0"/>
          <w:i/>
          <w:sz w:val="24"/>
        </w:rPr>
        <w:t>domain</w:t>
      </w:r>
      <w:r>
        <w:rPr>
          <w:rFonts w:ascii="Times New Roman" w:hAnsi="Times New Roman" w:eastAsia="Times New Roman"/>
          <w:b w:val="0"/>
          <w:i w:val="0"/>
          <w:sz w:val="24"/>
        </w:rPr>
        <w:t xml:space="preserve">. The BindingNet rows are compounds aligned into a crystal template, whereas both the validation and the test partitions, and all of Arm A's training data, are CrossDocked docked-and-minimised poses. Arm C therefore trains on a mixture whose larger half is generated by a different procedure from the data it is evaluated on, while Arm A trains and is evaluated entirely in-domain. "Augmenting with BindingNet did not help at matched size" and "training partly out of domain hurt more than the extra data helped" both fit the result, and they are different claims with different implications: the first is about the value of that data, the second about the cost of the mismatch. Separating them would require an arm trained on BindingNet rows re-posed through the CrossDocked pipeline, or evaluation on a BindingNet-style held-out set, neither of which was run. The reading below is therefore stated as a bound on what augmentation achieved </w:t>
      </w:r>
      <w:r>
        <w:rPr>
          <w:rFonts w:ascii="Times New Roman" w:hAnsi="Times New Roman" w:eastAsia="Times New Roman"/>
          <w:b w:val="0"/>
          <w:i/>
          <w:sz w:val="24"/>
        </w:rPr>
        <w:t>under this protocol</w:t>
      </w:r>
      <w:r>
        <w:rPr>
          <w:rFonts w:ascii="Times New Roman" w:hAnsi="Times New Roman" w:eastAsia="Times New Roman"/>
          <w:b w:val="0"/>
          <w:i w:val="0"/>
          <w:sz w:val="24"/>
        </w:rPr>
        <w:t>, not as a property of the data source.</w:t>
      </w: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follow, both stated with the appropriate caveat. First, Arm A's CI95 [0.299, 0.425] comes close to, but does not clearly exceed, the ligand-only ceiling of 0.3531; Arm C's CI95 [0.224, 0.320] does not reach the ligand-only ceiling at all, and its lower bound sits below the point estimate of the class-level prior established in the next section (0.2468), so Arm C cannot be confidently distinguished from a predictor that has learned no more than the typical affinity of a target's protein class. Augmenting the training pool with BindingNet rows, even after removing the compound-level leak, did not close the distance to the ligand-only ceiling at the row counts tested here, and the pure-CrossDocked arm of matched total size performed descriptively better, on a smaller compute budget than the arm it outperformed (Figure 4.4). Second, the compound-level filter itself had little visible effect once applied (Arm C 0.272 against the unfiltered Arm B-match's 0.278, heavily overlapping CIs): the leak identified above does not appear to have been propping up the earlier Arm B result by a large margin, which is a reassuring, if secondary, methodological finding, even though removing the leak remained the correct decision on principle regardless of its measured impact.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707621"/>
            <wp:docPr id="9" name="Picture 9"/>
            <wp:cNvGraphicFramePr>
              <a:graphicFrameLocks noChangeAspect="1"/>
            </wp:cNvGraphicFramePr>
            <a:graphic>
              <a:graphicData uri="http://schemas.openxmlformats.org/drawingml/2006/picture">
                <pic:pic>
                  <pic:nvPicPr>
                    <pic:cNvPr id="0" name="fig_arm_budget.png"/>
                    <pic:cNvPicPr/>
                  </pic:nvPicPr>
                  <pic:blipFill>
                    <a:blip r:embed="rId41"/>
                    <a:stretch>
                      <a:fillRect/>
                    </a:stretch>
                  </pic:blipFill>
                  <pic:spPr>
                    <a:xfrm>
                      <a:off x="0" y="0"/>
                      <a:ext cx="5276088" cy="270762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4.4</w:t>
        <w:tab/>
        <w:t>The two production training-data-composition arms, on quality and on the compute each one actually received. Left: validation R² of each arm, point estimate with the 95% bootstrap interval over its three seeds; the shaded band marks where the two intervals overlap. No paired test between the arms was run on matched evaluation rows, so the vertical ordering is descriptive and no difference is claimed from this panel, as stated in the note to Table 4.8. Right: wall-clock hours consumed by each arm on the single RTX 3050, divided into active compute and time suspended by the thermal gate, with the epoch count and per-epoch rate written above each bar. Hours are plotted alone, rather than beside the epoch counts, because the two are not commensurable on one scale. The budget asymmetry runs against Arm C, which received 38 epochs over 24.59 h against Arm A's 27 epochs over 17.02 h at a comparable 0.63 to 0.65 h per epoch, so Arm C's lower R² cannot be explained by under-training.</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IV.8</w:t>
        <w:tab/>
      </w:r>
      <w:r>
        <w:rPr>
          <w:rFonts w:ascii="Times New Roman" w:hAnsi="Times New Roman" w:eastAsia="Times New Roman"/>
          <w:b/>
          <w:i w:val="0"/>
          <w:sz w:val="24"/>
        </w:rPr>
        <w:t>How Much of the Predictor's Performance Is a Class-Level Prior?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model can appear to read a protein target's binding pocket while, in fact, reading only the target's class membership: a ligand's chemotype can correlate with the typical affinity range of the protein family it was designed against, without the model having learned anything about structure–activity relationships within that target. y-Randomisation, a standard QSAR control against chance correlation [42], was adapted here to isolate this effect specifically: labels are permuted </w:t>
      </w:r>
      <w:r>
        <w:rPr>
          <w:rFonts w:ascii="Times New Roman" w:hAnsi="Times New Roman" w:eastAsia="Times New Roman"/>
          <w:b w:val="0"/>
          <w:i/>
          <w:sz w:val="24"/>
        </w:rPr>
        <w:t>within</w:t>
      </w:r>
      <w:r>
        <w:rPr>
          <w:rFonts w:ascii="Times New Roman" w:hAnsi="Times New Roman" w:eastAsia="Times New Roman"/>
          <w:b w:val="0"/>
          <w:i w:val="0"/>
          <w:sz w:val="24"/>
        </w:rPr>
        <w:t xml:space="preserve"> each target, so the per-target label multiset (and with it, the target's typical affinity range) is preserved, while which ligand carries which label is destroyed. A model that still performs well under this control is reading class membership, not within-target structure–activity relationship.</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IV.8.1</w:t>
        <w:tab/>
      </w:r>
      <w:r>
        <w:rPr>
          <w:rFonts w:ascii="Times New Roman" w:hAnsi="Times New Roman" w:eastAsia="Times New Roman"/>
          <w:b w:val="0"/>
          <w:i/>
          <w:sz w:val="24"/>
        </w:rPr>
        <w:t>Two baselines under within-target permutation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global permutation, which destroys all structure in the labels, served as a first check: the 14-descriptor ligand-only ridge reached a mean R² of only 0.0037 (max 0.0141) under 20 global permutations, far below its real-label performance of 0.3531, confirming that the real-label result is not an artefact of an overly flexible 14-feature model. Under within-target permutation, however, the same ridge model reached R² = 0.2468 (SD 0.0019 across 20 permutations): </w:t>
      </w:r>
      <w:r>
        <w:rPr>
          <w:rFonts w:ascii="Times New Roman" w:hAnsi="Times New Roman" w:eastAsia="Times New Roman"/>
          <w:b/>
          <w:i w:val="0"/>
          <w:sz w:val="24"/>
        </w:rPr>
        <w:t>70% of its real-label performance is reproducible with no within-target signal at all.</w:t>
      </w:r>
      <w:r>
        <w:rPr>
          <w:rFonts w:ascii="Times New Roman" w:hAnsi="Times New Roman" w:eastAsia="Times New Roman"/>
          <w:b w:val="0"/>
          <w:i w:val="0"/>
          <w:sz w:val="24"/>
        </w:rPr>
        <w:t xml:space="preserve"> The same control was then run on the deployed EGNN architecture itself, not only on the descriptor pipeline, by retraining it under its exact Stage 0 hyperparameters and split with training labels permuted within target: it reached R² = 0.307 (Pearson 0.560), compared with 0.342 (Pearson 0.609) for the same architecture trained on real labels. </w:t>
      </w:r>
      <w:r>
        <w:rPr>
          <w:rFonts w:ascii="Times New Roman" w:hAnsi="Times New Roman" w:eastAsia="Times New Roman"/>
          <w:b/>
          <w:i w:val="0"/>
          <w:sz w:val="24"/>
        </w:rPr>
        <w:t>The EGNN reproduces 90% of its own real-label performance (0.307 / 0.342) without any within-target structure–activity signal</w:t>
      </w:r>
      <w:r>
        <w:rPr>
          <w:rFonts w:ascii="Times New Roman" w:hAnsi="Times New Roman" w:eastAsia="Times New Roman"/>
          <w:b w:val="0"/>
          <w:i w:val="0"/>
          <w:sz w:val="24"/>
        </w:rPr>
        <w:t>, a larger fraction than the descriptor baseline's 70%.</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What this control measures, and what it does not, should be stated precisely, because the natural way to describe the result overstates it. The permutation destroys the association between a particular ligand and a particular label while preserving each target's label multiset. What survives is therefore everything predictable from target membership plus whatever the features reveal about it, and the measured quantity is a </w:t>
      </w:r>
      <w:r>
        <w:rPr>
          <w:rFonts w:ascii="Times New Roman" w:hAnsi="Times New Roman" w:eastAsia="Times New Roman"/>
          <w:b w:val="0"/>
          <w:i/>
          <w:sz w:val="24"/>
        </w:rPr>
        <w:t>control-based share of apparent predictive performance</w:t>
      </w:r>
      <w:r>
        <w:rPr>
          <w:rFonts w:ascii="Times New Roman" w:hAnsi="Times New Roman" w:eastAsia="Times New Roman"/>
          <w:b w:val="0"/>
          <w:i w:val="0"/>
          <w:sz w:val="24"/>
        </w:rPr>
        <w:t>: the fraction of a model's score that does not require within-target structure–activity signal. It is not an identification of the pathway by which the model achieves that share. A plausible reading of why the EGNN's share exceeds the descriptor model's is that the EGNN receives 3-D pocket geometry at its input and can therefore condition on target identity directly, whereas the descriptor model has no protein input and must reach the same prior indirectly, through chemotype–family correlation; but this thesis did not run the ablation that would establish it (for example, retraining the EGNN with the protein channel removed or randomised while keeping labels permuted). The 70% and 90% figures are measurements; the explanation of the gap between them is a hypothesis, and is labelled as one here and wherever it recurs.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IV.8.2</w:t>
        <w:tab/>
      </w:r>
      <w:r>
        <w:rPr>
          <w:rFonts w:ascii="Times New Roman" w:hAnsi="Times New Roman" w:eastAsia="Times New Roman"/>
          <w:b w:val="0"/>
          <w:i/>
          <w:sz w:val="24"/>
        </w:rPr>
        <w:t>Consequence: a variance decomposition and a narrower window than it first appears</w:t>
      </w:r>
    </w:p>
    <w:p>
      <w:pPr>
        <w:keepNext w:val="0"/>
        <w:keepLines w:val="0"/>
        <w:widowControl/>
        <w:spacing w:line="480" w:lineRule="auto" w:before="0" w:after="0"/>
        <w:ind w:firstLine="720"/>
        <w:jc w:val="both"/>
      </w:pPr>
      <w:r>
        <w:rPr>
          <w:rFonts w:ascii="Times New Roman" w:hAnsi="Times New Roman" w:eastAsia="Times New Roman"/>
          <w:b w:val="0"/>
          <w:i w:val="0"/>
          <w:sz w:val="24"/>
        </w:rPr>
        <w:t>Table 4.9 assembles the resulting decomposition, using the descriptor pipeline (for which both the chance floor and the class-level prior could be measured without a second GPU retraining) as the reference scale, together with an independently estimated label-noise ceiling (R² ≈ 0.578, from a repeat-measurement correlation of 0.76 reported for this assay class in the literature reviewed in Chapter II).</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4.9</w:t>
        <w:tab/>
        <w:t>Variance decomposition of apparent predictive performance</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385"/>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3924"/>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Chance (labels globally permuted)</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0.0037</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Class-level prior (labels permuted within target)</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0.2468</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Ligand-only ceiling (real labels, 14 descriptors)</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0.3531</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Label-noise ceiling (estimated from repeat-measurement correlation)</w:t>
            </w:r>
          </w:p>
        </w:tc>
        <w:tc>
          <w:tcPr>
            <w:tcW w:type="dxa" w:w="3924"/>
          </w:tcPr>
          <w:p>
            <w:pPr>
              <w:keepNext w:val="0"/>
              <w:keepLines w:val="0"/>
              <w:widowControl/>
              <w:spacing w:line="240" w:lineRule="auto" w:before="20" w:after="20"/>
              <w:jc w:val="center"/>
            </w:pPr>
            <w:r>
              <w:rPr>
                <w:rFonts w:ascii="Times New Roman" w:hAnsi="Times New Roman" w:eastAsia="Times New Roman"/>
                <w:b w:val="0"/>
                <w:i w:val="0"/>
                <w:sz w:val="20"/>
              </w:rPr>
              <w:t>0.5776</w:t>
            </w:r>
          </w:p>
        </w:tc>
      </w:tr>
      <w:tr>
        <w:trPr>
          <w:cantSplit/>
        </w:trPr>
        <w:tc>
          <w:tcPr>
            <w:tcW w:type="dxa" w:w="4385"/>
          </w:tcPr>
          <w:p>
            <w:pPr>
              <w:keepNext w:val="0"/>
              <w:keepLines w:val="0"/>
              <w:widowControl/>
              <w:spacing w:line="240" w:lineRule="auto" w:before="20" w:after="20"/>
              <w:jc w:val="left"/>
            </w:pPr>
            <w:r>
              <w:rPr>
                <w:rFonts w:ascii="Times New Roman" w:hAnsi="Times New Roman" w:eastAsia="Times New Roman"/>
                <w:b w:val="0"/>
                <w:i w:val="0"/>
                <w:sz w:val="20"/>
              </w:rPr>
              <w:t>Signal available beyond the class prior (0.3531 − 0.2468)</w:t>
            </w:r>
          </w:p>
        </w:tc>
        <w:tc>
          <w:tcPr>
            <w:tcW w:type="dxa" w:w="3924"/>
          </w:tcPr>
          <w:p>
            <w:pPr>
              <w:keepNext w:val="0"/>
              <w:keepLines w:val="0"/>
              <w:widowControl/>
              <w:spacing w:line="240" w:lineRule="auto" w:before="20" w:after="20"/>
              <w:jc w:val="left"/>
            </w:pPr>
            <w:r>
              <w:rPr>
                <w:rFonts w:ascii="Times New Roman" w:hAnsi="Times New Roman" w:eastAsia="Times New Roman"/>
                <w:b w:val="0"/>
                <w:i w:val="0"/>
                <w:sz w:val="20"/>
              </w:rPr>
              <w:t>0.3308 under best known conditions</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Read from the correct zero point, that is, from the class-level prior rather than from R² = 0, the structure-aware ensemble of Chapter III's uncertainty suite accounts for 48.5% of the remaining headroom above the class prior, a 14-descriptor ligand-only ridge for 32.1%, and the original Vina docking score for only 4.0% (Figure 4.5). The window within which any of these models' true performance can be distinguished, however, is itself narrow: the gap between the floor (the ligand-only ceiling, 0.3531) and the label-noise ceiling (0.5776) spans only 0.2245 R², which is narrower than the average width of a single target-clustered bootstrap confidence interval measured for this task (0.3871; ratio 0.58). A single comparison reporting a gain of 0.02–0.05 R² against a similarly sized benchmark, a magnitude common in the literature reviewed in Chapter II, cannot in principle resolve where within this window a model sits. This same ceiling is why the argument made earlier in this thesis, that the Stage 0 predictor's moderate correlation (Pearson 0.58–0.65) rules out a trivial explanation for the guidance failures of Chapters V to VII, needs qualification: a model with no protein input at all reaches a comparable correlation by the class-prior route alone, so correlation magnitude on its own does not establish that the predictor has learned pocket-specific structure–activity relationships. This qualification is returned to in Chapter IX.</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92900"/>
            <wp:docPr id="10" name="Picture 10"/>
            <wp:cNvGraphicFramePr>
              <a:graphicFrameLocks noChangeAspect="1"/>
            </wp:cNvGraphicFramePr>
            <a:graphic>
              <a:graphicData uri="http://schemas.openxmlformats.org/drawingml/2006/picture">
                <pic:pic>
                  <pic:nvPicPr>
                    <pic:cNvPr id="0" name="fig_class_prior.png"/>
                    <pic:cNvPicPr/>
                  </pic:nvPicPr>
                  <pic:blipFill>
                    <a:blip r:embed="rId42"/>
                    <a:stretch>
                      <a:fillRect/>
                    </a:stretch>
                  </pic:blipFill>
                  <pic:spPr>
                    <a:xfrm>
                      <a:off x="0" y="0"/>
                      <a:ext cx="5276088" cy="31929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4.5</w:t>
        <w:tab/>
        <w:t>Where each model sits once the zero point is moved from R² = 0 to the class-level prior. Markers are held-out R² on the leakage-safe test set. The three vertical reference lines are the chance floor measured by global label permutation (0.0037), the class-level prior measured by within-target label permutation (0.2468) and the label-noise ceiling estimated from a repeat-measurement correlation for this assay class (0.5776), all from Table 4.9. The shaded region to the left of the class prior is the performance reachable with no within-target structure–activity signal whatsoever; only the green region to its right can represent genuine within-target learning, and each model is annotated with the percentage of that window it occupies. The AutoDock Vina docking score occupies 4% of the window, a 14-descriptor ligand-only ridge with no protein input 32%, and the structure-aware EGNN ensemble 48%. No interval is drawn, because the quantity plotted for each model is a single held-out point estimate rather than a bootstrapped statistic; the width of a typical interval for this task, 0.387 R², is wider than the whole window and is discussed in the text.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literature check run specifically against this decomposition, after it had been measured, did not find the within-target permutation control applied to protein–ligand affinity prediction elsewhere, so the control itself is reported as novel in this setting. It did, however, find contemporaneous and independent work arriving at a compatible conclusion by a different route: MIRAGE [60], a benchmark released while this thesis was being written, reports that apparent generalisation in affinity prediction tracks the amount of historical </w:t>
      </w:r>
      <w:r>
        <w:rPr>
          <w:rFonts w:ascii="Times New Roman" w:hAnsi="Times New Roman" w:eastAsia="Times New Roman"/>
          <w:b w:val="0"/>
          <w:i/>
          <w:sz w:val="24"/>
        </w:rPr>
        <w:t>protein-family support</w:t>
      </w:r>
      <w:r>
        <w:rPr>
          <w:rFonts w:ascii="Times New Roman" w:hAnsi="Times New Roman" w:eastAsia="Times New Roman"/>
          <w:b w:val="0"/>
          <w:i w:val="0"/>
          <w:sz w:val="24"/>
        </w:rPr>
        <w:t xml:space="preserve"> available for a test target rather than ligand chemistry, that controls which cannot exploit the test family stay flat, and that model rankings reverse on novel families. Its proposed reporting standard, performance measured as the excess over a support-insensitive baseline, is the same quantity this section arrives at from the other direction, by constructing that baseline explicitly through label permutation rather than by stratifying on family support. The two do not measure the same thing and neither subsumes the other: MIRAGE localises the effect to family support across models and benchmarks, while the decomposition here localises it within a single deployed architecture and quantifies what fraction of its own performance survives the destruction of within-target structure–activity signal. That two independent methods, applied to different data by different groups in the same period, both conclude that a large share of reported affinity-prediction performance does not come from learning binding chemistry is stronger evidence than either alone, and it is reported here as convergence rather than as priority for either side.</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underlying this entire decomposition are themselves heterogeneous: 37% Kd, 37% IC50 and 26% Ki measurements, and this composition shifts between splits (41% Kd / 33% IC50 in training against 46% IC50 / 26% Kd in test), with IC50 the most assay-condition-dependent of the three and over-represented in the test partition. This is disclosed as a further source of irreducible variance contributing to the label-noise ceiling above, not as a new finding.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IV.8.3</w:t>
        <w:tab/>
      </w:r>
      <w:r>
        <w:rPr>
          <w:rFonts w:ascii="Times New Roman" w:hAnsi="Times New Roman" w:eastAsia="Times New Roman"/>
          <w:b w:val="0"/>
          <w:i/>
          <w:sz w:val="24"/>
        </w:rPr>
        <w:t>Is R² a fair summary? A residual-variance audit</w:t>
      </w:r>
    </w:p>
    <w:p>
      <w:pPr>
        <w:keepNext w:val="0"/>
        <w:keepLines w:val="0"/>
        <w:widowControl/>
        <w:spacing w:line="480" w:lineRule="auto" w:before="0" w:after="0"/>
        <w:ind w:firstLine="720"/>
        <w:jc w:val="both"/>
      </w:pPr>
      <w:r>
        <w:rPr>
          <w:rFonts w:ascii="Times New Roman" w:hAnsi="Times New Roman" w:eastAsia="Times New Roman"/>
          <w:b w:val="0"/>
          <w:i w:val="0"/>
          <w:sz w:val="24"/>
        </w:rPr>
        <w:t>Every predictor comparison in this chapter turns on R², which is a single number summarising a whole error distribution. It is a fair summary only if the error behaves in roughly the same way across the range of the label. Two failure modes would undermine it: residual spread that grows with the prediction, which would make R² flatter whichever model fits the densest part of the range, and a model that tracks the coarse level of the label while having no ability to order molecules within a narrow band, which R² computed over the full range cannot distinguish from genuine predictive skill. Both were measured on the leakage-safe test set for the structure-aware ensemble, the ligand-only ridge and the heavy-atom baseline alike.</w:t>
      </w:r>
    </w:p>
    <w:p>
      <w:pPr>
        <w:keepNext w:val="0"/>
        <w:keepLines w:val="0"/>
        <w:widowControl/>
        <w:spacing w:line="480" w:lineRule="auto" w:before="0" w:after="0"/>
        <w:ind w:firstLine="720"/>
        <w:jc w:val="both"/>
      </w:pPr>
      <w:r>
        <w:rPr>
          <w:rFonts w:ascii="Times New Roman" w:hAnsi="Times New Roman" w:eastAsia="Times New Roman"/>
          <w:b w:val="0"/>
          <w:i w:val="0"/>
          <w:sz w:val="24"/>
        </w:rPr>
        <w:t>On the first, the models pass. Residual standard deviation varies by a factor of 1.50 (structure), 1.53 (ligand-only) and 1.59 (heavy-atom count) between the widest and narrowest decile of the label, which is mild. A Breusch–Pagan style check, the correlation between the squared residual and the prediction, resampled by target rather than by complex so that it is tested at the same unit as every other comparison here, gives +0.042 (95% CI [−0.054, +0.124]) for the structure model, −0.080 ([−0.205, +0.050]) for the ligand-only ridge and −0.036 ([−0.159, +0.109]) for heavy-atom count. All three intervals include zero. There is no evidence of the heteroscedasticity that would make R² an unfair summary here, and that is reported as a check the models passed rather than as a finding.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On the second, the result is less comfortable, and it is the reason this audit is reported rather than filed. Within each decile of the label, the Spearman correlation between prediction and truth has a median of +0.115 for the structure-aware ensemble, +0.121 for the ligand-only ridge and +0.138 for heavy-atom count alone; two to three of the ten deciles are negative for each model. Some attenuation is expected and does not need explaining: restricting the range of a variable attenuates any correlation involving it, so within-band correlations must be smaller than the full-range figure for purely mechanical reasons, and the absolute values cannot be read as "the model is useless inside a band". What range restriction does </w:t>
      </w:r>
      <w:r>
        <w:rPr>
          <w:rFonts w:ascii="Times New Roman" w:hAnsi="Times New Roman" w:eastAsia="Times New Roman"/>
          <w:b w:val="0"/>
          <w:i/>
          <w:sz w:val="24"/>
        </w:rPr>
        <w:t>not</w:t>
      </w:r>
      <w:r>
        <w:rPr>
          <w:rFonts w:ascii="Times New Roman" w:hAnsi="Times New Roman" w:eastAsia="Times New Roman"/>
          <w:b w:val="0"/>
          <w:i w:val="0"/>
          <w:sz w:val="24"/>
        </w:rPr>
        <w:t xml:space="preserve"> explain is the ordering. The single feature that encodes nothing but molecular size has the </w:t>
      </w:r>
      <w:r>
        <w:rPr>
          <w:rFonts w:ascii="Times New Roman" w:hAnsi="Times New Roman" w:eastAsia="Times New Roman"/>
          <w:b w:val="0"/>
          <w:i/>
          <w:sz w:val="24"/>
        </w:rPr>
        <w:t>highest</w:t>
      </w:r>
      <w:r>
        <w:rPr>
          <w:rFonts w:ascii="Times New Roman" w:hAnsi="Times New Roman" w:eastAsia="Times New Roman"/>
          <w:b w:val="0"/>
          <w:i w:val="0"/>
          <w:sz w:val="24"/>
        </w:rPr>
        <w:t xml:space="preserve"> median within-band rank correlation of the three, above the structure-aware model given the entire pocket; and the ranking between the structure and ligand-only models reverses, relative to their full-range ordering, in 5 of the 10 deciles. The models' advantage over one another lives in the coarse placement of a molecule along the affinity range rather than in ordering molecules that already sit close together, which is the same conclusion the class-prior decomposition of Section IV.8 reaches by permuting labels, arrived at here without permuting anything.</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4.10</w:t>
        <w:tab/>
        <w:t>Residual-variance audit on the leakage-safe test set (11,855 complexes, 127 targets, deciles of the label)</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753"/>
            <w:shd w:val="clear" w:fill="E7E9EE"/>
          </w:tcPr>
          <w:p>
            <w:pPr>
              <w:keepNext w:val="0"/>
              <w:keepLines w:val="0"/>
              <w:widowControl/>
              <w:spacing w:line="240" w:lineRule="auto" w:before="20" w:after="20"/>
              <w:jc w:val="center"/>
            </w:pPr>
            <w:r>
              <w:rPr>
                <w:rFonts w:ascii="Times New Roman" w:hAnsi="Times New Roman" w:eastAsia="Times New Roman"/>
                <w:b/>
                <w:i w:val="0"/>
                <w:sz w:val="18"/>
              </w:rPr>
              <w:t>Model</w:t>
            </w:r>
          </w:p>
        </w:tc>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Overall R²</w:t>
            </w:r>
          </w:p>
        </w:tc>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SD</w:t>
            </w:r>
          </w:p>
        </w:tc>
        <w:tc>
          <w:tcPr>
            <w:tcW w:type="dxa" w:w="1340"/>
            <w:shd w:val="clear" w:fill="E7E9EE"/>
          </w:tcPr>
          <w:p>
            <w:pPr>
              <w:keepNext w:val="0"/>
              <w:keepLines w:val="0"/>
              <w:widowControl/>
              <w:spacing w:line="240" w:lineRule="auto" w:before="20" w:after="20"/>
              <w:jc w:val="center"/>
            </w:pPr>
            <w:r>
              <w:rPr>
                <w:rFonts w:ascii="Times New Roman" w:hAnsi="Times New Roman" w:eastAsia="Times New Roman"/>
                <w:b/>
                <w:i w:val="0"/>
                <w:sz w:val="18"/>
              </w:rPr>
              <w:t>Widest/narrowest decile SD</w:t>
            </w:r>
          </w:p>
        </w:tc>
        <w:tc>
          <w:tcPr>
            <w:tcW w:type="dxa" w:w="1392"/>
            <w:shd w:val="clear" w:fill="E7E9EE"/>
          </w:tcPr>
          <w:p>
            <w:pPr>
              <w:keepNext w:val="0"/>
              <w:keepLines w:val="0"/>
              <w:widowControl/>
              <w:spacing w:line="240" w:lineRule="auto" w:before="20" w:after="20"/>
              <w:jc w:val="center"/>
            </w:pPr>
            <w:r>
              <w:rPr>
                <w:rFonts w:ascii="Times New Roman" w:hAnsi="Times New Roman" w:eastAsia="Times New Roman"/>
                <w:b/>
                <w:i w:val="0"/>
                <w:sz w:val="18"/>
              </w:rPr>
              <w:t>corr(residual², prediction)</w:t>
            </w:r>
          </w:p>
        </w:tc>
        <w:tc>
          <w:tcPr>
            <w:tcW w:type="dxa" w:w="825"/>
            <w:shd w:val="clear" w:fill="E7E9EE"/>
          </w:tcPr>
          <w:p>
            <w:pPr>
              <w:keepNext w:val="0"/>
              <w:keepLines w:val="0"/>
              <w:widowControl/>
              <w:spacing w:line="240" w:lineRule="auto" w:before="20" w:after="20"/>
              <w:jc w:val="center"/>
            </w:pPr>
            <w:r>
              <w:rPr>
                <w:rFonts w:ascii="Times New Roman" w:hAnsi="Times New Roman" w:eastAsia="Times New Roman"/>
                <w:b/>
                <w:i w:val="0"/>
                <w:sz w:val="18"/>
              </w:rPr>
              <w:t>95% CI</w:t>
            </w:r>
          </w:p>
        </w:tc>
        <w:tc>
          <w:tcPr>
            <w:tcW w:type="dxa" w:w="1495"/>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 within-decile Spearman</w:t>
            </w:r>
          </w:p>
        </w:tc>
      </w:tr>
      <w:tr>
        <w:trPr>
          <w:cantSplit/>
        </w:trPr>
        <w:tc>
          <w:tcPr>
            <w:tcW w:type="dxa" w:w="1753"/>
          </w:tcPr>
          <w:p>
            <w:pPr>
              <w:keepNext w:val="0"/>
              <w:keepLines w:val="0"/>
              <w:widowControl/>
              <w:spacing w:line="240" w:lineRule="auto" w:before="20" w:after="20"/>
              <w:jc w:val="left"/>
            </w:pPr>
            <w:r>
              <w:rPr>
                <w:rFonts w:ascii="Times New Roman" w:hAnsi="Times New Roman" w:eastAsia="Times New Roman"/>
                <w:b w:val="0"/>
                <w:i w:val="0"/>
                <w:sz w:val="18"/>
              </w:rPr>
              <w:t>Structure-aware EGNN ensemble</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0.4072</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1.2690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18"/>
              </w:rPr>
              <w:t>1.50×</w:t>
            </w:r>
          </w:p>
        </w:tc>
        <w:tc>
          <w:tcPr>
            <w:tcW w:type="dxa" w:w="1392"/>
          </w:tcPr>
          <w:p>
            <w:pPr>
              <w:keepNext w:val="0"/>
              <w:keepLines w:val="0"/>
              <w:widowControl/>
              <w:spacing w:line="240" w:lineRule="auto" w:before="20" w:after="20"/>
              <w:jc w:val="center"/>
            </w:pPr>
            <w:r>
              <w:rPr>
                <w:rFonts w:ascii="Times New Roman" w:hAnsi="Times New Roman" w:eastAsia="Times New Roman"/>
                <w:b w:val="0"/>
                <w:i w:val="0"/>
                <w:sz w:val="18"/>
              </w:rPr>
              <w:t>+0.0419</w:t>
            </w:r>
          </w:p>
        </w:tc>
        <w:tc>
          <w:tcPr>
            <w:tcW w:type="dxa" w:w="825"/>
          </w:tcPr>
          <w:p>
            <w:pPr>
              <w:keepNext w:val="0"/>
              <w:keepLines w:val="0"/>
              <w:widowControl/>
              <w:spacing w:line="240" w:lineRule="auto" w:before="20" w:after="20"/>
              <w:jc w:val="left"/>
            </w:pPr>
            <w:r>
              <w:rPr>
                <w:rFonts w:ascii="Times New Roman" w:hAnsi="Times New Roman" w:eastAsia="Times New Roman"/>
                <w:b w:val="0"/>
                <w:i w:val="0"/>
                <w:sz w:val="18"/>
              </w:rPr>
              <w:t>[−0.0542, +0.1243]</w:t>
            </w:r>
          </w:p>
        </w:tc>
        <w:tc>
          <w:tcPr>
            <w:tcW w:type="dxa" w:w="1495"/>
          </w:tcPr>
          <w:p>
            <w:pPr>
              <w:keepNext w:val="0"/>
              <w:keepLines w:val="0"/>
              <w:widowControl/>
              <w:spacing w:line="240" w:lineRule="auto" w:before="20" w:after="20"/>
              <w:jc w:val="center"/>
            </w:pPr>
            <w:r>
              <w:rPr>
                <w:rFonts w:ascii="Times New Roman" w:hAnsi="Times New Roman" w:eastAsia="Times New Roman"/>
                <w:b w:val="0"/>
                <w:i w:val="0"/>
                <w:sz w:val="18"/>
              </w:rPr>
              <w:t>+0.115</w:t>
            </w:r>
          </w:p>
        </w:tc>
      </w:tr>
      <w:tr>
        <w:trPr>
          <w:cantSplit/>
        </w:trPr>
        <w:tc>
          <w:tcPr>
            <w:tcW w:type="dxa" w:w="1753"/>
          </w:tcPr>
          <w:p>
            <w:pPr>
              <w:keepNext w:val="0"/>
              <w:keepLines w:val="0"/>
              <w:widowControl/>
              <w:spacing w:line="240" w:lineRule="auto" w:before="20" w:after="20"/>
              <w:jc w:val="left"/>
            </w:pPr>
            <w:r>
              <w:rPr>
                <w:rFonts w:ascii="Times New Roman" w:hAnsi="Times New Roman" w:eastAsia="Times New Roman"/>
                <w:b w:val="0"/>
                <w:i w:val="0"/>
                <w:sz w:val="18"/>
              </w:rPr>
              <w:t>Ligand-only ridge (14 descriptors)</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0.3531</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1.3256</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18"/>
              </w:rPr>
              <w:t>1.53×</w:t>
            </w:r>
          </w:p>
        </w:tc>
        <w:tc>
          <w:tcPr>
            <w:tcW w:type="dxa" w:w="1392"/>
          </w:tcPr>
          <w:p>
            <w:pPr>
              <w:keepNext w:val="0"/>
              <w:keepLines w:val="0"/>
              <w:widowControl/>
              <w:spacing w:line="240" w:lineRule="auto" w:before="20" w:after="20"/>
              <w:jc w:val="center"/>
            </w:pPr>
            <w:r>
              <w:rPr>
                <w:rFonts w:ascii="Times New Roman" w:hAnsi="Times New Roman" w:eastAsia="Times New Roman"/>
                <w:b w:val="0"/>
                <w:i w:val="0"/>
                <w:sz w:val="18"/>
              </w:rPr>
              <w:t>−0.0795</w:t>
            </w:r>
          </w:p>
        </w:tc>
        <w:tc>
          <w:tcPr>
            <w:tcW w:type="dxa" w:w="825"/>
          </w:tcPr>
          <w:p>
            <w:pPr>
              <w:keepNext w:val="0"/>
              <w:keepLines w:val="0"/>
              <w:widowControl/>
              <w:spacing w:line="240" w:lineRule="auto" w:before="20" w:after="20"/>
              <w:jc w:val="left"/>
            </w:pPr>
            <w:r>
              <w:rPr>
                <w:rFonts w:ascii="Times New Roman" w:hAnsi="Times New Roman" w:eastAsia="Times New Roman"/>
                <w:b w:val="0"/>
                <w:i w:val="0"/>
                <w:sz w:val="18"/>
              </w:rPr>
              <w:t>[−0.2050, +0.0502]</w:t>
            </w:r>
          </w:p>
        </w:tc>
        <w:tc>
          <w:tcPr>
            <w:tcW w:type="dxa" w:w="1495"/>
          </w:tcPr>
          <w:p>
            <w:pPr>
              <w:keepNext w:val="0"/>
              <w:keepLines w:val="0"/>
              <w:widowControl/>
              <w:spacing w:line="240" w:lineRule="auto" w:before="20" w:after="20"/>
              <w:jc w:val="center"/>
            </w:pPr>
            <w:r>
              <w:rPr>
                <w:rFonts w:ascii="Times New Roman" w:hAnsi="Times New Roman" w:eastAsia="Times New Roman"/>
                <w:b w:val="0"/>
                <w:i w:val="0"/>
                <w:sz w:val="18"/>
              </w:rPr>
              <w:t>+0.121</w:t>
            </w:r>
          </w:p>
        </w:tc>
      </w:tr>
      <w:tr>
        <w:trPr>
          <w:cantSplit/>
        </w:trPr>
        <w:tc>
          <w:tcPr>
            <w:tcW w:type="dxa" w:w="1753"/>
          </w:tcPr>
          <w:p>
            <w:pPr>
              <w:keepNext w:val="0"/>
              <w:keepLines w:val="0"/>
              <w:widowControl/>
              <w:spacing w:line="240" w:lineRule="auto" w:before="20" w:after="20"/>
              <w:jc w:val="left"/>
            </w:pPr>
            <w:r>
              <w:rPr>
                <w:rFonts w:ascii="Times New Roman" w:hAnsi="Times New Roman" w:eastAsia="Times New Roman"/>
                <w:b w:val="0"/>
                <w:i w:val="0"/>
                <w:sz w:val="18"/>
              </w:rPr>
              <w:t>Heavy-atom count alone</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0.3069</w:t>
            </w:r>
          </w:p>
        </w:tc>
        <w:tc>
          <w:tcPr>
            <w:tcW w:type="dxa" w:w="752"/>
          </w:tcPr>
          <w:p>
            <w:pPr>
              <w:keepNext w:val="0"/>
              <w:keepLines w:val="0"/>
              <w:widowControl/>
              <w:spacing w:line="240" w:lineRule="auto" w:before="20" w:after="20"/>
              <w:jc w:val="center"/>
            </w:pPr>
            <w:r>
              <w:rPr>
                <w:rFonts w:ascii="Times New Roman" w:hAnsi="Times New Roman" w:eastAsia="Times New Roman"/>
                <w:b w:val="0"/>
                <w:i w:val="0"/>
                <w:sz w:val="18"/>
              </w:rPr>
              <w:t>1.3720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18"/>
              </w:rPr>
              <w:t>1.59×</w:t>
            </w:r>
          </w:p>
        </w:tc>
        <w:tc>
          <w:tcPr>
            <w:tcW w:type="dxa" w:w="1392"/>
          </w:tcPr>
          <w:p>
            <w:pPr>
              <w:keepNext w:val="0"/>
              <w:keepLines w:val="0"/>
              <w:widowControl/>
              <w:spacing w:line="240" w:lineRule="auto" w:before="20" w:after="20"/>
              <w:jc w:val="center"/>
            </w:pPr>
            <w:r>
              <w:rPr>
                <w:rFonts w:ascii="Times New Roman" w:hAnsi="Times New Roman" w:eastAsia="Times New Roman"/>
                <w:b w:val="0"/>
                <w:i w:val="0"/>
                <w:sz w:val="18"/>
              </w:rPr>
              <w:t>−0.0359</w:t>
            </w:r>
          </w:p>
        </w:tc>
        <w:tc>
          <w:tcPr>
            <w:tcW w:type="dxa" w:w="825"/>
          </w:tcPr>
          <w:p>
            <w:pPr>
              <w:keepNext w:val="0"/>
              <w:keepLines w:val="0"/>
              <w:widowControl/>
              <w:spacing w:line="240" w:lineRule="auto" w:before="20" w:after="20"/>
              <w:jc w:val="left"/>
            </w:pPr>
            <w:r>
              <w:rPr>
                <w:rFonts w:ascii="Times New Roman" w:hAnsi="Times New Roman" w:eastAsia="Times New Roman"/>
                <w:b w:val="0"/>
                <w:i w:val="0"/>
                <w:sz w:val="18"/>
              </w:rPr>
              <w:t>[−0.1588, +0.1094]</w:t>
            </w:r>
          </w:p>
        </w:tc>
        <w:tc>
          <w:tcPr>
            <w:tcW w:type="dxa" w:w="1495"/>
          </w:tcPr>
          <w:p>
            <w:pPr>
              <w:keepNext w:val="0"/>
              <w:keepLines w:val="0"/>
              <w:widowControl/>
              <w:spacing w:line="240" w:lineRule="auto" w:before="20" w:after="20"/>
              <w:jc w:val="center"/>
            </w:pPr>
            <w:r>
              <w:rPr>
                <w:rFonts w:ascii="Times New Roman" w:hAnsi="Times New Roman" w:eastAsia="Times New Roman"/>
                <w:b w:val="0"/>
                <w:i w:val="0"/>
                <w:sz w:val="18"/>
              </w:rPr>
              <w:t>+0.138</w:t>
            </w:r>
          </w:p>
        </w:tc>
      </w:tr>
    </w:tbl>
    <w:p>
      <w:pPr>
        <w:keepNext w:val="0"/>
        <w:keepLines w:val="0"/>
        <w:widowControl/>
        <w:spacing w:line="240" w:lineRule="auto" w:before="80" w:after="0"/>
        <w:jc w:val="both"/>
      </w:pPr>
      <w:r>
        <w:rPr>
          <w:rFonts w:ascii="Times New Roman" w:hAnsi="Times New Roman" w:eastAsia="Times New Roman"/>
          <w:b w:val="0"/>
          <w:i w:val="0"/>
          <w:sz w:val="20"/>
        </w:rPr>
        <w:t>Source: `guidance/cheminformatics/residual_variance_audit_results.json`. The correlation between the squared residual and the prediction is the Breusch–Pagan diagnostic for heteroscedasticity; its interval is a target-clustered bootstrap (B = 2,000, seed 20260925), and all three include zero. The final column is the median over the ten deciles of the within-decile Spearman correlation between prediction and truth; within-band values are attenuated by range restriction and should be compared with one another rather than with the full-range figures in the second column. R² within a decile was computed first and is not reported, because the within-slice variance that forms its denominator is so small that every model returns values between −4 and −119, which describes the slicing rather than the models.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IV.9</w:t>
        <w:tab/>
      </w:r>
      <w:r>
        <w:rPr>
          <w:rFonts w:ascii="Times New Roman" w:hAnsi="Times New Roman" w:eastAsia="Times New Roman"/>
          <w:b/>
          <w:i w:val="0"/>
          <w:sz w:val="24"/>
        </w:rPr>
        <w:t>Where Does the Predictor Fail? Activity Cliffs, Matched Pairs and Protein Families</w:t>
      </w:r>
    </w:p>
    <w:p>
      <w:pPr>
        <w:keepNext w:val="0"/>
        <w:keepLines w:val="0"/>
        <w:widowControl/>
        <w:spacing w:line="480" w:lineRule="auto" w:before="0" w:after="0"/>
        <w:ind w:firstLine="720"/>
        <w:jc w:val="both"/>
      </w:pPr>
      <w:r>
        <w:rPr>
          <w:rFonts w:ascii="Times New Roman" w:hAnsi="Times New Roman" w:eastAsia="Times New Roman"/>
          <w:b w:val="0"/>
          <w:i w:val="0"/>
          <w:sz w:val="24"/>
        </w:rPr>
        <w:t>The sections above describe what the predictor reads on average. This section asks where it fails specifically, using three standard diagnostics from the QSAR literature that none of this project's earlier chapters had applied: activity cliffs, matched molecular pairs and stratification by protein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IV.9.1</w:t>
        <w:tab/>
      </w:r>
      <w:r>
        <w:rPr>
          <w:rFonts w:ascii="Times New Roman" w:hAnsi="Times New Roman" w:eastAsia="Times New Roman"/>
          <w:b w:val="0"/>
          <w:i/>
          <w:sz w:val="24"/>
        </w:rPr>
        <w:t>Activity cliffs</w:t>
      </w:r>
    </w:p>
    <w:p>
      <w:pPr>
        <w:keepNext w:val="0"/>
        <w:keepLines w:val="0"/>
        <w:widowControl/>
        <w:spacing w:line="480" w:lineRule="auto" w:before="0" w:after="0"/>
        <w:ind w:firstLine="720"/>
        <w:jc w:val="both"/>
      </w:pPr>
      <w:r>
        <w:rPr>
          <w:rFonts w:ascii="Times New Roman" w:hAnsi="Times New Roman" w:eastAsia="Times New Roman"/>
          <w:b w:val="0"/>
          <w:i w:val="0"/>
          <w:sz w:val="24"/>
        </w:rPr>
        <w:t>Following the convention of the MoleculeACE benchmark [51] (ECFP4 Tanimoto similarity ≥ 0.9, |Δ log-affinity| ≥ 1.0, computed within target only, since the leakage-safe split is target-disjoint and cross-target pairs are not meaningful here), 2,856 activity-cliff pairs were found among 4,050,366 within-target pairs checked across the 11,855 test ligands and 127 test targets, involving 344 distinct compounds (2.9% of the test set). On this cliff stratum, the ligand-only model's R² (0.3611) nominally exceeded the structure-aware model's (0.2904), the pattern reported for a comparable benchmark in the literature [51], but the paired, target-clustered difference (ΔR² = −0.0708, 95% CI [−0.428, 0.065]) did not exclude zero (p = 0.285) and is not reported as a significant finding; on the much larger non-cliff stratum (11,511 pairs' worth of ligands, 126 targets), the structure-aware model's nominal advantage (ΔR² = +0.0594) was likewise not significant (95% CI [−0.032, 0.150]). Neither stratum resolves a winner at this sample size; the honest reading is that activity cliffs do not provide additional evidence either way beyond the aggregate comparison of Section IV.8.3.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IV.9.2</w:t>
        <w:tab/>
      </w:r>
      <w:r>
        <w:rPr>
          <w:rFonts w:ascii="Times New Roman" w:hAnsi="Times New Roman" w:eastAsia="Times New Roman"/>
          <w:b w:val="0"/>
          <w:i/>
          <w:sz w:val="24"/>
        </w:rPr>
        <w:t>Matched molecular pairs</w:t>
      </w:r>
    </w:p>
    <w:p>
      <w:pPr>
        <w:keepNext w:val="0"/>
        <w:keepLines w:val="0"/>
        <w:widowControl/>
        <w:spacing w:line="480" w:lineRule="auto" w:before="0" w:after="0"/>
        <w:ind w:firstLine="720"/>
        <w:jc w:val="both"/>
      </w:pPr>
      <w:r>
        <w:rPr>
          <w:rFonts w:ascii="Times New Roman" w:hAnsi="Times New Roman" w:eastAsia="Times New Roman"/>
          <w:b w:val="0"/>
          <w:i w:val="0"/>
          <w:sz w:val="24"/>
        </w:rPr>
        <w:t>Single-cut matched-molecular-pair fragmentation (the standard Hussain–Rea algorithm, applied within target only, requiring the shared core to be at least 60% of molecular weight) found 183 matched series, 375 pairs, 360 with a non-zero affinity difference. Sign agreement with the true direction of the affinity change, the most local and in principle the easiest structure–activity signal a model could capture [30], was 0.461 for the structure-aware ensemble and 0.483 for the ligand-only ridge, both at or below the 0.5 expected by chance (95% CI [0.399, 0.535] and [0.391, 0.596] respectively, both including 0.5). A paired bootstrap of the difference between the two models on the identical pairs (−0.0222, 95% CI [−0.102, 0.043], p = 0.551) found no significant difference between them. Neither model reliably predicts the direction of the simplest, most local structure–activity relationship this thesis tested, a finding consistent with, and more severe than, the class-prior decomposition of Section IV.8: performance across this project's predictors does not appear to derive from structure–activity capture even at the most local level achievable.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IV.9.3</w:t>
        <w:tab/>
      </w:r>
      <w:r>
        <w:rPr>
          <w:rFonts w:ascii="Times New Roman" w:hAnsi="Times New Roman" w:eastAsia="Times New Roman"/>
          <w:b w:val="0"/>
          <w:i/>
          <w:sz w:val="24"/>
        </w:rPr>
        <w:t>Protein-family stratification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Stratifying the same ligand-only-versus-structure comparison by protein family (Pfam annotation, available for all 127 test targets) found only two of ten family strata with the ten-target-cluster minimum this thesis requires before reporting a verdict: the kinase family PF00069 (11 targets, 3,306 ligands) and a combined "other family" stratum (83 targets, 6,751 ligands); the remaining seven families (3–7 targets each) are marked underpowered rather than given a verdict, because their point estimates varied wildly (one early draft of this analysis printed a spurious ΔR² of +5.8 × 10¹⁶ for a six-row family whose local label variance was close to, but not exactly, zero, a bug fixed with an explicit relative-variance guard before any result was reported from it). Within the two powered strata, neither showed a significant structure-versus-ligand-only difference after correction (kinase: ΔR² = +0.0747, 95% CI [−0.265, 0.365], q = 0.652; other families combined: ΔR² = +0.0459, 95% CI [−0.068, 0.154], q = 0.652). Even within the single largest, practically most consequential family tested, kinases, structure-aware prediction does not significantly outperform a ligand-only baseline, consistent with the aggregate finding of Section IV.8.3 holding down to the family level where it can be tested at all.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IV.10</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Four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weak ligand-only baseline (0.20). This margin did not survive a fuller audit: against a stronger 14-descriptor ligand-only model, the structure-aware predictor is statistically indistinguishable (0.3531 against 0.3420–0.3437), and no representation of the pocket tested in this thesis, including a chemically typed interaction representation, reliably beat ligand-only after correction for multiple comparisons. Second, the size shortcut identified early in this chapter (correlation 0.72 with heavy-atom count) generalises: it reappears, in a sharper form, in a chemically explicit interaction representation, where adding one size covariate to four typed interaction counts more than quadruples the explained variance. Third, 70% (descriptor pipeline) to 90% (the deployed EGNN itself) of the predictor's apparent performance is reproducible from a class-level prior alone, under a within-target label permutation that destroys all genuine structure–activity relationship; what remains after removing this prior is a narrow window, smaller than a single confidence interval on this task, and neither activity cliffs nor matched molecular pairs nor the largest single protein family tested provide evidence that any predictor in this thesis captures local structure–activity relationship within it. A dedicated attempt to close this gap by augmenting training data with a larger external affinity data set (BindingNet) did not succeed at matched training-set size, after a compound-level leak in the combined pool was found and removed. Fourth,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Three questions followed: whether a differently constructed predictor or a differently constructed guidance mechanism could recover a signal (Chapter V), whether the same predictor used without a gradient, as a ranker of finished molecules, would do better (Chapter VI), and, once both of those also failed, whether the failure traced to the signal or the mechanism, a question Chapter VI.5 answers directly with a positive control built from a genuine, non-surrogate affinity signal.</w:t>
      </w:r>
    </w:p>
    <w:p>
      <w:pPr>
        <w:sectPr>
          <w:headerReference w:type="default" r:id="rId34"/>
          <w:headerReference w:type="first" r:id="rId35"/>
          <w:footerReference w:type="default" r:id="rId36"/>
          <w:footerReference w:type="first" r:id="rId3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[59] with hidden size 256, which produce an embedding for each protein and ligand atom. The output is the sum of pairwise energy terms between all ligand and protein atoms, as in PIGNet2 [38]: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11" name="Picture 11"/>
            <wp:cNvGraphicFramePr>
              <a:graphicFrameLocks noChangeAspect="1"/>
            </wp:cNvGraphicFramePr>
            <a:graphic>
              <a:graphicData uri="http://schemas.openxmlformats.org/drawingml/2006/picture">
                <pic:pic>
                  <pic:nvPicPr>
                    <pic:cNvPr id="0" name="fig_trackA_full.png"/>
                    <pic:cNvPicPr/>
                  </pic:nvPicPr>
                  <pic:blipFill>
                    <a:blip r:embed="rId47"/>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(8 pockets, 29–30 molecules per condition, 24 comparisons corrected together with Benjamini–Hochberg).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12" name="Picture 12"/>
            <wp:cNvGraphicFramePr>
              <a:graphicFrameLocks noChangeAspect="1"/>
            </wp:cNvGraphicFramePr>
            <a:graphic>
              <a:graphicData uri="http://schemas.openxmlformats.org/drawingml/2006/picture">
                <pic:pic>
                  <pic:nvPicPr>
                    <pic:cNvPr id="0" name="fig_trackB.png"/>
                    <pic:cNvPicPr/>
                  </pic:nvPicPr>
                  <pic:blipFill>
                    <a:blip r:embed="rId48"/>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13" name="Picture 13"/>
            <wp:cNvGraphicFramePr>
              <a:graphicFrameLocks noChangeAspect="1"/>
            </wp:cNvGraphicFramePr>
            <a:graphic>
              <a:graphicData uri="http://schemas.openxmlformats.org/drawingml/2006/picture">
                <pic:pic>
                  <pic:nvPicPr>
                    <pic:cNvPr id="0" name="fig_diag1.png"/>
                    <pic:cNvPicPr/>
                  </pic:nvPicPr>
                  <pic:blipFill>
                    <a:blip r:embed="rId49"/>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second correlation is the more informative one. If the gradient was concentrated on the contacts that determine binding, its magnitude would be expected to decrease with the distance to the pocket, that is, a negative correlation. The observed positive correlation means that the largest gradient </w:t>
      </w:r>
      <w:r>
        <w:rPr>
          <w:rFonts w:ascii="Times New Roman" w:hAnsi="Times New Roman" w:eastAsia="Times New Roman"/>
          <w:b w:val="0"/>
          <w:i/>
          <w:sz w:val="24"/>
        </w:rPr>
        <w:t>magnitudes</w:t>
      </w:r>
      <w:r>
        <w:rPr>
          <w:rFonts w:ascii="Times New Roman" w:hAnsi="Times New Roman" w:eastAsia="Times New Roman"/>
          <w:b w:val="0"/>
          <w:i w:val="0"/>
          <w:sz w:val="24"/>
        </w:rPr>
        <w:t xml:space="preserve"> occur on the atoms that are on average farthest from the pocket.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One property of this measurement bounds every reading of it and is stated before the interpretation continues: the quantity correlated here is a </w:t>
      </w:r>
      <w:r>
        <w:rPr>
          <w:rFonts w:ascii="Times New Roman" w:hAnsi="Times New Roman" w:eastAsia="Times New Roman"/>
          <w:b/>
          <w:i w:val="0"/>
          <w:sz w:val="24"/>
        </w:rPr>
        <w:t>norm</w:t>
      </w:r>
      <w:r>
        <w:rPr>
          <w:rFonts w:ascii="Times New Roman" w:hAnsi="Times New Roman" w:eastAsia="Times New Roman"/>
          <w:b w:val="0"/>
          <w:i w:val="0"/>
          <w:sz w:val="24"/>
        </w:rPr>
        <w:t>, and a norm carries no direction. Knowing that an atom receives a large gradient says nothing about whether it is pushed toward a contact-forming position, away from one, or along it; a large, correctly aimed gradient on a distant atom and a large, misaimed one are indistinguishable in this diagnostic. Phrases such as "the strongest pull" should therefore be read as "the largest magnitude", not as a claim about where atoms are being sent. Establishing direction requires a signed quantity this project did not compute: the cosine similarity between the gradient and the vector from the atom toward its nearest pocket contact, or a finite-difference check of whether taking the step actually reduces the predicted affinity error. That measurement is the natural strengthening of this diagnostic and remains open.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V.4.4</w:t>
        <w:tab/>
      </w:r>
      <w:r>
        <w:rPr>
          <w:rFonts w:ascii="Times New Roman" w:hAnsi="Times New Roman" w:eastAsia="Times New Roman"/>
          <w:b w:val="0"/>
          <w:i/>
          <w:sz w:val="24"/>
        </w:rPr>
        <w:t>The signed measurement, and what it changes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measurement left open above was subsequently made, on the same predictor and the same kind of captured states, and it is reported here because it revises the reading of this section. For every ligand atom of 23,202 captured atom-states across 20 pockets (the pocket set of Section IV.5, 16 samples each), the cosine was taken between the gradient and the unit vector from that atom toward its nearest pocket atom. The sign convention was fixed against the sampler rather than assumed: `guided_sampling.py` adds the gradient to positions, so a positive cosine means the atom is pushed </w:t>
      </w:r>
      <w:r>
        <w:rPr>
          <w:rFonts w:ascii="Times New Roman" w:hAnsi="Times New Roman" w:eastAsia="Times New Roman"/>
          <w:b w:val="0"/>
          <w:i/>
          <w:sz w:val="24"/>
        </w:rPr>
        <w:t>toward</w:t>
      </w:r>
      <w:r>
        <w:rPr>
          <w:rFonts w:ascii="Times New Roman" w:hAnsi="Times New Roman" w:eastAsia="Times New Roman"/>
          <w:b w:val="0"/>
          <w:i w:val="0"/>
          <w:sz w:val="24"/>
        </w:rPr>
        <w:t xml:space="preserve"> its nearest contact. Interpretation rules for every possible outcome were written down before the full run finished (`guidance/DIAG2_INTERPRETATION_PREREGISTRATION.md`).</w:t>
      </w:r>
    </w:p>
    <w:p>
      <w:pPr>
        <w:keepNext w:val="0"/>
        <w:keepLines w:val="0"/>
        <w:widowControl/>
        <w:spacing w:line="480" w:lineRule="auto" w:before="0" w:after="0"/>
        <w:ind w:firstLine="720"/>
        <w:jc w:val="both"/>
      </w:pPr>
      <w:r>
        <w:rPr>
          <w:rFonts w:ascii="Times New Roman" w:hAnsi="Times New Roman" w:eastAsia="Times New Roman"/>
          <w:b w:val="0"/>
          <w:i w:val="0"/>
          <w:sz w:val="24"/>
        </w:rPr>
        <w:t>Two controls had to pass before the result was read. A random-direction control, substituting an isotropic random vector for the gradient, gave a mean cosine of +0.003 with a 95% interval of [−0.004, +0.009], as an uninformative direction should. A finite-difference check stepped the atoms a short distance along +gradient and recomputed the predictor's own score: the mean change was positive (+0.0012) and 80.9% of states increased, confirming the sign convention empirically. That it is 80.9% rather than 100% is reported rather than smoothed: over a finite step in a non-linear function, a minority of states move the other way, which bounds how literally a single step can be read but leaves the convention itself unambiguous.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 is that </w:t>
      </w:r>
      <w:r>
        <w:rPr>
          <w:rFonts w:ascii="Times New Roman" w:hAnsi="Times New Roman" w:eastAsia="Times New Roman"/>
          <w:b/>
          <w:i w:val="0"/>
          <w:sz w:val="24"/>
        </w:rPr>
        <w:t>the gradient's direction cannot be distinguished from random</w:t>
      </w:r>
      <w:r>
        <w:rPr>
          <w:rFonts w:ascii="Times New Roman" w:hAnsi="Times New Roman" w:eastAsia="Times New Roman"/>
          <w:b w:val="0"/>
          <w:i w:val="0"/>
          <w:sz w:val="24"/>
        </w:rPr>
        <w:t xml:space="preserve">. The mean cosine toward the nearest contact is −0.019, with a target-clustered 95% interval of [−0.046, +0.008] that includes zero, and 48.5% of atoms are pushed toward their nearest contact, which is chance (Figure 5.4). The pre-registered reading of this outcome, written before the number was known, is that it supports F1, a signal carrying no usable information about the interface, and that it specifically does </w:t>
      </w:r>
      <w:r>
        <w:rPr>
          <w:rFonts w:ascii="Times New Roman" w:hAnsi="Times New Roman" w:eastAsia="Times New Roman"/>
          <w:b w:val="0"/>
          <w:i/>
          <w:sz w:val="24"/>
        </w:rPr>
        <w:t>not</w:t>
      </w:r>
      <w:r>
        <w:rPr>
          <w:rFonts w:ascii="Times New Roman" w:hAnsi="Times New Roman" w:eastAsia="Times New Roman"/>
          <w:b w:val="0"/>
          <w:i w:val="0"/>
          <w:sz w:val="24"/>
        </w:rPr>
        <w:t xml:space="preserve"> license the stronger claim that guidance pushes atoms away from contacts. Earlier phrasing in this project, including the first draft of this section, described the gradient as acting in the "wrong direction" on the basis of the magnitude–distance correlation alone; that phrasing is withdrawn here. A norm cannot carry direction, and when direction is measured directly it is absent rather than inverted.</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79691"/>
            <wp:docPr id="14" name="Picture 14"/>
            <wp:cNvGraphicFramePr>
              <a:graphicFrameLocks noChangeAspect="1"/>
            </wp:cNvGraphicFramePr>
            <a:graphic>
              <a:graphicData uri="http://schemas.openxmlformats.org/drawingml/2006/picture">
                <pic:pic>
                  <pic:nvPicPr>
                    <pic:cNvPr id="0" name="fig_gradient_direction.png"/>
                    <pic:cNvPicPr/>
                  </pic:nvPicPr>
                  <pic:blipFill>
                    <a:blip r:embed="rId50"/>
                    <a:stretch>
                      <a:fillRect/>
                    </a:stretch>
                  </pic:blipFill>
                  <pic:spPr>
                    <a:xfrm>
                      <a:off x="0" y="0"/>
                      <a:ext cx="5276088" cy="24796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5.4</w:t>
        <w:tab/>
        <w:t>The signed direction of the affinity gradient, with the control that had to pass before it was read. Left: mean cosine between the gradient at an atom and the unit vector from that atom toward its nearest pocket atom, over 23,202 captured atom-states across 20 pockets (16 samples each), with target-clustered 95% bootstrap intervals resampled over pockets. A positive cosine means the atom is pushed toward its nearest contact, a convention fixed against `guided_sampling.py` and confirmed empirically by finite difference. The affinity gradient gives −0.019, 95% CI [−0.046, +0.008], an interval that includes zero; 48.5% of atoms point toward their nearest contact, which is chance. The random-direction control gives +0.003, 95% CI [−0.004, +0.009], as an uninformative direction should. Right: the same quantity split by whether the atom lies in the nearer or the farther half of the distance distribution. This panel is drawn in a single neutral colour and labelled descriptive, because no interval or test was computed for the split; presenting its two numbers as a good half and a bad half would turn a description into a directional finding the data here do not support. The figure is evidence for F1, a signal carrying no usable information about the interface, and not for the stronger claim that guidance pushes atoms away from contacts.</w:t>
      </w:r>
    </w:p>
    <w:p>
      <w:pPr>
        <w:keepNext w:val="0"/>
        <w:keepLines w:val="0"/>
        <w:widowControl/>
        <w:spacing w:line="480" w:lineRule="auto" w:before="0" w:after="0"/>
        <w:ind w:firstLine="720"/>
        <w:jc w:val="both"/>
      </w:pPr>
      <w:r>
        <w:rPr>
          <w:rFonts w:ascii="Times New Roman" w:hAnsi="Times New Roman" w:eastAsia="Times New Roman"/>
          <w:b w:val="0"/>
          <w:i w:val="0"/>
          <w:sz w:val="24"/>
        </w:rPr>
        <w:t>One secondary pattern is reported for completeness, having been declared in advance as descriptive and not decisive: the direction is mildly distance-dependent, with atoms in the nearer half of the distance distribution averaging +0.034 and those in the farther half −0.072 (median nearest-contact distance 3.57 Å). This is consistent with the magnitude finding of Section V.4.2, in that whatever the gradient does to distant atoms is both larger and, on average, slightly outward; but the aggregate direction remains indistinguishable from random, and no claim rests on the split halves. A single-pocket pilot of this same measurement had given +0.087, which the full 20-pocket run did not sustain, and that discrepancy is exactly why the pilot was never reported as a result.</w:t>
      </w:r>
    </w:p>
    <w:p>
      <w:pPr>
        <w:keepNext w:val="0"/>
        <w:keepLines w:val="0"/>
        <w:widowControl/>
        <w:spacing w:line="480" w:lineRule="auto" w:before="0" w:after="0"/>
        <w:ind w:firstLine="720"/>
        <w:jc w:val="both"/>
      </w:pPr>
      <w:r>
        <w:rPr>
          <w:rFonts w:ascii="Times New Roman" w:hAnsi="Times New Roman" w:eastAsia="Times New Roman"/>
          <w:b w:val="0"/>
          <w:i w:val="0"/>
          <w:sz w:val="24"/>
        </w:rPr>
        <w:t>A related caution applies in the other direction, and is demonstrated rather than hypothesised in this project: Appendix E reports a checkpoint trained specifically to improve this gradient–distance alignment, which did improve the diagnostic itself while leaving the independently computed docking outcome null. Improving the proxy is therefore known, in this project's own data, not to imply improving the outcome, and the diagnostic must not be treated as a surrogate endpoint.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43"/>
          <w:headerReference w:type="first" r:id="rId44"/>
          <w:footerReference w:type="default" r:id="rId45"/>
          <w:footerReference w:type="first" r:id="rId46"/>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15" name="Picture 15"/>
            <wp:cNvGraphicFramePr>
              <a:graphicFrameLocks noChangeAspect="1"/>
            </wp:cNvGraphicFramePr>
            <a:graphic>
              <a:graphicData uri="http://schemas.openxmlformats.org/drawingml/2006/picture">
                <pic:pic>
                  <pic:nvPicPr>
                    <pic:cNvPr id="0" name="fig_trackC.png"/>
                    <pic:cNvPicPr/>
                  </pic:nvPicPr>
                  <pic:blipFill>
                    <a:blip r:embed="rId55"/>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16" name="Picture 16"/>
            <wp:cNvGraphicFramePr>
              <a:graphicFrameLocks noChangeAspect="1"/>
            </wp:cNvGraphicFramePr>
            <a:graphic>
              <a:graphicData uri="http://schemas.openxmlformats.org/drawingml/2006/picture">
                <pic:pic>
                  <pic:nvPicPr>
                    <pic:cNvPr id="0" name="composite_binding_poses.png"/>
                    <pic:cNvPicPr/>
                  </pic:nvPicPr>
                  <pic:blipFill>
                    <a:blip r:embed="rId56"/>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VI.5</w:t>
        <w:tab/>
      </w:r>
      <w:r>
        <w:rPr>
          <w:rFonts w:ascii="Times New Roman" w:hAnsi="Times New Roman" w:eastAsia="Times New Roman"/>
          <w:b/>
          <w:i w:val="0"/>
          <w:sz w:val="24"/>
        </w:rPr>
        <w:t>A Positive Control: Reranking by a Genuine, Non-Surrogate Affinity Signal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Everything in this chapter so far has used the Stage 0 EGNN of Chapter IV as the ranker. A question left open at the end of Section VI.4 is whether the Track C failure and the Chapter V gradient failure share a common cause, a predictor that does not read pocket-specific interaction, or whether failure is simply what any selection-based or gradient-based mechanism produces on this generator regardless of the quality of the signal supplied to it. Neither of the two mechanisms examined so far ever varied the </w:t>
      </w:r>
      <w:r>
        <w:rPr>
          <w:rFonts w:ascii="Times New Roman" w:hAnsi="Times New Roman" w:eastAsia="Times New Roman"/>
          <w:b w:val="0"/>
          <w:i/>
          <w:sz w:val="24"/>
        </w:rPr>
        <w:t>signal</w:t>
      </w:r>
      <w:r>
        <w:rPr>
          <w:rFonts w:ascii="Times New Roman" w:hAnsi="Times New Roman" w:eastAsia="Times New Roman"/>
          <w:b w:val="0"/>
          <w:i w:val="0"/>
          <w:sz w:val="24"/>
        </w:rPr>
        <w:t xml:space="preserve"> independently of the </w:t>
      </w:r>
      <w:r>
        <w:rPr>
          <w:rFonts w:ascii="Times New Roman" w:hAnsi="Times New Roman" w:eastAsia="Times New Roman"/>
          <w:b w:val="0"/>
          <w:i/>
          <w:sz w:val="24"/>
        </w:rPr>
        <w:t>mechanism</w:t>
      </w:r>
      <w:r>
        <w:rPr>
          <w:rFonts w:ascii="Times New Roman" w:hAnsi="Times New Roman" w:eastAsia="Times New Roman"/>
          <w:b w:val="0"/>
          <w:i w:val="0"/>
          <w:sz w:val="24"/>
        </w:rPr>
        <w:t>: both Chapter V and this chapter, up to this point, supplied only the same trained EGNN. This section removes that confound directly, by replacing the EGNN ranker with AutoDock Vina itself, applied to the identical generator, the identical 20-pocket, 3-seed set used for the baseline and affinity-guided ablations of Section IV.5, and evaluated by the identical independent docking pass used throughout this chapter and Chapter IV. Vina was never trained on this project's pK labels, supplies no gradient, and is a genuine, zero-shot measure of pose quality rather than a learned surrogate.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VI.5.1</w:t>
        <w:tab/>
      </w:r>
      <w:r>
        <w:rPr>
          <w:rFonts w:ascii="Times New Roman" w:hAnsi="Times New Roman" w:eastAsia="Times New Roman"/>
          <w:b w:val="0"/>
          <w:i/>
          <w:sz w:val="24"/>
        </w:rPr>
        <w:t>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each of the 60 pocket–seed trials, an unguided pool was oversampled at twice the usual yield (K = 2), reconstructed, and scored once with Vina's </w:t>
      </w:r>
      <w:r>
        <w:rPr>
          <w:rFonts w:ascii="Times New Roman" w:hAnsi="Times New Roman" w:eastAsia="Times New Roman"/>
          <w:b w:val="0"/>
          <w:i/>
          <w:sz w:val="24"/>
        </w:rPr>
        <w:t>score_only</w:t>
      </w:r>
      <w:r>
        <w:rPr>
          <w:rFonts w:ascii="Times New Roman" w:hAnsi="Times New Roman" w:eastAsia="Times New Roman"/>
          <w:b w:val="0"/>
          <w:i w:val="0"/>
          <w:sz w:val="24"/>
        </w:rPr>
        <w:t xml:space="preserve"> mode, which has no conformational search and runs in about 0.57 s per molecule. The better-scoring half of each pool was kept. The kept molecules were then evaluated by an independent, full Vina </w:t>
      </w:r>
      <w:r>
        <w:rPr>
          <w:rFonts w:ascii="Times New Roman" w:hAnsi="Times New Roman" w:eastAsia="Times New Roman"/>
          <w:b w:val="0"/>
          <w:i/>
          <w:sz w:val="24"/>
        </w:rPr>
        <w:t>dock</w:t>
      </w:r>
      <w:r>
        <w:rPr>
          <w:rFonts w:ascii="Times New Roman" w:hAnsi="Times New Roman" w:eastAsia="Times New Roman"/>
          <w:b w:val="0"/>
          <w:i w:val="0"/>
          <w:sz w:val="24"/>
        </w:rPr>
        <w:t xml:space="preserve"> pass (exhaustiveness 16, identical settings to the baseline and affinity-only conditions of Section IV.5). The number that decides which molecules survive selection (the cheap score-only pass) is therefore never the number later reported as the result (the independent dock pass), which rules out the strongest form of circularity, in which a selection criterion and its own evaluation metric are the same quantity and an improvement becomes definitional rather than informative. It does not, however, make the two measurements independent, and this limit is load-bearing for how the result may be read: both passes evaluate poses with the </w:t>
      </w:r>
      <w:r>
        <w:rPr>
          <w:rFonts w:ascii="Times New Roman" w:hAnsi="Times New Roman" w:eastAsia="Times New Roman"/>
          <w:b w:val="0"/>
          <w:i/>
          <w:sz w:val="24"/>
        </w:rPr>
        <w:t>same empirical scoring function</w:t>
      </w:r>
      <w:r>
        <w:rPr>
          <w:rFonts w:ascii="Times New Roman" w:hAnsi="Times New Roman" w:eastAsia="Times New Roman"/>
          <w:b w:val="0"/>
          <w:i w:val="0"/>
          <w:sz w:val="24"/>
        </w:rPr>
        <w:t>, differing in whether a conformational search is run. Any systematic bias of that scoring function, the preference for larger ligands documented in Section II.3.1 above all, is therefore shared by the selector and the evaluator rather than cancelled between them. The design establishes that the harness can detect a change driven by a genuinely informative signal; it does not establish that the selected molecules are better binders by a measurement independent of Vina. Section VI.5.3 reports exactly the size and synthesizability movement that this shared bias predicts, and the interpretation in Section VI.5.4 is framed accordingly. A 6-pocket pilot, stratified by the measured per-pocket wall time of the existing 20-pocket runs, was run first; because the pilot and the full run share an output directory and this project's DONE-marker resumability (Section III.7), the pilot's results were reused, not recomputed, when the run was extended to the full 60 trials.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Table 6.2 reports the outcome. Reranked molecules reached a significantly better independently computed Vina Dock score than the unguided baseline: −8.068 ± 2.660 kcal/mol against −6.813 ± 10.079 (n = 600 reranked, 597 baseline molecules across the 20 pockets; Wilcoxon, paired by pocket, p = 1.9 × 10⁻⁶; Mann–Whitney p = 3.1 × 10⁻¹⁰). A target-clustered bootstrap of the per-pocket delta (B = 2,000) gave −1.267 kcal/mol, 95% CI [−2.149, −0.740], excluding zero.</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6.2</w:t>
        <w:tab/>
        <w:t>Reranking by a genuine Vina signal versus the unguided baseline, 20 pockets × 3 seeds (n = 597 baseline, 600 reranked molecules)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39"/>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923"/>
            <w:shd w:val="clear" w:fill="E7E9EE"/>
          </w:tcPr>
          <w:p>
            <w:pPr>
              <w:keepNext w:val="0"/>
              <w:keepLines w:val="0"/>
              <w:widowControl/>
              <w:spacing w:line="240" w:lineRule="auto" w:before="20" w:after="20"/>
              <w:jc w:val="center"/>
            </w:pPr>
            <w:r>
              <w:rPr>
                <w:rFonts w:ascii="Times New Roman" w:hAnsi="Times New Roman" w:eastAsia="Times New Roman"/>
                <w:b/>
                <w:i w:val="0"/>
                <w:sz w:val="20"/>
              </w:rPr>
              <w:t>Baseline</w:t>
            </w:r>
          </w:p>
        </w:tc>
        <w:tc>
          <w:tcPr>
            <w:tcW w:type="dxa" w:w="1785"/>
            <w:shd w:val="clear" w:fill="E7E9EE"/>
          </w:tcPr>
          <w:p>
            <w:pPr>
              <w:keepNext w:val="0"/>
              <w:keepLines w:val="0"/>
              <w:widowControl/>
              <w:spacing w:line="240" w:lineRule="auto" w:before="20" w:after="20"/>
              <w:jc w:val="center"/>
            </w:pPr>
            <w:r>
              <w:rPr>
                <w:rFonts w:ascii="Times New Roman" w:hAnsi="Times New Roman" w:eastAsia="Times New Roman"/>
                <w:b/>
                <w:i w:val="0"/>
                <w:sz w:val="20"/>
              </w:rPr>
              <w:t>Vina-reranked</w:t>
            </w:r>
          </w:p>
        </w:tc>
        <w:tc>
          <w:tcPr>
            <w:tcW w:type="dxa" w:w="166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600"/>
            <w:shd w:val="clear" w:fill="E7E9EE"/>
          </w:tcPr>
          <w:p>
            <w:pPr>
              <w:keepNext w:val="0"/>
              <w:keepLines w:val="0"/>
              <w:widowControl/>
              <w:spacing w:line="240" w:lineRule="auto" w:before="20" w:after="20"/>
              <w:jc w:val="center"/>
            </w:pPr>
            <w:r>
              <w:rPr>
                <w:rFonts w:ascii="Times New Roman" w:hAnsi="Times New Roman" w:eastAsia="Times New Roman"/>
                <w:b/>
                <w:i w:val="0"/>
                <w:sz w:val="20"/>
              </w:rPr>
              <w:t>p</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−8.068 ± 2.660</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1.9 × 10⁻⁶</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Per-pocket delta (target-clustered bootstrap, B = 2,000)</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785"/>
          </w:tcPr>
          <w:p>
            <w:pPr>
              <w:keepNext w:val="0"/>
              <w:keepLines w:val="0"/>
              <w:widowControl/>
              <w:spacing w:line="240" w:lineRule="auto" w:before="20" w:after="20"/>
              <w:jc w:val="left"/>
            </w:pPr>
            <w:r>
              <w:rPr>
                <w:rFonts w:ascii="Times New Roman" w:hAnsi="Times New Roman" w:eastAsia="Times New Roman"/>
                <w:b w:val="0"/>
                <w:i w:val="0"/>
                <w:sz w:val="20"/>
              </w:rPr>
              <w:t>−1.267, 95% CI [−2.149, −0.740]</w:t>
            </w:r>
          </w:p>
        </w:tc>
        <w:tc>
          <w:tcPr>
            <w:tcW w:type="dxa" w:w="1662"/>
          </w:tcPr>
          <w:p>
            <w:pPr>
              <w:keepNext w:val="0"/>
              <w:keepLines w:val="0"/>
              <w:widowControl/>
              <w:spacing w:line="240" w:lineRule="auto" w:before="20" w:after="20"/>
              <w:jc w:val="center"/>
            </w:pPr>
            <w:r>
              <w:rPr>
                <w:rFonts w:ascii="Times New Roman" w:hAnsi="Times New Roman" w:eastAsia="Times New Roman"/>
                <w:b w:val="0"/>
                <w:i w:val="0"/>
                <w:sz w:val="20"/>
              </w:rPr>
              <w: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excludes zero</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0.601</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0.572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8.2 × 10⁻⁵</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0.435</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0.353</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2.67 × 10⁻⁵</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0.449</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0.154</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Ligand efficiency (kcal/mol per heavy atom)</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−0.340</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−0.369</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0.756</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0.582</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left"/>
            </w:pPr>
            <w:r>
              <w:rPr>
                <w:rFonts w:ascii="Times New Roman" w:hAnsi="Times New Roman" w:eastAsia="Times New Roman"/>
                <w:b w:val="0"/>
                <w:i w:val="0"/>
                <w:sz w:val="20"/>
              </w:rPr>
              <w:t>0.209 (held, did not fall)</w:t>
            </w:r>
          </w:p>
        </w:tc>
      </w:tr>
      <w:tr>
        <w:trPr>
          <w:cantSplit/>
        </w:trPr>
        <w:tc>
          <w:tcPr>
            <w:tcW w:type="dxa" w:w="2339"/>
          </w:tcPr>
          <w:p>
            <w:pPr>
              <w:keepNext w:val="0"/>
              <w:keepLines w:val="0"/>
              <w:widowControl/>
              <w:spacing w:line="240" w:lineRule="auto" w:before="20" w:after="20"/>
              <w:jc w:val="left"/>
            </w:pPr>
            <w:r>
              <w:rPr>
                <w:rFonts w:ascii="Times New Roman" w:hAnsi="Times New Roman" w:eastAsia="Times New Roman"/>
                <w:b w:val="0"/>
                <w:i w:val="0"/>
                <w:sz w:val="20"/>
              </w:rPr>
              <w:t>Heavy atoms</w:t>
            </w:r>
          </w:p>
        </w:tc>
        <w:tc>
          <w:tcPr>
            <w:tcW w:type="dxa" w:w="923"/>
          </w:tcPr>
          <w:p>
            <w:pPr>
              <w:keepNext w:val="0"/>
              <w:keepLines w:val="0"/>
              <w:widowControl/>
              <w:spacing w:line="240" w:lineRule="auto" w:before="20" w:after="20"/>
              <w:jc w:val="center"/>
            </w:pPr>
            <w:r>
              <w:rPr>
                <w:rFonts w:ascii="Times New Roman" w:hAnsi="Times New Roman" w:eastAsia="Times New Roman"/>
                <w:b w:val="0"/>
                <w:i w:val="0"/>
                <w:sz w:val="20"/>
              </w:rPr>
              <w:t>21.32 ± 9.06</w:t>
            </w:r>
          </w:p>
        </w:tc>
        <w:tc>
          <w:tcPr>
            <w:tcW w:type="dxa" w:w="1785"/>
          </w:tcPr>
          <w:p>
            <w:pPr>
              <w:keepNext w:val="0"/>
              <w:keepLines w:val="0"/>
              <w:widowControl/>
              <w:spacing w:line="240" w:lineRule="auto" w:before="20" w:after="20"/>
              <w:jc w:val="center"/>
            </w:pPr>
            <w:r>
              <w:rPr>
                <w:rFonts w:ascii="Times New Roman" w:hAnsi="Times New Roman" w:eastAsia="Times New Roman"/>
                <w:b w:val="0"/>
                <w:i w:val="0"/>
                <w:sz w:val="20"/>
              </w:rPr>
              <w:t>23.09 ± 8.36</w:t>
            </w:r>
          </w:p>
        </w:tc>
        <w:tc>
          <w:tcPr>
            <w:tcW w:type="dxa" w:w="1662"/>
          </w:tcPr>
          <w:p>
            <w:pPr>
              <w:keepNext w:val="0"/>
              <w:keepLines w:val="0"/>
              <w:widowControl/>
              <w:spacing w:line="240" w:lineRule="auto" w:before="20" w:after="20"/>
              <w:jc w:val="left"/>
            </w:pPr>
            <w:r>
              <w:rPr>
                <w:rFonts w:ascii="Times New Roman" w:hAnsi="Times New Roman" w:eastAsia="Times New Roman"/>
                <w:b w:val="0"/>
                <w:i w:val="0"/>
                <w:sz w:val="20"/>
              </w:rPr>
              <w:t>Wilcoxon (paired by pocket)</w:t>
            </w:r>
          </w:p>
        </w:tc>
        <w:tc>
          <w:tcPr>
            <w:tcW w:type="dxa" w:w="1600"/>
          </w:tcPr>
          <w:p>
            <w:pPr>
              <w:keepNext w:val="0"/>
              <w:keepLines w:val="0"/>
              <w:widowControl/>
              <w:spacing w:line="240" w:lineRule="auto" w:before="20" w:after="20"/>
              <w:jc w:val="center"/>
            </w:pPr>
            <w:r>
              <w:rPr>
                <w:rFonts w:ascii="Times New Roman" w:hAnsi="Times New Roman" w:eastAsia="Times New Roman"/>
                <w:b w:val="0"/>
                <w:i w:val="0"/>
                <w:sz w:val="20"/>
              </w:rPr>
              <w:t>0.0002</w:t>
            </w:r>
          </w:p>
        </w:tc>
      </w:tr>
    </w:tbl>
    <w:p>
      <w:pPr>
        <w:keepNext w:val="0"/>
        <w:keepLines w:val="0"/>
        <w:widowControl/>
        <w:spacing w:line="240" w:lineRule="auto" w:before="80" w:after="0"/>
        <w:jc w:val="both"/>
      </w:pPr>
      <w:r>
        <w:rPr>
          <w:rFonts w:ascii="Times New Roman" w:hAnsi="Times New Roman" w:eastAsia="Times New Roman"/>
          <w:b w:val="0"/>
          <w:i w:val="0"/>
          <w:sz w:val="20"/>
        </w:rPr>
        <w:t>p-values are two-sided. The analysis computed a pocket-paired Wilcoxon signed-rank test and an unpaired Mann–Whitney test for every metric; the paired value is quoted here because the pocket is the unit of replication, and both are retained in the saved analysis output. Means, standard deviations and p-values are regenerated from the per-molecule result files by `guidance/rq2_table_from_raw.py` rather than assembled by hand (n = 597 baseline, 600 reranked molecules over 20 pockets). The confound in the last row is discussed in the same place it is reported, not held back for a later section.</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39383"/>
            <wp:docPr id="17" name="Picture 17"/>
            <wp:cNvGraphicFramePr>
              <a:graphicFrameLocks noChangeAspect="1"/>
            </wp:cNvGraphicFramePr>
            <a:graphic>
              <a:graphicData uri="http://schemas.openxmlformats.org/drawingml/2006/picture">
                <pic:pic>
                  <pic:nvPicPr>
                    <pic:cNvPr id="0" name="fig_rq2_control.png"/>
                    <pic:cNvPicPr/>
                  </pic:nvPicPr>
                  <pic:blipFill>
                    <a:blip r:embed="rId57"/>
                    <a:stretch>
                      <a:fillRect/>
                    </a:stretch>
                  </pic:blipFill>
                  <pic:spPr>
                    <a:xfrm>
                      <a:off x="0" y="0"/>
                      <a:ext cx="5276088" cy="303938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6.3</w:t>
        <w:tab/>
        <w:t>The positive control of Table 6.2, read as a multi-objective outcome rather than as a single headline. Left: change in each metric from the unguided baseline, expressed as a percentage of the baseline mean, over 20 pockets × 3 seeds (n = 597 baseline and 600 reranked molecules), with the p-value of the pocket-paired Wilcoxon signed-rank test beside each bar. A bar is drawn filled when that test reaches p &lt; 0.05 and hollow when it does not, so that a visible bar is never mistaken for a supported effect. Colour encodes improvement rather than the sign of the change: Vina Dock and ligand efficiency are quantities for which a more negative value is better, so the headline −18.4% in docking score is an improvement and is drawn green, while the −18.9% in RA-score is a deterioration and is drawn red. Heavy-atom count is drawn in orange because it is a measure of size, not of quality. Right: the docking score itself in its own units, with the standard deviation across molecules; the reranked set improves by 1.27 kcal/mol (target-clustered bootstrap 95% CI [−2.149, −0.740]) and is also markedly less dispersed. The figure shows the control succeeding on the metric it selected on, holding ligand efficiency and validity, and paying for it in synthesizability and size.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VI.5.3</w:t>
        <w:tab/>
      </w:r>
      <w:r>
        <w:rPr>
          <w:rFonts w:ascii="Times New Roman" w:hAnsi="Times New Roman" w:eastAsia="Times New Roman"/>
          <w:b w:val="0"/>
          <w:i/>
          <w:sz w:val="24"/>
        </w:rPr>
        <w:t>The confound, disclosed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reranked molecules are not a free improvement. They are significantly larger (+1.8 heavy atoms on average, p = 0.0002) and significantly less synthetically accessible by both measures used elsewhere in this thesis (SA and RA-score both fall, p &lt; 10⁻⁴), the same size-correlated pattern that undermined the raw-score gain of Section VI.2's selection by the EGNN ranker. If this were the whole story, the result would collapse into the same conclusion as the rest of this chapter: a ranker that prefers larger molecules, producing an apparent improvement that a size-normalised metric erases. It is not the whole story, for two reasons visible in the same table. First, ligand efficiency, the metric in this thesis specifically constructed to detect a pure size-inflation artefact, is flat (p = 0.756) rather than degraded, unlike 14 of the 15 pockets of Section VI.2.2. Second, physical validity does not fall; the PoseBusters pass rate holds or rises slightly, the opposite of the pattern that accompanied the EGNN ranker's raw-score gain. The improvement is therefore partly genuine on a per-atom basis and is accompanied by, but not fully reducible to, a shift toward larger molecules; both halves of that sentence are supported by the table and neither should be dropped in summarising it; Figure 6.3 shows the two halves together.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VI.5.4</w:t>
        <w:tab/>
      </w:r>
      <w:r>
        <w:rPr>
          <w:rFonts w:ascii="Times New Roman" w:hAnsi="Times New Roman" w:eastAsia="Times New Roman"/>
          <w:b w:val="0"/>
          <w:i/>
          <w:sz w:val="24"/>
        </w:rPr>
        <w:t>Interpretation: what this isolates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result answers the question left open at the end of Section VI.4. The selection mechanism tested here, best-of-N selection from an oversampled, unguided pool, scored and evaluated by two separate passes of the same docking program, is mechanistically identical to this chapter's earlier procedure; only the </w:t>
      </w:r>
      <w:r>
        <w:rPr>
          <w:rFonts w:ascii="Times New Roman" w:hAnsi="Times New Roman" w:eastAsia="Times New Roman"/>
          <w:b w:val="0"/>
          <w:i/>
          <w:sz w:val="24"/>
        </w:rPr>
        <w:t>signal</w:t>
      </w:r>
      <w:r>
        <w:rPr>
          <w:rFonts w:ascii="Times New Roman" w:hAnsi="Times New Roman" w:eastAsia="Times New Roman"/>
          <w:b w:val="0"/>
          <w:i w:val="0"/>
          <w:sz w:val="24"/>
        </w:rPr>
        <w:t xml:space="preserve"> changed, from a trained EGNN surrogate to Vina's own zero-shot score. Reranking by the genuine signal succeeds, on the same generator, the same 20 pockets and the same independent evaluation protocol on which reranking by the trained surrogate failed by over-selecting on size alone. This localises the cause of the Track A, B and C failures toward the </w:t>
      </w:r>
      <w:r>
        <w:rPr>
          <w:rFonts w:ascii="Times New Roman" w:hAnsi="Times New Roman" w:eastAsia="Times New Roman"/>
          <w:b w:val="0"/>
          <w:i/>
          <w:sz w:val="24"/>
        </w:rPr>
        <w:t>signal</w:t>
      </w:r>
      <w:r>
        <w:rPr>
          <w:rFonts w:ascii="Times New Roman" w:hAnsi="Times New Roman" w:eastAsia="Times New Roman"/>
          <w:b w:val="0"/>
          <w:i w:val="0"/>
          <w:sz w:val="24"/>
        </w:rPr>
        <w:t xml:space="preserve"> rather than the </w:t>
      </w:r>
      <w:r>
        <w:rPr>
          <w:rFonts w:ascii="Times New Roman" w:hAnsi="Times New Roman" w:eastAsia="Times New Roman"/>
          <w:b w:val="0"/>
          <w:i/>
          <w:sz w:val="24"/>
        </w:rPr>
        <w:t>mechanism</w:t>
      </w:r>
      <w:r>
        <w:rPr>
          <w:rFonts w:ascii="Times New Roman" w:hAnsi="Times New Roman" w:eastAsia="Times New Roman"/>
          <w:b w:val="0"/>
          <w:i w:val="0"/>
          <w:sz w:val="24"/>
        </w:rPr>
        <w:t>: it supports F1, the hypothesis that the guidance predictor does not carry usable information about the true binding interface (Section V.4's gradient-field diagnostic and the representation-ladder audit of Chapter IV point the same way), and it weakens F2, a correctly informative signal misapplied by a flawed mechanism, as the explanation for the EGNN-based failures specifically, because the same family of mechanism, best-of-N selection, succeeds once supplied with a signal that is actually informative. This does not rule out F2 for the gradient-guidance routes of Chapter V on its own terms, because Vina is not differentiable and this section never tested a gradient mechanism with the genuine signal; Chapter IX returns to this limit and to the particle-guidance extension (SVDD, paired with a genuine value function rather than a trained surrogate) that this result motivates as future work but that was not run for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section's own novelty should not be overstated. Best-of-N and best-of-K selection applied to diffusion-based structure-based drug design, ranked by a combined QED, SA and Vina score, was proposed independently as a generation technique by BoKDiff [29], which explicitly describes itself as the first application of this family of techniques to this problem; Reinforcement-learning-based molecule generation guided directly by docking scores has also been reported to succeed in an unrelated, 2-D setting [49]. The selection mechanism used in this section is therefore prior art, not a new technique. Its contribution is narrower and different in kind: using that established mechanism as a </w:t>
      </w:r>
      <w:r>
        <w:rPr>
          <w:rFonts w:ascii="Times New Roman" w:hAnsi="Times New Roman" w:eastAsia="Times New Roman"/>
          <w:b w:val="0"/>
          <w:i/>
          <w:sz w:val="24"/>
        </w:rPr>
        <w:t>diagnostic instrument</w:t>
      </w:r>
      <w:r>
        <w:rPr>
          <w:rFonts w:ascii="Times New Roman" w:hAnsi="Times New Roman" w:eastAsia="Times New Roman"/>
          <w:b w:val="0"/>
          <w:i w:val="0"/>
          <w:sz w:val="24"/>
        </w:rPr>
        <w:t>, a signal-swapped positive control run on the same generator and pockets as this thesis's own gradient-guidance and rejection-sampling failures, and read against the F1/F2/F3 mechanism framework of Section III.1 in a way the original study does not attempt.</w:t>
      </w:r>
    </w:p>
    <w:p>
      <w:pPr>
        <w:sectPr>
          <w:headerReference w:type="default" r:id="rId51"/>
          <w:headerReference w:type="first" r:id="rId52"/>
          <w:footerReference w:type="default" r:id="rId53"/>
          <w:footerReference w:type="first" r:id="rId5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[48],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8" name="Picture 18"/>
            <wp:cNvGraphicFramePr>
              <a:graphicFrameLocks noChangeAspect="1"/>
            </wp:cNvGraphicFramePr>
            <a:graphic>
              <a:graphicData uri="http://schemas.openxmlformats.org/drawingml/2006/picture">
                <pic:pic>
                  <pic:nvPicPr>
                    <pic:cNvPr id="0" name="fig_trackD.png"/>
                    <pic:cNvPicPr/>
                  </pic:nvPicPr>
                  <pic:blipFill>
                    <a:blip r:embed="rId62"/>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 third caution concerns which molecules enter the comparison at all, and it is structural rather than statistical. The RA-score is computed only on molecules that reconstruct into a single scoreable fragment, so every mean reported here is a mean over survivors. That would be harmless if the survival rate were constant across conditions, but it is not: fragmentation increases with guidance strength, from none at λ = 0 to a single-fragment rate of 0.21 at λ = 0.3. The subsets being compared are therefore selected differently by the very variable under test, and the selection plausibly runs in a specific direction, since the molecules that survive strong guidance are those that resisted being pulled apart by it. A shift in mean RA-score across λ can accordingly arise from a change in which molecules are scored rather than from a change in the molecules themselves, and this design cannot separate the two. Reporting the shift alongside the survival rate, as done here, is the minimum; an analysis that assigned unscoreable molecules a worst-case value, or that compared only molecules scoreable in every condition, would bound the effect properly and was not run.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293951"/>
            <wp:docPr id="19" name="Picture 19"/>
            <wp:cNvGraphicFramePr>
              <a:graphicFrameLocks noChangeAspect="1"/>
            </wp:cNvGraphicFramePr>
            <a:graphic>
              <a:graphicData uri="http://schemas.openxmlformats.org/drawingml/2006/picture">
                <pic:pic>
                  <pic:nvPicPr>
                    <pic:cNvPr id="0" name="fig_synth_gradient.png"/>
                    <pic:cNvPicPr/>
                  </pic:nvPicPr>
                  <pic:blipFill>
                    <a:blip r:embed="rId63"/>
                    <a:stretch>
                      <a:fillRect/>
                    </a:stretch>
                  </pic:blipFill>
                  <pic:spPr>
                    <a:xfrm>
                      <a:off x="0" y="0"/>
                      <a:ext cx="5276088" cy="229395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7.2</w:t>
        <w:tab/>
        <w:t>The Track D gradient diagnostic of Table 7.4, as the counterpart to the affinity diagnostic of Figure 5.3. Each marker is the mean per-atom correlation between the synthesizability gradient's magnitude and one atom-level proxy, over 144 captured clean-data estimates (3 pockets, 3 timesteps, 16 samples), with bootstrap 95% intervals. All three intervals include zero, which is the result; the distance to the pocket, the one proxy that did correlate with the affinity gradient, does not apply here because this predictor has no protein input. The shaded band marks the magnitude beyond which no interval reaches, and is the positive content of the measurement rather than decoration: correlations larger than about 0.09 with these three proxies are excluded, while anything smaller is not resolved at this sample size. The proxies are simple, scalar and per-atom, so the figure does not exclude that the gradient follows a more complex direction that none of them captures.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(Figure 7.2).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8"/>
          <w:headerReference w:type="first" r:id="rId59"/>
          <w:footerReference w:type="default" r:id="rId60"/>
          <w:footerReference w:type="first" r:id="rId6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[40], [54], [58].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[43],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20" name="Picture 20"/>
            <wp:cNvGraphicFramePr>
              <a:graphicFrameLocks noChangeAspect="1"/>
            </wp:cNvGraphicFramePr>
            <a:graphic>
              <a:graphicData uri="http://schemas.openxmlformats.org/drawingml/2006/picture">
                <pic:pic>
                  <pic:nvPicPr>
                    <pic:cNvPr id="0" name="fig_trackE_design.png"/>
                    <pic:cNvPicPr/>
                  </pic:nvPicPr>
                  <pic:blipFill>
                    <a:blip r:embed="rId68"/>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21" name="Picture 21"/>
            <wp:cNvGraphicFramePr>
              <a:graphicFrameLocks noChangeAspect="1"/>
            </wp:cNvGraphicFramePr>
            <a:graphic>
              <a:graphicData uri="http://schemas.openxmlformats.org/drawingml/2006/picture">
                <pic:pic>
                  <pic:nvPicPr>
                    <pic:cNvPr id="0" name="fig_vina_semantics.png"/>
                    <pic:cNvPicPr/>
                  </pic:nvPicPr>
                  <pic:blipFill>
                    <a:blip r:embed="rId69"/>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22" name="Picture 22"/>
            <wp:cNvGraphicFramePr>
              <a:graphicFrameLocks noChangeAspect="1"/>
            </wp:cNvGraphicFramePr>
            <a:graphic>
              <a:graphicData uri="http://schemas.openxmlformats.org/drawingml/2006/picture">
                <pic:pic>
                  <pic:nvPicPr>
                    <pic:cNvPr id="0" name="fig_plip_jitter.png"/>
                    <pic:cNvPicPr/>
                  </pic:nvPicPr>
                  <pic:blipFill>
                    <a:blip r:embed="rId70"/>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the threshold is necessary, since a within-target rank correlation over three or four complexes is not a meaningful quantity, but it does restrict the metric to a subgroup, and how that subgroup differs from the full test set is quantified below), and the correlation of the prediction with the heavy-atom count (M3). M2's subgroup was characterised rather than assumed representative, because a metric computed on 73 of 127 targets invites the question of what the other 54 would have contributed. The included targets hold 11,652 of the 11,855 test complexes, so the metric covers 98.3% of the evaluation data despite covering 57% of its targets; the excluded targets are small by construction (median 3 complexes each, against 39 for the included ones). They are not, however, a random sample of the rest: their mean experimental affinity is 6.02 pK against 6.81 for the included targets, a systematic difference of about 0.79 pK units, with comparable spread (SD 1.75 against 1.64). M2 therefore measures within-target ranking on the better-populated and, on average, higher-affinity part of the test set, and a reader should not read it as a statement about sparsely measured or weak-binding targets (Figure 8.4). The direction of the bias is worth noting: excluding the weakest-binding targets removes part of the affinity range over which a ranking metric would have the most room to fail, so M2 is, if anything, measured under conditions mildly favourable to the models being compared. The resampling unit was the target (paired cluster bootstrap, 2,000 resamples, seed 20260925), an arm's value being the mean over its seeds inside each resample, with Benjamini–Hochberg correction across the tests of a stage.</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175250"/>
            <wp:docPr id="23" name="Picture 23"/>
            <wp:cNvGraphicFramePr>
              <a:graphicFrameLocks noChangeAspect="1"/>
            </wp:cNvGraphicFramePr>
            <a:graphic>
              <a:graphicData uri="http://schemas.openxmlformats.org/drawingml/2006/picture">
                <pic:pic>
                  <pic:nvPicPr>
                    <pic:cNvPr id="0" name="fig_m2_subgroup.png"/>
                    <pic:cNvPicPr/>
                  </pic:nvPicPr>
                  <pic:blipFill>
                    <a:blip r:embed="rId71"/>
                    <a:stretch>
                      <a:fillRect/>
                    </a:stretch>
                  </pic:blipFill>
                  <pic:spPr>
                    <a:xfrm>
                      <a:off x="0" y="0"/>
                      <a:ext cx="5276088" cy="2175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What the subgroup of metric M2 leaves out. A target enters M2 when it holds at least ten test complexes, the threshold below which a within-target rank correlation is not a meaningful quantity. Left: 73 of the 127 test targets (57%) meet the threshold. Centre: those targets nevertheless hold 11,652 of the 11,855 test complexes (98.3%), because the excluded targets are small by construction, with a median of 3 complexes each against 39 for the included ones. Right: mean experimental affinity of each group in pK units, with the within-group standard deviation; the included targets average 6.81 ± 1.64 and the excluded ones 6.02 ± 1.75. The 0.79 pK unit difference between the groups is real and systematic, but it is small beside a spread of roughly 1.7 pK units inside each group, which is why the dispersion is drawn rather than the two means alone. The direction of the bias is mildly favourable to the models being compared: excluding the weakest-binding targets removes part of the affinity range over which a ranking metric would have the most room to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8.5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8.6); no model demonstrated a within-pocket ranking clearly above the raw Vina score (0.248).</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24" name="Picture 24"/>
            <wp:cNvGraphicFramePr>
              <a:graphicFrameLocks noChangeAspect="1"/>
            </wp:cNvGraphicFramePr>
            <a:graphic>
              <a:graphicData uri="http://schemas.openxmlformats.org/drawingml/2006/picture">
                <pic:pic>
                  <pic:nvPicPr>
                    <pic:cNvPr id="0" name="fig_trackE_r2.png"/>
                    <pic:cNvPicPr/>
                  </pic:nvPicPr>
                  <pic:blipFill>
                    <a:blip r:embed="rId7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25" name="Picture 25"/>
            <wp:cNvGraphicFramePr>
              <a:graphicFrameLocks noChangeAspect="1"/>
            </wp:cNvGraphicFramePr>
            <a:graphic>
              <a:graphicData uri="http://schemas.openxmlformats.org/drawingml/2006/picture">
                <pic:pic>
                  <pic:nvPicPr>
                    <pic:cNvPr id="0" name="fig_trackE_within_target.png"/>
                    <pic:cNvPicPr/>
                  </pic:nvPicPr>
                  <pic:blipFill>
                    <a:blip r:embed="rId7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8.7).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(ii) The constant residual already scored R² = 0.193 on the test set (ŷ = pK_Vina plus the mean residual), and E1 (0.117) did not exceed it, so the learnt correction added nothing measurable beyond the Vina anchor. This establishes that </w:t>
      </w:r>
      <w:r>
        <w:rPr>
          <w:rFonts w:ascii="Times New Roman" w:hAnsi="Times New Roman" w:eastAsia="Times New Roman"/>
          <w:b w:val="0"/>
          <w:i/>
          <w:sz w:val="24"/>
        </w:rPr>
        <w:t>this model did not learn the residual</w:t>
      </w:r>
      <w:r>
        <w:rPr>
          <w:rFonts w:ascii="Times New Roman" w:hAnsi="Times New Roman" w:eastAsia="Times New Roman"/>
          <w:b w:val="0"/>
          <w:i w:val="0"/>
          <w:sz w:val="24"/>
        </w:rPr>
        <w:t>, which is the claim made; it does not establish that the residual is unlearnable in principle, and at least three explanations remain unseparated by this design. The residual inherits the noise of both its terms, the experimental label and the Vina anchor, so its signal-to-noise ratio is lower than that of the absolute target the same backbone does learn. Its numerical range and variance differ from the absolute target's, so a loss and learning rate tuned for one are not necessarily appropriate for the other, and they were not re-tuned per target type. And the backbone itself is the weaker of the two used in this thesis (Section VIII.2). Auditing these directly, by reporting the residual's own variance against the label noise floor, by re-tuning the loss scale for the residual target, and by repeating on the stronger backbone, is what would convert "not learnt here" into "not learnable"; none of it was run, and the conclusion is worded accordingly throughout.</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26" name="Picture 26"/>
            <wp:cNvGraphicFramePr>
              <a:graphicFrameLocks noChangeAspect="1"/>
            </wp:cNvGraphicFramePr>
            <a:graphic>
              <a:graphicData uri="http://schemas.openxmlformats.org/drawingml/2006/picture">
                <pic:pic>
                  <pic:nvPicPr>
                    <pic:cNvPr id="0" name="fig_trackE_learnability.png"/>
                    <pic:cNvPicPr/>
                  </pic:nvPicPr>
                  <pic:blipFill>
                    <a:blip r:embed="rId7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8.7</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[54], [58],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[65]), as co-generated diffusion outputs (BInD [32]), and as an auxiliary classification loss inside the generator's own denoiser (InterDiff [56]).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64"/>
          <w:headerReference w:type="first" r:id="rId65"/>
          <w:footerReference w:type="default" r:id="rId66"/>
          <w:footerReference w:type="first" r:id="rId6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Signal swapped: Vina's own score replaces the trained surrogate, identical mechanism and pockets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gain (p = 1.9 × 10⁻⁶, 20 pockets × 3 seeds); ligand efficiency flat; PoseBusters held; size and synthesizability both worsen significantly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Only the selection mechanism was tested with a genuine signal; a gradient-based version was not, since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Positive control (VI.5)</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The same selection mechanism succeeds once supplied with a genuine, non-surrogate affinity signal, localising the Track A–C failures to signal quality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Significant Vina Dock improvement (p = 1.9 × 10⁻⁶), per-pocket bootstrap CI excluding zero; ligand efficiency flat (p = 0.756); PoseBusters pass rate did not fall</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Holds for Vina-score reranking, K = 2 oversampling, the same 20 pockets × 3 seeds as the main ablations; the gain is accompanied by, but not reducible to, a significant size increase (+1.8 heavy atoms) and lower synthesizability; a gradient analogue was not tested because Vina is not differentiable</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27" name="Picture 27"/>
            <wp:cNvGraphicFramePr>
              <a:graphicFrameLocks noChangeAspect="1"/>
            </wp:cNvGraphicFramePr>
            <a:graphic>
              <a:graphicData uri="http://schemas.openxmlformats.org/drawingml/2006/picture">
                <pic:pic>
                  <pic:nvPicPr>
                    <pic:cNvPr id="0" name="fig_overview_significance.png"/>
                    <pic:cNvPicPr/>
                  </pic:nvPicPr>
                  <pic:blipFill>
                    <a:blip r:embed="rId7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dissociation has a sharper explanation than "accuracy and usefulness are different properties" in the abstract: Chapter IV.8 shows that accuracy itself, on this task, is not what it appears to be. A predictor with no protein input at all reproduces 70% (a 14-descriptor ridge model) to 90% (the deployed EGNN, retrained under a within-target label permutation) of a structure-aware model's real-label performance, and the correlation figures quoted above (Pearson 0.58 to 0.65) sit well inside the range a class-level prior alone can reach. The repeated observation in this thesis that "the predictor is reasonably accurate, yet guidance still fails" is therefore not as puzzling as it first appears: a predictor can be </w:t>
      </w:r>
      <w:r>
        <w:rPr>
          <w:rFonts w:ascii="Times New Roman" w:hAnsi="Times New Roman" w:eastAsia="Times New Roman"/>
          <w:b w:val="0"/>
          <w:i/>
          <w:sz w:val="24"/>
        </w:rPr>
        <w:t>reasonably accurate by a class-prior route</w:t>
      </w:r>
      <w:r>
        <w:rPr>
          <w:rFonts w:ascii="Times New Roman" w:hAnsi="Times New Roman" w:eastAsia="Times New Roman"/>
          <w:b w:val="0"/>
          <w:i w:val="0"/>
          <w:sz w:val="24"/>
        </w:rPr>
        <w:t xml:space="preserve"> while still carrying little or no usable information about the specific interface a generator would need to exploit, and the representation-ladder audit of Chapter IV.6, which found no pocket representation, including a chemically typed interaction representation, reliably beating a ligand-only baseline after correction, is the direct structural counterpart of this statistical finding.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and a chemically typed interaction representation shows the same pattern in sharper form (Chapter IV.6). (ii) Selection by the trained-surrogate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its signed direction, measured separately over 23,202 atom-states in 20 pockets, is indistinguishable from random (mean cosine toward the nearest contact −0.019, 95% CI [−0.046, +0.008]), so the gradient is uninformative about the interface rather than pointed away from it. (iv) The delta target is not learnt better than a constant by the model used. (v) Replacing the trained surrogate with a genuine, non-surrogate affinity signal (Vina's own score) in the identical selection mechanism, pockets and evaluation protocol produces a significant, largely size-independent improvement (Chapter VI.5).</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trained-surrogate ranker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and so is the representation-ladder finding that no pocket representation reliably beats ligand-only (Chapter IV.6). Earlier drafts of this synthesis described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as indirect, since the two failures have different measured signatures: the gradient is not correlated with heaviness in the direction a size shortcut would predict (Section V.4), while the ranker's selection is dominated by size (Chapter VI). Measurement (v) changes this. It does not merge the two signatures into one, but it supplies a </w:t>
      </w:r>
      <w:r>
        <w:rPr>
          <w:rFonts w:ascii="Times New Roman" w:hAnsi="Times New Roman" w:eastAsia="Times New Roman"/>
          <w:b w:val="0"/>
          <w:i/>
          <w:sz w:val="24"/>
        </w:rPr>
        <w:t>direct</w:t>
      </w:r>
      <w:r>
        <w:rPr>
          <w:rFonts w:ascii="Times New Roman" w:hAnsi="Times New Roman" w:eastAsia="Times New Roman"/>
          <w:b w:val="0"/>
          <w:i w:val="0"/>
          <w:sz w:val="24"/>
        </w:rPr>
        <w:t xml:space="preserve"> test of the shared hypothesis that both signatures point toward, by holding the mechanism fixed and varying only the signal: when the EGNN surrogate is replaced by a genuinely informative, non-surrogate signal, the selection mechanism that failed in Chapter VI succeeds. The strength of this evidence differs by route, and the distinction should not be blurred. For the ranking route it is direct: mechanism held fixed, signal swapped, outcome reversed, which is as clean an isolation of F1 (the learned predictor's information content) as this design can produce. For the gradient routes it is indirect and inferential: Vina is not differentiable, so the same swap cannot be performed inside a gradient mechanism, and what supports F1 there is convergence between separate lines of evidence, the gradient-field diagnostic, the representation ladder and the class-prior decomposition, rather than a controlled substitution. F2 is correspondingly narrowed but not excluded for Chapter V's routes, and any summary of this thesis that states the failure "traces to the signal rather than the mechanism" without that qualifier is claiming more than the gradient evidence carries.</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28" name="Picture 28"/>
            <wp:cNvGraphicFramePr>
              <a:graphicFrameLocks noChangeAspect="1"/>
            </wp:cNvGraphicFramePr>
            <a:graphic>
              <a:graphicData uri="http://schemas.openxmlformats.org/drawingml/2006/picture">
                <pic:pic>
                  <pic:nvPicPr>
                    <pic:cNvPr id="0" name="fig_power_curve.png"/>
                    <pic:cNvPicPr/>
                  </pic:nvPicPr>
                  <pic:blipFill>
                    <a:blip r:embed="rId8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Even the most local structure–activity test available failed.</w:t>
      </w:r>
      <w:r>
        <w:rPr>
          <w:rFonts w:ascii="Times New Roman" w:hAnsi="Times New Roman" w:eastAsia="Times New Roman"/>
          <w:b w:val="0"/>
          <w:i w:val="0"/>
          <w:sz w:val="24"/>
        </w:rPr>
        <w:t xml:space="preserve"> Activity cliffs and matched molecular pairs are, by construction, the stress tests least forgiving of a model that has learned only coarse, class-level trends (Chapter IV.9). Neither this thesis's structure-aware predictors nor its ligand-only baselines beat chance sign-agreement on matched-pair direction, and neither significantly outperformed the other on the activity-cliff stratum. This null result at the most local level is consistent with, and strengthens, the class-prior decomposition of Chapter IV.8: it is not only that a large share of apparent performance is explained by class membership, but that the residual, within-target signal that remains is not demonstrably captured even by the measure best suited to detect it.</w:t>
      </w:r>
    </w:p>
    <w:p>
      <w:pPr>
        <w:keepNext w:val="0"/>
        <w:keepLines w:val="0"/>
        <w:widowControl/>
        <w:spacing w:line="480" w:lineRule="auto" w:before="0" w:after="0"/>
        <w:ind w:firstLine="720"/>
        <w:jc w:val="both"/>
      </w:pPr>
      <w:r>
        <w:rPr>
          <w:rFonts w:ascii="Times New Roman" w:hAnsi="Times New Roman" w:eastAsia="Times New Roman"/>
          <w:b w:val="0"/>
          <w:i/>
          <w:sz w:val="24"/>
        </w:rPr>
        <w:t>A leakage audit run before, not after, a production experiment.</w:t>
      </w:r>
      <w:r>
        <w:rPr>
          <w:rFonts w:ascii="Times New Roman" w:hAnsi="Times New Roman" w:eastAsia="Times New Roman"/>
          <w:b w:val="0"/>
          <w:i w:val="0"/>
          <w:sz w:val="24"/>
        </w:rPr>
        <w:t xml:space="preserve"> The compound-level leak identified in the combined CrossDocked–BindingNet pool (Chapter IV.7) was found and a filter applied before the production Arm A and Arm C runs were trained, rather than discovered after the fact and used to discount an already-reported result, as happened with the sequence-level leak of Section IV.2. This ordering is itself a transferable practice: a leakage audit is most useful, and least liable to be read as after-the-fact rationalisation, when it precedes the experiment whose validity it protects.</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29" name="Picture 29"/>
            <wp:cNvGraphicFramePr>
              <a:graphicFrameLocks noChangeAspect="1"/>
            </wp:cNvGraphicFramePr>
            <a:graphic>
              <a:graphicData uri="http://schemas.openxmlformats.org/drawingml/2006/picture">
                <pic:pic>
                  <pic:nvPicPr>
                    <pic:cNvPr id="0" name="fig_scale_by_track.png"/>
                    <pic:cNvPicPr/>
                  </pic:nvPicPr>
                  <pic:blipFill>
                    <a:blip r:embed="rId8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[57];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[57]; Chapter VI shows the mechanism in an isolated setting, a ranker whose selection is dominated by size, although the observation of that study concerned evaluation and not gradient guidance. Second, learned affinity predictors are sensitive to leakage and to ligand-only shortcuts [19], [34], [53];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[32], [56], [65],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val="0"/>
        <w:keepLines w:val="0"/>
        <w:widowControl/>
        <w:spacing w:line="480" w:lineRule="auto" w:before="0" w:after="0"/>
        <w:ind w:firstLine="720"/>
        <w:jc w:val="both"/>
      </w:pPr>
      <w:r>
        <w:rPr>
          <w:rFonts w:ascii="Times New Roman" w:hAnsi="Times New Roman" w:eastAsia="Times New Roman"/>
          <w:b w:val="0"/>
          <w:i w:val="0"/>
          <w:sz w:val="24"/>
        </w:rPr>
        <w:t>The positive control of Chapter VI.5 narrows, without closing, one specific branch of this discrepancy: the question of whether this thesis's own evaluation harness, rather than gradient guidance in general, is responsible for the null result. Because the identical generator, pocket set and independent evaluation protocol detect a significant, largely size-independent improvement once a genuinely informative signal is substituted for the trained surrogate, an insensitive harness cannot by itself explain the gradient-guidance and rejection-sampling nulls reported in Chapters IV to VI; whatever accounts for the discrepancy with BADGER, it is not that this project's statistics are too conservative to detect a real effect of the size BADGER reports. This leaves the remaining candidate explanations, a different predictor's information content and a different gradient mechanism, as the more probable sources of the discrepancy, which is consistent with, though it does not prove, the first and second explanations above.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five checks that can be made cheaply before a costly sampling study: (i) evaluate the predictor with a target-disjoint split and target-clustered intervals; (ii) test its output against ligand size and against ligand-only baselines, including a within-target label-permutation control to establish how much of its apparent accuracy is a class-level prior rather than within-target structure–activity signal (Chapter IV.8); (iii) measure the direction of its gradient against pocket-contact proximity on captured mid-trajectory states, a diagnostic that took about 20 minutes in this work; (iv) evaluate any docking gain after normalising by size and with a validity check, since both the raw gain and the loss of validity were visible in the same data; and (v), where a cheap genuine signal exists even if it cannot itself be used for production guidance, run it through the same selection or gradient mechanism as a positive control before concluding that a null result reflects the signal rather than an insensitive evaluation harness, since this was the single check that converted an otherwise indirect inference into a direct one in this thesis (Chapter VI.5).</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75"/>
          <w:headerReference w:type="first" r:id="rId76"/>
          <w:footerReference w:type="default" r:id="rId77"/>
          <w:footerReference w:type="first" r:id="rId7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These bounds are drawn explicitly in Figure 10.1. The following conclusions are drawn.</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771848"/>
            <wp:docPr id="30" name="Picture 30"/>
            <wp:cNvGraphicFramePr>
              <a:graphicFrameLocks noChangeAspect="1"/>
            </wp:cNvGraphicFramePr>
            <a:graphic>
              <a:graphicData uri="http://schemas.openxmlformats.org/drawingml/2006/picture">
                <pic:pic>
                  <pic:nvPicPr>
                    <pic:cNvPr id="0" name="fig_scope_boundary.png"/>
                    <pic:cNvPicPr/>
                  </pic:nvPicPr>
                  <pic:blipFill>
                    <a:blip r:embed="rId86"/>
                    <a:stretch>
                      <a:fillRect/>
                    </a:stretch>
                  </pic:blipFill>
                  <pic:spPr>
                    <a:xfrm>
                      <a:off x="0" y="0"/>
                      <a:ext cx="5276088" cy="277184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10.1</w:t>
        <w:tab/>
        <w:t>The boundary of the null result, drawn from the scope statement above and the limitations of Section X.3. The left panel lists the configuration actually tested, within which no route built on a trained surrogate produced a defensible improvement. The right panel lists what was not tested and to which, therefore, the result does not extend. The figure makes no claim the chapter does not already make in words; it is included because a null result is the kind of finding most often quoted beyond its own evidence, and the two panels are what separate "learned guidance did not work here, under these conditions" from "learned guidance does not work", which is not a conclusion of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built on a trained surrogate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predictors reached Pearson correlations of 0.58 to 0.65 on leakage-safe test sets, and this was originally read as ruling out low predictor accuracy as the explanation. Conclusion (4) below revises this reading: a predictor with no protein input at all reaches a comparable correlation through a class-level prior alone, so correlation magnitude on its own does not establish that these predictors had learned pocket-specific structure–activity relationship.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of the trained surrogate were artefacts, and a positive control localises the cause to the signal.</w:t>
      </w:r>
      <w:r>
        <w:rPr>
          <w:rFonts w:ascii="Times New Roman" w:hAnsi="Times New Roman" w:eastAsia="Times New Roman"/>
          <w:b w:val="0"/>
          <w:i w:val="0"/>
          <w:sz w:val="24"/>
        </w:rPr>
        <w:t xml:space="preserve"> The only large and consistent effect obtained with the trained EGNN,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 A pre-registered positive control then replaced the trained surrogate with AutoDock Vina's own zero-shot score in the identical selection mechanism, on the identical 20 pockets, 3 seeds and evaluation protocol: this succeeded, improving the </w:t>
      </w:r>
      <w:r>
        <w:rPr>
          <w:rFonts w:ascii="Times New Roman" w:hAnsi="Times New Roman" w:eastAsia="Times New Roman"/>
          <w:b w:val="0"/>
          <w:i/>
          <w:sz w:val="24"/>
        </w:rPr>
        <w:t>predicted docking score</w:t>
      </w:r>
      <w:r>
        <w:rPr>
          <w:rFonts w:ascii="Times New Roman" w:hAnsi="Times New Roman" w:eastAsia="Times New Roman"/>
          <w:b w:val="0"/>
          <w:i w:val="0"/>
          <w:sz w:val="24"/>
        </w:rPr>
        <w:t xml:space="preserve"> (Vina Dock −8.068 against −6.813 kcal/mol, Wilcoxon p = 1.9 × 10⁻⁶) in a way that survived size normalisation (ligand efficiency flat, p = 0.756; PoseBusters pass rate held), while significantly increasing molecular size (+1.8 heavy atoms) and significantly reducing both synthesizability scores. It is therefore a validated harness and a multi-objective trade-off, not a demonstration that better molecules were designed, and the improvement is in a computational score rather than in measured binding.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is the single most important result of this thesis for interpreting everything that preceded it, and its reach should be stated exactly. It shows that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harness can detect a change driven by a genuinely informative signal, so an insensitive evaluation design cannot explain the null results of Chapter VI. For the rejection-sampling route it localises the failure directly to the </w:t>
      </w:r>
      <w:r>
        <w:rPr>
          <w:rFonts w:ascii="Times New Roman" w:hAnsi="Times New Roman" w:eastAsia="Times New Roman"/>
          <w:b w:val="0"/>
          <w:i/>
          <w:sz w:val="24"/>
        </w:rPr>
        <w:t>information content of the trained predictor</w:t>
      </w:r>
      <w:r>
        <w:rPr>
          <w:rFonts w:ascii="Times New Roman" w:hAnsi="Times New Roman" w:eastAsia="Times New Roman"/>
          <w:b w:val="0"/>
          <w:i w:val="0"/>
          <w:sz w:val="24"/>
        </w:rPr>
        <w:t>, because the mechanism was held fixed while only the signal changed. For the gradient routes of Chapter V it is indirect evidence only: Vina is not differentiable, so the same signal could not be sent through a gradient mechanism, and a mechanism-level contribution to those failures is narrowed but not excluded. The control is also not an independent measurement of binding, since the selecting and evaluating scores are two modes of one scoring function and share its biases (Section VI.5.1).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Measured properties of the predictors and their gradients were consistent with the failures, and a fuller audit identifies what the predictors actually read.</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A later, signed measurement over 23,202 atom-states in 20 pockets found the gradient's </w:t>
      </w:r>
      <w:r>
        <w:rPr>
          <w:rFonts w:ascii="Times New Roman" w:hAnsi="Times New Roman" w:eastAsia="Times New Roman"/>
          <w:b w:val="0"/>
          <w:i/>
          <w:sz w:val="24"/>
        </w:rPr>
        <w:t>direction</w:t>
      </w:r>
      <w:r>
        <w:rPr>
          <w:rFonts w:ascii="Times New Roman" w:hAnsi="Times New Roman" w:eastAsia="Times New Roman"/>
          <w:b w:val="0"/>
          <w:i w:val="0"/>
          <w:sz w:val="24"/>
        </w:rPr>
        <w:t xml:space="preserve"> indistinguishable from random (mean cosine toward the nearest contact −0.019, 95% CI [−0.046, +0.008]; 48.5% of atoms pushed toward their nearest contact, which is chance), with its own random-direction and finite-difference controls passing. The two results together say that the gradient is uninformative about the interface, not that it actively opposes it, and earlier phrasing in this project describing a "wrong direction" is withdrawn on that evidence (Section V.4). The synthesizability gradient was not explained by three simple proxies. An eight-block information-content audit (Chapter IV.6) extended this into a systematic comparison: across 40 pairwise, Benjamini–Hochberg-corrected tests, a structure-aware representation significantly beat a ligand-only one in 12 cases, tied in 28, and never lost; a chemically explicit, typed interaction representation (hydrogen bond, hydrophobic, π-stacking and salt-bridge counts) explained almost no variance on its own (R² 0.07–0.08) until a single size covariate was added, at which point it explained four times as much. No representation of the binding pocket tested in this thesis reliably outperformed a model of the ligand alone.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 and a fuller audit shows the margin this revealed did not survive a stronger baseline.</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weak ligand-only baseline (R² 0.20) that was not tested pairwise with target-level resampling. Against a stronger, 14-descriptor ligand-only model built later in the project (R² = 0.3531), this margin disappeared: the structure-aware predictor was statistically indistinguishable from it (0.3420–0.3437 across three seeds).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(5a) </w:t>
      </w:r>
      <w:r>
        <w:rPr>
          <w:rFonts w:ascii="Times New Roman" w:hAnsi="Times New Roman" w:eastAsia="Times New Roman"/>
          <w:b w:val="0"/>
          <w:i/>
          <w:sz w:val="24"/>
        </w:rPr>
        <w:t>Most of the predictors' apparent performance is a class-level prior, not structure–activity learning, and this holds for the deployed architecture itself.</w:t>
      </w:r>
      <w:r>
        <w:rPr>
          <w:rFonts w:ascii="Times New Roman" w:hAnsi="Times New Roman" w:eastAsia="Times New Roman"/>
          <w:b w:val="0"/>
          <w:i w:val="0"/>
          <w:sz w:val="24"/>
        </w:rPr>
        <w:t xml:space="preserve"> A within-target label permutation, which preserves each target's typical affinity range while destroying which ligand carries which label, reproduced 70% of the 14-descriptor model's real-label performance and, when the identical control was run on the deployed EGNN architecture by full retraining, 90% of the EGNN's own real-label performance. The resolvable window beyond this prior, bounded below by the ligand-only ceiling and above by an estimated label-noise ceiling, spans only 0.22 R², narrower than the average width of a single confidence interval measured for this task. Neither activity cliffs nor matched molecular pairs, the two standard diagnostics most sensitive to genuine local structure–activity capture, provide evidence that any predictor in this thesis captures it: sign agreement on the direction of a matched pair's affinity change was at or below chance for both a structure-aware ensemble and a ligand-only model.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(5b) </w:t>
      </w:r>
      <w:r>
        <w:rPr>
          <w:rFonts w:ascii="Times New Roman" w:hAnsi="Times New Roman" w:eastAsia="Times New Roman"/>
          <w:b w:val="0"/>
          <w:i/>
          <w:sz w:val="24"/>
        </w:rPr>
        <w:t>Augmenting training data with a larger external data set did not close the gap, after a compound-level leak was found and removed before, not after, the production run.</w:t>
      </w:r>
      <w:r>
        <w:rPr>
          <w:rFonts w:ascii="Times New Roman" w:hAnsi="Times New Roman" w:eastAsia="Times New Roman"/>
          <w:b w:val="0"/>
          <w:i w:val="0"/>
          <w:sz w:val="24"/>
        </w:rPr>
        <w:t xml:space="preserve"> A combined CrossDocked–BindingNet training pool was found to share 0.34% of its rows, but 10.12% of evaluation records by ligand identity, with the validation and test partitions; a filter removing these rows was built and enforced in code before three further training arms were run. A predictor trained on 20,000 CrossDocked rows alone (validation R² = 0.362 averaged over 3 seeds; coincidentally the same figure as, but a different quantity from, the two-feature linear baseline of conclusion (6) below) performed descriptively better than one trained on a matched total of CrossDocked plus leakage-filtered BindingNet rows (R² = 0.272), and the filtered and unfiltered BindingNet-augmented arms performed nearly identically (0.272 against 0.278), indicating the leak identified had not substantially inflated the earlier result even though removing it remained the correct decision in principle.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pre-registered positive control, built from a genuine, non-surrogate affinity signal applied through the identical selection mechanism, pockets and evaluation protocol as the thesis's own null results, that validates the evaluation harness directly and localises the repeated guidance failures to the information content of the trained predictors rather than to an insensitive design or to the selection and gradient mechanisms themselves.</w:t>
      </w:r>
    </w:p>
    <w:p>
      <w:pPr>
        <w:keepNext w:val="0"/>
        <w:keepLines w:val="0"/>
        <w:widowControl/>
        <w:spacing w:line="480" w:lineRule="auto" w:before="0" w:after="0"/>
        <w:ind w:firstLine="720"/>
        <w:jc w:val="both"/>
      </w:pPr>
      <w:r>
        <w:rPr>
          <w:rFonts w:ascii="Times New Roman" w:hAnsi="Times New Roman" w:eastAsia="Times New Roman"/>
          <w:b w:val="0"/>
          <w:i w:val="0"/>
          <w:sz w:val="24"/>
        </w:rPr>
        <w:t>(iii)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(iv) A systematic, eight-block information-content audit of what representation predicts binding affinity on this split, extending a single ligand-only comparison into a corrected, pairwise test across ligand, pocket, raw and size-normalised contact fingerprints and a chemically typed interaction representation, together with a class-prior decomposition, via within-target label permutation, that was run not only for a descriptor pipeline but for the deployed 3-D equivariant architecture itself.</w:t>
      </w:r>
    </w:p>
    <w:p>
      <w:pPr>
        <w:keepNext w:val="0"/>
        <w:keepLines w:val="0"/>
        <w:widowControl/>
        <w:spacing w:line="480" w:lineRule="auto" w:before="0" w:after="0"/>
        <w:ind w:firstLine="720"/>
        <w:jc w:val="both"/>
      </w:pPr>
      <w:r>
        <w:rPr>
          <w:rFonts w:ascii="Times New Roman" w:hAnsi="Times New Roman" w:eastAsia="Times New Roman"/>
          <w:b w:val="0"/>
          <w:i w:val="0"/>
          <w:sz w:val="24"/>
        </w:rPr>
        <w:t>(v)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(vi)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(vii) A training-data-composition study (BindingNet augmentation) that found and removed a compound-level leak before, rather than after, its production runs, and that found augmentation did not close the gap to a ligand-only baseline at matched training-set size.</w:t>
      </w:r>
    </w:p>
    <w:p>
      <w:pPr>
        <w:keepNext w:val="0"/>
        <w:keepLines w:val="0"/>
        <w:widowControl/>
        <w:spacing w:line="480" w:lineRule="auto" w:before="0" w:after="0"/>
        <w:ind w:firstLine="720"/>
        <w:jc w:val="both"/>
      </w:pPr>
      <w:r>
        <w:rPr>
          <w:rFonts w:ascii="Times New Roman" w:hAnsi="Times New Roman" w:eastAsia="Times New Roman"/>
          <w:b w:val="0"/>
          <w:i w:val="0"/>
          <w:sz w:val="24"/>
        </w:rPr>
        <w:t>(viii)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This thesis is computational throughout: no molecule discussed in it was synthesised, assayed or otherwise tested in a laboratory, and every statement about a molecule "binding better" is a statement about a predicted score. The evaluation criteria used here, predicted docking score, ligand efficiency, physical-pose validity, drug-likeness and retrosynthetic accessibility, are also an incomplete screen even on their own computational terms: they say nothing about absorption, distribution, metabolism, excretion or toxicity, nothing about selectivity against off-targets, and nothing about whether a proposed route would succeed in practice. A molecule that passes every check reported in this thesis is a candidate for further computational triage, not a drug-like candidate in the sense a medicinal chemist would use the phrase, and an ADMET and off-target assessment would be a prerequisite for any claim of practical usability. The target-disjoint split used throughout is easier than a leave-superfamily-out split would be, and 40.1% of test-set ligands sit on a scaffold that also occurs somewhere in training, so "held-out target" should not be read as "held-out chemistry" when interpreting any of the predictor-quality results. The experimental labels mix Kd, Ki and IC50 measurements whose composition differs between training and test, a further source of irreducible variance folded into the label-noise ceiling of Chapter IV.8. The positive control of Chapter VI.5 is itself bounded: it tests only a selection-based mechanism, since Vina is not differentiable and a gradient-based analogue with a genuine signal could not be constructed; it therefore directly supports F1 (the trained predictors are uninformative) without directly excluding F2 (a correctly informative signal misapplied by the specific gradient mechanisms of Chapter V) for the gradient-guidance routes considered on their own. Absence of a detected effect is not evidence that no effect exists, and this thesis does not claim equivalence anywhere. The distinction is not rhetorical: a non-significant comparison bounds an effect only as tightly as the design's resolution allows, and no formal equivalence test (two one-sided tests against a pre-declared margin) was run for any route, because no margin of practical indifference was pre-declared. What the design does support is an upper bound from its own power calculation: effects at or above roughly 1.0 to 1.4 kcal/mol per pocket, depending on the sample size of the checkpoint (Section IX.2.4), would have been detected with 80% power, and none was. Effects below that bound are compatible with every null reported here. Readers who need a specific minimum effect of interest, for instance the shift a medicinal chemist would consider worth a sampling run, should compare it against that bound rather than against the p-values.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 Sixth, and directly motivated by the positive control of Chapter VI.5, a gradient-free particle-guidance mechanism such as SVDD, which requires only an evaluable rather than a differentiable value function, could be paired with a genuine signal such as Vina in place of a trained surrogate, to test whether a more sophisticated mechanism adds value on top of simple reranking once the signal itself is no longer the limiting factor; this was considered and deliberately not run for this thesis, both because of its implementation cost and because the positive control already supplies strong indirect evidence for what such an experiment would show when paired with the trained surrogates examined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X.4.1</w:t>
        <w:tab/>
      </w:r>
      <w:r>
        <w:rPr>
          <w:rFonts w:ascii="Times New Roman" w:hAnsi="Times New Roman" w:eastAsia="Times New Roman"/>
          <w:b w:val="0"/>
          <w:i/>
          <w:sz w:val="24"/>
        </w:rPr>
        <w:t>A proposed extension: uncertainty-aware acquisition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The extension described here has not been implemented or tested in this thesis, and no result is claimed for it. It combines a predictor with an uncertainty estimate, an acquisition rule that uses that estimate, and a conflict-aware treatment of the two guidance gradients. Each component is stated with a hypothesis that could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surrogate would be an affinity predictor with Monte Carlo dropout, giving a mean μ and an uncertainty σ for each complex. Before σ is used for acquisition, its calibration must be shown: σ should correlate with the absolute error on held-out targets of a leakage-safe split. If it does not, an upper-confidence or expected-improvement rule has no basis. This calibration test is the first hypothesis of the extension, and it is to be run before any sampling study.</w:t>
      </w:r>
    </w:p>
    <w:p>
      <w:pPr>
        <w:keepNext w:val="0"/>
        <w:keepLines w:val="0"/>
        <w:widowControl/>
        <w:spacing w:line="480" w:lineRule="auto" w:before="0" w:after="0"/>
        <w:ind w:firstLine="720"/>
        <w:jc w:val="both"/>
      </w:pPr>
      <w:r>
        <w:rPr>
          <w:rFonts w:ascii="Times New Roman" w:hAnsi="Times New Roman" w:eastAsia="Times New Roman"/>
          <w:b w:val="0"/>
          <w:i w:val="0"/>
          <w:sz w:val="24"/>
        </w:rPr>
        <w:t>An upper confidence bound (μ + κσ) or an expected-improvement criterion would enter the reverse trajectory as a correction to the guidance gradient, with a time-dependent weight λ_t that favours exploration early and exploitation late. The weight is written λ_t rather than β_t to avoid a clash with the noise schedule of the diffusion model. The second hypothesis is that the acquisition-guided sampler gives no significant gain on independently computed scores over a random-acquisition control with the same number of steps.</w:t>
      </w:r>
    </w:p>
    <w:p>
      <w:pPr>
        <w:keepNext w:val="0"/>
        <w:keepLines w:val="0"/>
        <w:widowControl/>
        <w:spacing w:line="480" w:lineRule="auto" w:before="0" w:after="0"/>
        <w:ind w:firstLine="720"/>
        <w:jc w:val="both"/>
      </w:pPr>
      <w:r>
        <w:rPr>
          <w:rFonts w:ascii="Times New Roman" w:hAnsi="Times New Roman" w:eastAsia="Times New Roman"/>
          <w:b w:val="0"/>
          <w:i w:val="0"/>
          <w:sz w:val="24"/>
        </w:rPr>
        <w:t>Projecting conflicting gradients (PCGrad) between the affinity and the RA-score gradient would be tested as a remedy for the divergence reported in Chapter VII. The third hypothesis is that the frequency of opposing gradient directions falls without a gain in RA-score.</w:t>
      </w:r>
    </w:p>
    <w:p>
      <w:pPr>
        <w:keepNext w:val="0"/>
        <w:keepLines w:val="0"/>
        <w:widowControl/>
        <w:spacing w:line="480" w:lineRule="auto" w:before="0" w:after="0"/>
        <w:ind w:firstLine="720"/>
        <w:jc w:val="both"/>
      </w:pPr>
      <w:r>
        <w:rPr>
          <w:rFonts w:ascii="Times New Roman" w:hAnsi="Times New Roman" w:eastAsia="Times New Roman"/>
          <w:b w:val="0"/>
          <w:i w:val="0"/>
          <w:sz w:val="24"/>
        </w:rPr>
        <w:t>Any such extension would be judged by the protocol of this thesis: Kolmogorov–Smirnov tests with Benjamini–Hochberg correction, target-clustered bootstrap intervals, and negative controls (random acquisition and shuffled σ). Before any improvement is claimed, ligand efficiency, heavy-atom count and PoseBusters validity must be checked; a gain in docking score alone would not be accepted, for the reasons given in Chapter VI.</w:t>
      </w:r>
    </w:p>
    <w:p>
      <w:pPr>
        <w:keepNext w:val="0"/>
        <w:keepLines w:val="0"/>
        <w:widowControl/>
        <w:spacing w:line="480" w:lineRule="auto" w:before="0" w:after="0"/>
        <w:ind w:firstLine="720"/>
        <w:jc w:val="both"/>
      </w:pPr>
      <w:r>
        <w:rPr>
          <w:rFonts w:ascii="Times New Roman" w:hAnsi="Times New Roman" w:eastAsia="Times New Roman"/>
          <w:b w:val="0"/>
          <w:i w:val="0"/>
          <w:sz w:val="24"/>
        </w:rPr>
        <w:t>A closed-loop simulation, in which docking scores retrain the surrogate and the acquisition function screens generated molecules, would be a simulation only. It would not establish synthesizability or biological activity. Its principal risk is that it optimises the docking score, which Chapter VI showed can be raised by increasing molecular size. The fourth hypothesis is that under such a loop the heavy-atom count rises across iterations while ligand efficiency falls. If the gates above are not passed, the output of the loop is not evidence of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These hypotheses are stated so that they can fail, and a null result would be reported in the same way as the results of this thesis.</w:t>
      </w:r>
    </w:p>
    <w:p>
      <w:pPr>
        <w:sectPr>
          <w:headerReference w:type="default" r:id="rId82"/>
          <w:headerReference w:type="first" r:id="rId83"/>
          <w:footerReference w:type="default" r:id="rId84"/>
          <w:footerReference w:type="first" r:id="rId8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A. Khodabandeh Yalabadi, M. Yazdani-Jahromi, and O. Ozmen Garibay, “BoKDiff: Best-of-K diffusion alignment for target-specific 3D molecule generation,” arXiv:2501.15631, 2025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K. Kwapien, E. Nittinger, J. He, C. Margreitter, A. Voronov, and C. Tyrchan, “Implications of additivity and nonadditivity for machine learning and deep learning models in drug design,” </w:t>
      </w:r>
      <w:r>
        <w:rPr>
          <w:rFonts w:ascii="Times New Roman" w:hAnsi="Times New Roman" w:eastAsia="Times New Roman"/>
          <w:b w:val="0"/>
          <w:i/>
          <w:sz w:val="24"/>
        </w:rPr>
        <w:t>ACS Omega</w:t>
      </w:r>
      <w:r>
        <w:rPr>
          <w:rFonts w:ascii="Times New Roman" w:hAnsi="Times New Roman" w:eastAsia="Times New Roman"/>
          <w:b w:val="0"/>
          <w:i w:val="0"/>
          <w:sz w:val="24"/>
        </w:rPr>
        <w:t>, vol. 7, no. 30, pp. 26573–26581, 2022, doi: 10.1021/acsomega.2c02738.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Rücker, G. Rücker, and M. Meringer, “y-Randomization and its variants in QSPR/QSAR,” </w:t>
      </w:r>
      <w:r>
        <w:rPr>
          <w:rFonts w:ascii="Times New Roman" w:hAnsi="Times New Roman" w:eastAsia="Times New Roman"/>
          <w:b w:val="0"/>
          <w:i/>
          <w:sz w:val="24"/>
        </w:rPr>
        <w:t>J. Chem. Inf. Model.</w:t>
      </w:r>
      <w:r>
        <w:rPr>
          <w:rFonts w:ascii="Times New Roman" w:hAnsi="Times New Roman" w:eastAsia="Times New Roman"/>
          <w:b w:val="0"/>
          <w:i w:val="0"/>
          <w:sz w:val="24"/>
        </w:rPr>
        <w:t>, vol. 47, no. 6, pp. 2345–2357, 2007, doi: 10.1021/ci700157b.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M. Thomas, R. T. Smith, N. M. O’Boyle, C. de Graaf, and A. Bender, “Comparison of structure- and ligand-based scoring functions for deep generative models: a GPCR case study,” </w:t>
      </w:r>
      <w:r>
        <w:rPr>
          <w:rFonts w:ascii="Times New Roman" w:hAnsi="Times New Roman" w:eastAsia="Times New Roman"/>
          <w:b w:val="0"/>
          <w:i/>
          <w:sz w:val="24"/>
        </w:rPr>
        <w:t>J. Cheminform.</w:t>
      </w:r>
      <w:r>
        <w:rPr>
          <w:rFonts w:ascii="Times New Roman" w:hAnsi="Times New Roman" w:eastAsia="Times New Roman"/>
          <w:b w:val="0"/>
          <w:i w:val="0"/>
          <w:sz w:val="24"/>
        </w:rPr>
        <w:t>, vol. 13, no. 1, 2021, doi: 10.1186/s13321-021-00516-0.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D. van Tilborg, A. Alenicheva, and F. Grisoni, “Exposing the limitations of molecular machine learning with activity cliffs,” </w:t>
      </w:r>
      <w:r>
        <w:rPr>
          <w:rFonts w:ascii="Times New Roman" w:hAnsi="Times New Roman" w:eastAsia="Times New Roman"/>
          <w:b w:val="0"/>
          <w:i/>
          <w:sz w:val="24"/>
        </w:rPr>
        <w:t>J. Chem. Inf. Model.</w:t>
      </w:r>
      <w:r>
        <w:rPr>
          <w:rFonts w:ascii="Times New Roman" w:hAnsi="Times New Roman" w:eastAsia="Times New Roman"/>
          <w:b w:val="0"/>
          <w:i w:val="0"/>
          <w:sz w:val="24"/>
        </w:rPr>
        <w:t>, vol. 62, no. 23, pp. 5938–5951, 2022, doi: 10.1021/acs.jcim.2c01073.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[60]</w:t>
        <w:tab/>
        <w:t>M. Yazdani-Jahromi, S. Padhi, and I. Garibay, “MIRAGE: Measuring interpolation and redundancy in affinity generalization,” arXiv:2609.14491, 2026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[61]</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[62]</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[63]</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[64]</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[65]</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87"/>
          <w:headerReference w:type="first" r:id="rId88"/>
          <w:footerReference w:type="default" r:id="rId89"/>
          <w:footerReference w:type="first" r:id="rId9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A.2.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A.2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A.1 reports the measured training budget of the six production surrogate arms of Chapter IV.7, so that the comparison between them can be read against the cost that produced it rather than assumed to be matched. Two points follow. First, per-epoch throughput is nearly identical across the arms (0.63 to 0.65 h per epoch), as expected since both train the same architecture on the same total row count. Second, and more consequential for the interpretation in Chapter IV.7, the arms did </w:t>
      </w:r>
      <w:r>
        <w:rPr>
          <w:rFonts w:ascii="Times New Roman" w:hAnsi="Times New Roman" w:eastAsia="Times New Roman"/>
          <w:b w:val="0"/>
          <w:i/>
          <w:sz w:val="24"/>
        </w:rPr>
        <w:t>not</w:t>
      </w:r>
      <w:r>
        <w:rPr>
          <w:rFonts w:ascii="Times New Roman" w:hAnsi="Times New Roman" w:eastAsia="Times New Roman"/>
          <w:b w:val="0"/>
          <w:i w:val="0"/>
          <w:sz w:val="24"/>
        </w:rPr>
        <w:t xml:space="preserve"> receive equal budgets: Arm C ran longer in every sense, 38 epochs and 24.6 hours against Arm A's 27 epochs and 17.0 hours, because its early-stopping criterion was satisfied later. The arm that performed worse is therefore the arm that trained longer, which removes under-training as an explanation for Arm C's lower R² and makes that comparison more, not less, interpretable. Wall-clock figures include thermal suspension by the queue's watchdog (Section A.1), which is reported separately because it inflates elapsed time without consuming compute.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A.1</w:t>
        <w:tab/>
        <w:t>Measured training budget of the six production surrogate arms (Chapter IV.7)</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072"/>
            <w:shd w:val="clear" w:fill="E7E9EE"/>
          </w:tcPr>
          <w:p>
            <w:pPr>
              <w:keepNext w:val="0"/>
              <w:keepLines w:val="0"/>
              <w:widowControl/>
              <w:spacing w:line="240" w:lineRule="auto" w:before="20" w:after="20"/>
              <w:jc w:val="center"/>
            </w:pPr>
            <w:r>
              <w:rPr>
                <w:rFonts w:ascii="Times New Roman" w:hAnsi="Times New Roman" w:eastAsia="Times New Roman"/>
                <w:b/>
                <w:i w:val="0"/>
                <w:sz w:val="20"/>
              </w:rPr>
              <w:t>Arm (seed)</w:t>
            </w:r>
          </w:p>
        </w:tc>
        <w:tc>
          <w:tcPr>
            <w:tcW w:type="dxa" w:w="1787"/>
            <w:shd w:val="clear" w:fill="E7E9EE"/>
          </w:tcPr>
          <w:p>
            <w:pPr>
              <w:keepNext w:val="0"/>
              <w:keepLines w:val="0"/>
              <w:widowControl/>
              <w:spacing w:line="240" w:lineRule="auto" w:before="20" w:after="20"/>
              <w:jc w:val="center"/>
            </w:pPr>
            <w:r>
              <w:rPr>
                <w:rFonts w:ascii="Times New Roman" w:hAnsi="Times New Roman" w:eastAsia="Times New Roman"/>
                <w:b/>
                <w:i w:val="0"/>
                <w:sz w:val="20"/>
              </w:rPr>
              <w:t>Epochs to early stop</w:t>
            </w:r>
          </w:p>
        </w:tc>
        <w:tc>
          <w:tcPr>
            <w:tcW w:type="dxa" w:w="1251"/>
            <w:shd w:val="clear" w:fill="E7E9EE"/>
          </w:tcPr>
          <w:p>
            <w:pPr>
              <w:keepNext w:val="0"/>
              <w:keepLines w:val="0"/>
              <w:widowControl/>
              <w:spacing w:line="240" w:lineRule="auto" w:before="20" w:after="20"/>
              <w:jc w:val="center"/>
            </w:pPr>
            <w:r>
              <w:rPr>
                <w:rFonts w:ascii="Times New Roman" w:hAnsi="Times New Roman" w:eastAsia="Times New Roman"/>
                <w:b/>
                <w:i w:val="0"/>
                <w:sz w:val="20"/>
              </w:rPr>
              <w:t>Wall clock (h)</w:t>
            </w:r>
          </w:p>
        </w:tc>
        <w:tc>
          <w:tcPr>
            <w:tcW w:type="dxa" w:w="2859"/>
            <w:shd w:val="clear" w:fill="E7E9EE"/>
          </w:tcPr>
          <w:p>
            <w:pPr>
              <w:keepNext w:val="0"/>
              <w:keepLines w:val="0"/>
              <w:widowControl/>
              <w:spacing w:line="240" w:lineRule="auto" w:before="20" w:after="20"/>
              <w:jc w:val="center"/>
            </w:pPr>
            <w:r>
              <w:rPr>
                <w:rFonts w:ascii="Times New Roman" w:hAnsi="Times New Roman" w:eastAsia="Times New Roman"/>
                <w:b/>
                <w:i w:val="0"/>
                <w:sz w:val="20"/>
              </w:rPr>
              <w:t>of which thermally suspended (h)</w:t>
            </w:r>
          </w:p>
        </w:tc>
        <w:tc>
          <w:tcPr>
            <w:tcW w:type="dxa" w:w="1340"/>
            <w:shd w:val="clear" w:fill="E7E9EE"/>
          </w:tcPr>
          <w:p>
            <w:pPr>
              <w:keepNext w:val="0"/>
              <w:keepLines w:val="0"/>
              <w:widowControl/>
              <w:spacing w:line="240" w:lineRule="auto" w:before="20" w:after="20"/>
              <w:jc w:val="center"/>
            </w:pPr>
            <w:r>
              <w:rPr>
                <w:rFonts w:ascii="Times New Roman" w:hAnsi="Times New Roman" w:eastAsia="Times New Roman"/>
                <w:b/>
                <w:i w:val="0"/>
                <w:sz w:val="20"/>
              </w:rPr>
              <w:t>Hours per epoch</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(2021)</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5.72</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0.64</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(2022)</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5.64</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0.92</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A (2023)</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5.66</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0.93</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(2021)</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9</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5.88</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0.97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(2022)</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14</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9.07</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1.57</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val="0"/>
                <w:i w:val="0"/>
                <w:sz w:val="20"/>
              </w:rPr>
              <w:t>Arm C (2023)</w:t>
            </w:r>
          </w:p>
        </w:tc>
        <w:tc>
          <w:tcPr>
            <w:tcW w:type="dxa" w:w="1787"/>
          </w:tcPr>
          <w:p>
            <w:pPr>
              <w:keepNext w:val="0"/>
              <w:keepLines w:val="0"/>
              <w:widowControl/>
              <w:spacing w:line="240" w:lineRule="auto" w:before="20" w:after="20"/>
              <w:jc w:val="center"/>
            </w:pPr>
            <w:r>
              <w:rPr>
                <w:rFonts w:ascii="Times New Roman" w:hAnsi="Times New Roman" w:eastAsia="Times New Roman"/>
                <w:b w:val="0"/>
                <w:i w:val="0"/>
                <w:sz w:val="20"/>
              </w:rPr>
              <w:t>15</w:t>
            </w:r>
          </w:p>
        </w:tc>
        <w:tc>
          <w:tcPr>
            <w:tcW w:type="dxa" w:w="1251"/>
          </w:tcPr>
          <w:p>
            <w:pPr>
              <w:keepNext w:val="0"/>
              <w:keepLines w:val="0"/>
              <w:widowControl/>
              <w:spacing w:line="240" w:lineRule="auto" w:before="20" w:after="20"/>
              <w:jc w:val="center"/>
            </w:pPr>
            <w:r>
              <w:rPr>
                <w:rFonts w:ascii="Times New Roman" w:hAnsi="Times New Roman" w:eastAsia="Times New Roman"/>
                <w:b w:val="0"/>
                <w:i w:val="0"/>
                <w:sz w:val="20"/>
              </w:rPr>
              <w:t>9.64</w:t>
            </w:r>
          </w:p>
        </w:tc>
        <w:tc>
          <w:tcPr>
            <w:tcW w:type="dxa" w:w="2859"/>
          </w:tcPr>
          <w:p>
            <w:pPr>
              <w:keepNext w:val="0"/>
              <w:keepLines w:val="0"/>
              <w:widowControl/>
              <w:spacing w:line="240" w:lineRule="auto" w:before="20" w:after="20"/>
              <w:jc w:val="center"/>
            </w:pPr>
            <w:r>
              <w:rPr>
                <w:rFonts w:ascii="Times New Roman" w:hAnsi="Times New Roman" w:eastAsia="Times New Roman"/>
                <w:b w:val="0"/>
                <w:i w:val="0"/>
                <w:sz w:val="20"/>
              </w:rPr>
              <w:t>1.60</w:t>
            </w:r>
          </w:p>
        </w:tc>
        <w:tc>
          <w:tcPr>
            <w:tcW w:type="dxa" w:w="1340"/>
          </w:tcPr>
          <w:p>
            <w:pPr>
              <w:keepNext w:val="0"/>
              <w:keepLines w:val="0"/>
              <w:widowControl/>
              <w:spacing w:line="240" w:lineRule="auto" w:before="20" w:after="20"/>
              <w:jc w:val="center"/>
            </w:pPr>
            <w:r>
              <w:rPr>
                <w:rFonts w:ascii="Times New Roman" w:hAnsi="Times New Roman" w:eastAsia="Times New Roman"/>
                <w:b w:val="0"/>
                <w:i w:val="0"/>
                <w:sz w:val="20"/>
              </w:rPr>
              <w:t>0.64</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i w:val="0"/>
                <w:sz w:val="20"/>
              </w:rPr>
              <w:t>Arm A total</w:t>
            </w:r>
          </w:p>
        </w:tc>
        <w:tc>
          <w:tcPr>
            <w:tcW w:type="dxa" w:w="1787"/>
          </w:tcPr>
          <w:p>
            <w:pPr>
              <w:keepNext w:val="0"/>
              <w:keepLines w:val="0"/>
              <w:widowControl/>
              <w:spacing w:line="240" w:lineRule="auto" w:before="20" w:after="20"/>
              <w:jc w:val="center"/>
            </w:pPr>
            <w:r>
              <w:rPr>
                <w:rFonts w:ascii="Times New Roman" w:hAnsi="Times New Roman" w:eastAsia="Times New Roman"/>
                <w:b/>
                <w:i w:val="0"/>
                <w:sz w:val="20"/>
              </w:rPr>
              <w:t>27</w:t>
            </w:r>
          </w:p>
        </w:tc>
        <w:tc>
          <w:tcPr>
            <w:tcW w:type="dxa" w:w="1251"/>
          </w:tcPr>
          <w:p>
            <w:pPr>
              <w:keepNext w:val="0"/>
              <w:keepLines w:val="0"/>
              <w:widowControl/>
              <w:spacing w:line="240" w:lineRule="auto" w:before="20" w:after="20"/>
              <w:jc w:val="center"/>
            </w:pPr>
            <w:r>
              <w:rPr>
                <w:rFonts w:ascii="Times New Roman" w:hAnsi="Times New Roman" w:eastAsia="Times New Roman"/>
                <w:b/>
                <w:i w:val="0"/>
                <w:sz w:val="20"/>
              </w:rPr>
              <w:t>17.02</w:t>
            </w:r>
          </w:p>
        </w:tc>
        <w:tc>
          <w:tcPr>
            <w:tcW w:type="dxa" w:w="2859"/>
          </w:tcPr>
          <w:p>
            <w:pPr>
              <w:keepNext w:val="0"/>
              <w:keepLines w:val="0"/>
              <w:widowControl/>
              <w:spacing w:line="240" w:lineRule="auto" w:before="20" w:after="20"/>
              <w:jc w:val="center"/>
            </w:pPr>
            <w:r>
              <w:rPr>
                <w:rFonts w:ascii="Times New Roman" w:hAnsi="Times New Roman" w:eastAsia="Times New Roman"/>
                <w:b/>
                <w:i w:val="0"/>
                <w:sz w:val="20"/>
              </w:rPr>
              <w:t>2.82</w:t>
            </w:r>
          </w:p>
        </w:tc>
        <w:tc>
          <w:tcPr>
            <w:tcW w:type="dxa" w:w="1340"/>
          </w:tcPr>
          <w:p>
            <w:pPr>
              <w:keepNext w:val="0"/>
              <w:keepLines w:val="0"/>
              <w:widowControl/>
              <w:spacing w:line="240" w:lineRule="auto" w:before="20" w:after="20"/>
              <w:jc w:val="center"/>
            </w:pPr>
            <w:r>
              <w:rPr>
                <w:rFonts w:ascii="Times New Roman" w:hAnsi="Times New Roman" w:eastAsia="Times New Roman"/>
                <w:b/>
                <w:i w:val="0"/>
                <w:sz w:val="20"/>
              </w:rPr>
              <w:t>0.63</w:t>
            </w:r>
          </w:p>
        </w:tc>
      </w:tr>
      <w:tr>
        <w:trPr>
          <w:cantSplit/>
        </w:trPr>
        <w:tc>
          <w:tcPr>
            <w:tcW w:type="dxa" w:w="1072"/>
          </w:tcPr>
          <w:p>
            <w:pPr>
              <w:keepNext w:val="0"/>
              <w:keepLines w:val="0"/>
              <w:widowControl/>
              <w:spacing w:line="240" w:lineRule="auto" w:before="20" w:after="20"/>
              <w:jc w:val="left"/>
            </w:pPr>
            <w:r>
              <w:rPr>
                <w:rFonts w:ascii="Times New Roman" w:hAnsi="Times New Roman" w:eastAsia="Times New Roman"/>
                <w:b/>
                <w:i w:val="0"/>
                <w:sz w:val="20"/>
              </w:rPr>
              <w:t>Arm C total</w:t>
            </w:r>
          </w:p>
        </w:tc>
        <w:tc>
          <w:tcPr>
            <w:tcW w:type="dxa" w:w="1787"/>
          </w:tcPr>
          <w:p>
            <w:pPr>
              <w:keepNext w:val="0"/>
              <w:keepLines w:val="0"/>
              <w:widowControl/>
              <w:spacing w:line="240" w:lineRule="auto" w:before="20" w:after="20"/>
              <w:jc w:val="center"/>
            </w:pPr>
            <w:r>
              <w:rPr>
                <w:rFonts w:ascii="Times New Roman" w:hAnsi="Times New Roman" w:eastAsia="Times New Roman"/>
                <w:b/>
                <w:i w:val="0"/>
                <w:sz w:val="20"/>
              </w:rPr>
              <w:t>38</w:t>
            </w:r>
          </w:p>
        </w:tc>
        <w:tc>
          <w:tcPr>
            <w:tcW w:type="dxa" w:w="1251"/>
          </w:tcPr>
          <w:p>
            <w:pPr>
              <w:keepNext w:val="0"/>
              <w:keepLines w:val="0"/>
              <w:widowControl/>
              <w:spacing w:line="240" w:lineRule="auto" w:before="20" w:after="20"/>
              <w:jc w:val="center"/>
            </w:pPr>
            <w:r>
              <w:rPr>
                <w:rFonts w:ascii="Times New Roman" w:hAnsi="Times New Roman" w:eastAsia="Times New Roman"/>
                <w:b/>
                <w:i w:val="0"/>
                <w:sz w:val="20"/>
              </w:rPr>
              <w:t>24.59</w:t>
            </w:r>
          </w:p>
        </w:tc>
        <w:tc>
          <w:tcPr>
            <w:tcW w:type="dxa" w:w="2859"/>
          </w:tcPr>
          <w:p>
            <w:pPr>
              <w:keepNext w:val="0"/>
              <w:keepLines w:val="0"/>
              <w:widowControl/>
              <w:spacing w:line="240" w:lineRule="auto" w:before="20" w:after="20"/>
              <w:jc w:val="center"/>
            </w:pPr>
            <w:r>
              <w:rPr>
                <w:rFonts w:ascii="Times New Roman" w:hAnsi="Times New Roman" w:eastAsia="Times New Roman"/>
                <w:b/>
                <w:i w:val="0"/>
                <w:sz w:val="20"/>
              </w:rPr>
              <w:t>4.14</w:t>
            </w:r>
          </w:p>
        </w:tc>
        <w:tc>
          <w:tcPr>
            <w:tcW w:type="dxa" w:w="1340"/>
          </w:tcPr>
          <w:p>
            <w:pPr>
              <w:keepNext w:val="0"/>
              <w:keepLines w:val="0"/>
              <w:widowControl/>
              <w:spacing w:line="240" w:lineRule="auto" w:before="20" w:after="20"/>
              <w:jc w:val="center"/>
            </w:pPr>
            <w:r>
              <w:rPr>
                <w:rFonts w:ascii="Times New Roman" w:hAnsi="Times New Roman" w:eastAsia="Times New Roman"/>
                <w:b/>
                <w:i w:val="0"/>
                <w:sz w:val="20"/>
              </w:rPr>
              <w:t>0.65</w:t>
            </w:r>
          </w:p>
        </w:tc>
      </w:tr>
    </w:tbl>
    <w:p>
      <w:pPr>
        <w:keepNext w:val="0"/>
        <w:keepLines w:val="0"/>
        <w:widowControl/>
        <w:spacing w:line="240" w:lineRule="auto" w:before="80" w:after="0"/>
        <w:jc w:val="both"/>
      </w:pPr>
      <w:r>
        <w:rPr>
          <w:rFonts w:ascii="Times New Roman" w:hAnsi="Times New Roman" w:eastAsia="Times New Roman"/>
          <w:b w:val="0"/>
          <w:i w:val="0"/>
          <w:sz w:val="20"/>
        </w:rPr>
        <w:t>Regenerated by `guidance/surrogate_data/compute_budget_table.py` from the queue logs of the runs actually reported, not estimated or retyped. All six ran on the single GPU of Section A.1 at batch size 1 without mixed precision. Thermal suspension pauses the process when the CPU package exceeds its threshold; it lengthens wall clock but does not add computation, so the per-epoch column is the fairer throughput comparison.</w:t>
      </w:r>
    </w:p>
    <w:p>
      <w:pPr>
        <w:keepNext w:val="0"/>
        <w:keepLines w:val="0"/>
        <w:widowControl/>
        <w:spacing w:line="240" w:lineRule="auto" w:before="0" w:after="240"/>
        <w:jc w:val="both"/>
      </w:pP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A.2</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A.3</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state at build time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commit `e158605c8b95`, built from a working tree with 54 uncommitted change(s)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Data Provenance and What a Reproducer Needs</w:t>
      </w:r>
    </w:p>
    <w:p>
      <w:pPr>
        <w:keepNext w:val="0"/>
        <w:keepLines w:val="0"/>
        <w:widowControl/>
        <w:spacing w:line="480" w:lineRule="auto" w:before="0" w:after="0"/>
        <w:ind w:firstLine="720"/>
        <w:jc w:val="both"/>
      </w:pPr>
      <w:r>
        <w:rPr>
          <w:rFonts w:ascii="Times New Roman" w:hAnsi="Times New Roman" w:eastAsia="Times New Roman"/>
          <w:b w:val="0"/>
          <w:i w:val="0"/>
          <w:sz w:val="24"/>
        </w:rPr>
        <w:t>A checksum proves that two copies of a file are identical; it does not tell anyone where the file came from or how to obtain it. Table A.4 closes that gap for the derived data this thesis depends on, naming for each artefact the upstream source and the exact script in this repository that produced it, so that a reader can regenerate it rather than having to request it.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A.4</w:t>
        <w:tab/>
        <w:t>Provenance of the derived data artefacts, with the script that generates each</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Upstream source</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Generated by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CrossDocked2020 [15], via the TargetDiff preprocessing pipeline [20]</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Upstream TargetDiff data scripts, unmodified</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Leakage-safe (LP) target-level split</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pocket-cropped LMDB above</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`guidance/lp_split/build_split.py`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Family-holdout split (PF00069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LP split, plus Pfam annotations [37]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`guidance/lp_split/build_family_holdout_split.py`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Sequence-level leakage filter (19 sequences, 28 templates, 265 rows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BindingNet index</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`guidance/surrogate_data/apply_sequence_leakage_filter.py`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Compound-level leakage filter (423 rows, 123 compounds removed)</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Sequence-filtered pool</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`guidance/surrogate_data/apply_compound_leakage_filter.py`</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BindingNet training index</w:t>
            </w:r>
          </w:p>
        </w:tc>
        <w:tc>
          <w:tcPr>
            <w:tcW w:type="dxa" w:w="2770"/>
          </w:tcPr>
          <w:p>
            <w:pPr>
              <w:keepNext w:val="0"/>
              <w:keepLines w:val="0"/>
              <w:widowControl/>
              <w:spacing w:line="240" w:lineRule="auto" w:before="20" w:after="20"/>
              <w:jc w:val="center"/>
            </w:pPr>
            <w:r>
              <w:rPr>
                <w:rFonts w:ascii="Times New Roman" w:hAnsi="Times New Roman" w:eastAsia="Times New Roman"/>
                <w:b w:val="0"/>
                <w:i w:val="0"/>
                <w:sz w:val="20"/>
              </w:rPr>
              <w:t>BindingNet</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`guidance/surrogate_data/build_bindingnet_index.py`</w:t>
            </w:r>
          </w:p>
        </w:tc>
      </w:tr>
    </w:tbl>
    <w:p>
      <w:pPr>
        <w:keepNext w:val="0"/>
        <w:keepLines w:val="0"/>
        <w:widowControl/>
        <w:spacing w:line="240" w:lineRule="auto" w:before="80" w:after="0"/>
        <w:jc w:val="both"/>
      </w:pPr>
      <w:r>
        <w:rPr>
          <w:rFonts w:ascii="Times New Roman" w:hAnsi="Times New Roman" w:eastAsia="Times New Roman"/>
          <w:b w:val="0"/>
          <w:i w:val="0"/>
          <w:sz w:val="20"/>
        </w:rPr>
        <w:t>Each script writes a summary file alongside its output recording the counts it removed; the leakage guards of Table A.6 re-derive those counts independently and fail if they disagree, so the table above is enforced by tests rather than only documented.</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limits of this provenance record are stated rather than left for a reader to discover. First, redistribution: this thesis does not restate the licence terms of CrossDocked2020, BindingNet or the PDB-derived structures it builds on, because those terms were not independently verified during this work, and a reproducer must consult each source's own terms before redistributing any derived artefact. The scripts and the split definitions in this repository are the author's own; the underlying data are not. Second, scale: the pocket-cropped LMDB alone is 3.8 GB, and regenerating it requires the upstream CrossDocked2020 download, so an end-to-end reproduction from raw data is a substantial undertaking rather than a single command. A reproducer wanting to check a specific number rather than the whole pipeline is better served by the per-result scripts named throughout this appendix, each of which reads a cached intermediate and runs in seconds to minutes.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Test-Set Isolation, Per Training Run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reader has to be able to check, without taking the author's word for it, that the held-out test set did not participate in choosing any model reported here. Table A.5 states for each family of training runs what the checkpoint was selected on and whether the test set was evaluated at all during training, with the evidence that establishes it. Two distinctions matter and are kept separate in the table, because conflating them is how this kind of claim usually goes wrong. </w:t>
      </w:r>
      <w:r>
        <w:rPr>
          <w:rFonts w:ascii="Times New Roman" w:hAnsi="Times New Roman" w:eastAsia="Times New Roman"/>
          <w:b w:val="0"/>
          <w:i/>
          <w:sz w:val="24"/>
        </w:rPr>
        <w:t>Selection</w:t>
      </w:r>
      <w:r>
        <w:rPr>
          <w:rFonts w:ascii="Times New Roman" w:hAnsi="Times New Roman" w:eastAsia="Times New Roman"/>
          <w:b w:val="0"/>
          <w:i w:val="0"/>
          <w:sz w:val="24"/>
        </w:rPr>
        <w:t xml:space="preserve"> means the quantity whose improvement caused a checkpoint to be kept or training to continue; in every trainer used here that quantity is the validation loss, which is read directly from the code (`best_val_loss` drives both checkpoint retention and early stopping in `train_egnn_stage0.py` and `train_surrogate_arm.py`). </w:t>
      </w:r>
      <w:r>
        <w:rPr>
          <w:rFonts w:ascii="Times New Roman" w:hAnsi="Times New Roman" w:eastAsia="Times New Roman"/>
          <w:b w:val="0"/>
          <w:i/>
          <w:sz w:val="24"/>
        </w:rPr>
        <w:t>Exposure</w:t>
      </w:r>
      <w:r>
        <w:rPr>
          <w:rFonts w:ascii="Times New Roman" w:hAnsi="Times New Roman" w:eastAsia="Times New Roman"/>
          <w:b w:val="0"/>
          <w:i w:val="0"/>
          <w:sz w:val="24"/>
        </w:rPr>
        <w:t xml:space="preserve"> means whether the test set was evaluated at all, even only to write a number into a log. Exposure without selection does not invalidate a result, but it is weaker than no exposure, so it is reported rather than glossed.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A.5</w:t>
        <w:tab/>
        <w:t>Test-set isolation by training run, with the evidence for each claim</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run(s)</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selected 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set evaluated during training?</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Evidence</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Stage 0 EGNN, the deployed guidance predictor (Ch. IV)</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Yes, for logging only</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Its training log contains 8 `[Test]` evaluations and 18 `[Validate]` evaluations; selection follows `best_val_loss` in the trainer</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Hyper-parameter sweep of Section IV.3</w:t>
            </w:r>
          </w:p>
        </w:tc>
        <w:tc>
          <w:tcPr>
            <w:tcW w:type="dxa" w:w="2077"/>
          </w:tcPr>
          <w:p>
            <w:pPr>
              <w:keepNext w:val="0"/>
              <w:keepLines w:val="0"/>
              <w:widowControl/>
              <w:spacing w:line="240" w:lineRule="auto" w:before="20" w:after="20"/>
              <w:jc w:val="left"/>
            </w:pPr>
            <w:r>
              <w:rPr>
                <w:rFonts w:ascii="Times New Roman" w:hAnsi="Times New Roman" w:eastAsia="Times New Roman"/>
                <w:b/>
                <w:i w:val="0"/>
                <w:sz w:val="20"/>
              </w:rPr>
              <w:t>Test metrics</w:t>
            </w:r>
            <w:r>
              <w:rPr>
                <w:rFonts w:ascii="Times New Roman" w:hAnsi="Times New Roman" w:eastAsia="Times New Roman"/>
                <w:b w:val="0"/>
                <w:i w:val="0"/>
                <w:sz w:val="20"/>
              </w:rPr>
              <w:t xml:space="preserve"> — the one deliberate exception</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Yes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Disclosed in Table 4.2's own note: the configuration was labelled best on its test metrics, so its test performance is optimistic and it was never deployed as a guidance model</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A1e heteroscedastic runs (5 runs)</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Launched with `--skip_test_logging`, which bypasses the test loader entirely (`scripts/queue_steps.sh`)</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Arm A and Arm C production surrogates (6 runs, Section IV.7)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Lowest validation loss, with early stopping on patience</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All six run logs contain zero `[Test]` lines</w:t>
            </w:r>
          </w:p>
        </w:tc>
      </w:tr>
      <w:tr>
        <w:trPr>
          <w:cantSplit/>
        </w:trPr>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Track E arms (Ch. VIII)</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Pre-registered gate on the primary comparison</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No, the test set is read once, after training, by the analysis script</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Appendix D; the gate quantities are fixed before training</w:t>
            </w:r>
          </w:p>
        </w:tc>
      </w:tr>
    </w:tbl>
    <w:p>
      <w:pPr>
        <w:keepNext w:val="0"/>
        <w:keepLines w:val="0"/>
        <w:widowControl/>
        <w:spacing w:line="240" w:lineRule="auto" w:before="80" w:after="0"/>
        <w:jc w:val="both"/>
      </w:pPr>
      <w:r>
        <w:rPr>
          <w:rFonts w:ascii="Times New Roman" w:hAnsi="Times New Roman" w:eastAsia="Times New Roman"/>
          <w:b w:val="0"/>
          <w:i w:val="0"/>
          <w:sz w:val="20"/>
        </w:rPr>
        <w:t>"Selected on" is the quantity that determined which checkpoint was kept, read from the trainer source rather than inferred. The sweep row is included precisely because it is the exception: it is the only place in this thesis where a configuration was chosen using test-set numbers, it is labelled as optimistic where it appears, and no guidance result depends on it.</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A.6 is a status checklist, not a promise: an item is marked verified only where this project actually checked it, in the sense stated in its own row, and unverified items are disclosed rather than assumed.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A.6</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and emitted by the build rather than typed: commit `e158605c8b95`, built from a working tree with 54 uncommitted change(s). If that line reports uncommitted changes, this PDF was produced from a working tree that is not yet a reproducible reference point, and an immutable tag must be created before submission</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A.3)</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Stored result files still reproduce from the code that claims to produce them</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seven seeded CPU analyses covered by `guidance/verify_results_reproduce.py`: 1,038 values, all reproducing exactly at a relative tolerance of 10⁻⁹. This check failed on its first run and found a stale artefact, described later in this appendix. Not verified, and not claimed, for GPU training and sampling runs, which are not bit-reproducible at a fixed seed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A.7,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Analysis and statistics code passes its own automated test suite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at the time of this build: 18 suites, 0 failures and 0 skipped, covering the leakage guards, the paired-bootstrap and degenerate-variance guards, the split loader, the physics masks, the quantisation path, the sign convention of the guidance injection mechanism, and the build-time guards of this document. No suite is skipped: the runner retries a suite on another interpreter when one lacks a dependency, because no single interpreter on this machine can import both the document toolchain and the modelling stack</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A.6</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A.7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A.7</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A.7</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A.7.1</w:t>
        <w:tab/>
      </w:r>
      <w:r>
        <w:rPr>
          <w:rFonts w:ascii="Times New Roman" w:hAnsi="Times New Roman" w:eastAsia="Times New Roman"/>
          <w:b w:val="0"/>
          <w:i/>
          <w:sz w:val="24"/>
        </w:rPr>
        <w:t>Checking that the stored results still follow from the code</w:t>
      </w:r>
    </w:p>
    <w:p>
      <w:pPr>
        <w:keepNext w:val="0"/>
        <w:keepLines w:val="0"/>
        <w:widowControl/>
        <w:spacing w:line="480" w:lineRule="auto" w:before="0" w:after="0"/>
        <w:ind w:firstLine="720"/>
        <w:jc w:val="both"/>
      </w:pPr>
      <w:r>
        <w:rPr>
          <w:rFonts w:ascii="Times New Roman" w:hAnsi="Times New Roman" w:eastAsia="Times New Roman"/>
          <w:b w:val="0"/>
          <w:i w:val="0"/>
          <w:sz w:val="24"/>
        </w:rPr>
        <w:t>Being able to recompute a result is not the same as having checked that the stored result still matches what the code produces. Nothing else in this project closes that gap. The number checker described earlier in this appendix verifies that this document agrees with the committed result files; it cannot tell whether a result file still agrees with the script that claims to have produced it. A script edited after its output was written, a dependency whose default changed, or an output left behind by an exploratory run would all pass every other check here and leave a thesis whose numbers no longer regenerate.</w:t>
      </w:r>
    </w:p>
    <w:p>
      <w:pPr>
        <w:keepNext w:val="0"/>
        <w:keepLines w:val="0"/>
        <w:widowControl/>
        <w:spacing w:line="480" w:lineRule="auto" w:before="0" w:after="0"/>
        <w:ind w:firstLine="720"/>
        <w:jc w:val="both"/>
      </w:pPr>
      <w:r>
        <w:rPr>
          <w:rFonts w:ascii="Times New Roman" w:hAnsi="Times New Roman" w:eastAsia="Times New Roman"/>
          <w:b w:val="0"/>
          <w:i w:val="0"/>
          <w:sz w:val="24"/>
        </w:rPr>
        <w:t>`guidance/verify_results_reproduce.py` closes it for the analyses where closing it is affordable. It re-runs each seeded, CPU-only analysis, captures the fresh output, restores the committed file, and compares the two field by field at a relative tolerance of 10⁻⁹. The restore happens in a `finally` block, so an interrupted run cannot leave a regenerated file standing in the repository in place of the committed one. Seven analyses are covered, comprising 1,038 individual values: the representation ladder, the noise-ceiling decomposition, the activity-cliff and matched-molecular-pair analyses, the protein-family stratification, the clustering-level check of Chapter III and the residual-variance audit of Chapter IV. All seven now reproduce exactly.</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that statement is narrower than "this thesis reproduces", and the difference is stated rather than left to be assumed. GPU training runs and diffusion sampling runs are not covered. They are not bit-reproducible at this precision even at a fixed seed, a property measured directly rather than assumed and reported with the trajectory traces of Appendix E, and re-running them is hours of compute on the hardware described in Section A.1. No claim is made that they reproduce bit for bit.</w:t>
      </w:r>
    </w:p>
    <w:p>
      <w:pPr>
        <w:keepNext w:val="0"/>
        <w:keepLines w:val="0"/>
        <w:widowControl/>
        <w:spacing w:line="480" w:lineRule="auto" w:before="0" w:after="0"/>
        <w:ind w:firstLine="720"/>
        <w:jc w:val="both"/>
      </w:pPr>
      <w:r>
        <w:rPr>
          <w:rFonts w:ascii="Times New Roman" w:hAnsi="Times New Roman" w:eastAsia="Times New Roman"/>
          <w:b w:val="0"/>
          <w:i w:val="0"/>
          <w:sz w:val="24"/>
        </w:rPr>
        <w:t>The check earned its place on its first run. Six of the seven analyses reproduced; the protein-family stratification did not. Its committed result file carried bootstrap p-values of 0.600 and 0.200, values only reachable from a handful of resamples, while the script's default and the protocol of Section III.6 both specify 2,000. The stored artefact was the output of an early low-resample run that a later full run had never overwritten. The numbers quoted in the protein-family paragraph of Chapter IV were, as it happens, the correct 2,000-resample ones, so no reported result was wrong; but a reader who recomputed from the stored file would have obtained different intervals from the ones printed here, and nothing in the project would have detected a subsequent drift, because those values had never been pinned. The artefact was regenerated, one rounding error in the quoted lower bound was corrected (−0.2645 had been printed as −0.264), and the seven affected values were added to the pinned set. This is recorded here rather than quietly fixed, because the failure mode it illustrates, a stale artefact that is valid in form and wrong in content, is the one a reproducibility check exists to catch.</w:t>
      </w:r>
    </w:p>
    <w:p>
      <w:pPr>
        <w:sectPr>
          <w:headerReference w:type="default" r:id="rId91"/>
          <w:headerReference w:type="first" r:id="rId92"/>
          <w:footerReference w:type="default" r:id="rId93"/>
          <w:footerReference w:type="first" r:id="rId9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A final pass checked the five most recently added references against the Crossref registry, and the preprint among them against its arXiv record, comparing title, author list, venue, volume, pages and DOI field by field.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final pass is reported here rather than quietly absorbed, because it changed three entries and two of the changes were substantive. The preprint BoKDiff had been entered with a reconstructed title and a wrong first-author initial; both are corrected to the record ("BoKDiff: Best-of-K diffusion alignment for target-specific 3D molecule generation", A. Khodabandeh Yalabadi </w:t>
      </w:r>
      <w:r>
        <w:rPr>
          <w:rFonts w:ascii="Times New Roman" w:hAnsi="Times New Roman" w:eastAsia="Times New Roman"/>
          <w:b w:val="0"/>
          <w:i/>
          <w:sz w:val="24"/>
        </w:rPr>
        <w:t>et al.</w:t>
      </w:r>
      <w:r>
        <w:rPr>
          <w:rFonts w:ascii="Times New Roman" w:hAnsi="Times New Roman" w:eastAsia="Times New Roman"/>
          <w:b w:val="0"/>
          <w:i w:val="0"/>
          <w:sz w:val="24"/>
        </w:rPr>
        <w:t xml:space="preserve">), and its "first to apply Best-of-K alignment and Best-of-N sampling to SBDD" claim, on which the narrowing of this thesis's own positive-control novelty in Section VI.5 depends, was confirmed verbatim in the abstract. The Kwapien </w:t>
      </w:r>
      <w:r>
        <w:rPr>
          <w:rFonts w:ascii="Times New Roman" w:hAnsi="Times New Roman" w:eastAsia="Times New Roman"/>
          <w:b w:val="0"/>
          <w:i/>
          <w:sz w:val="24"/>
        </w:rPr>
        <w:t>et al.</w:t>
      </w:r>
      <w:r>
        <w:rPr>
          <w:rFonts w:ascii="Times New Roman" w:hAnsi="Times New Roman" w:eastAsia="Times New Roman"/>
          <w:b w:val="0"/>
          <w:i w:val="0"/>
          <w:sz w:val="24"/>
        </w:rPr>
        <w:t xml:space="preserve"> entry had carried an unresolved venue ("ACS Omega / J. Chem. Inf. Model."); it is ACS Omega, vol. 7, no. 30. The remaining three were confirmed exactly as entered, and DOIs were added to all five. The lesson is the obvious one and is recorded because this thesis argues elsewhere that checks are worth their cost: a reconstructed citation is a hypothesis about a document, and two of five such hypotheses here were wrong in a way only a registry lookup would reveal.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A targeted re-check was run at revision time against the single novelty claim with the largest load-bearing role in Chapter IV, the within-target label-permutation decomposition of apparent performance into a class-level prior and a within-target structure–activity component. Two searches, phrased once around the permutation control itself and once around the equivalent baseline a reader might expect it to be called (a per-target mean or target-stratified baseline on PDBbind-style data), did not return a study applying that control to protein–ligand affinity prediction; the claim is therefore left standing, in the "we did not find" form used throughout. The same check did surface contemporaneous work reaching a compatible conclusion by a different method, MIRAGE [60], which is now cited in Section II.4 and discussed in Section IV.8 as convergence rather than precedence, since it was released while this thesis was being written and measures family support rather than within-target signal. Recording this is the point of the exercise: a novelty claim that survives a directed attempt to refute it is worth more than one that was never tested, and the attempt is documented here so that a reader can repeat it.</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95"/>
          <w:headerReference w:type="first" r:id="rId96"/>
          <w:footerReference w:type="default" r:id="rId97"/>
          <w:footerReference w:type="first" r:id="rId9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99"/>
          <w:headerReference w:type="first" r:id="rId100"/>
          <w:footerReference w:type="default" r:id="rId101"/>
          <w:footerReference w:type="first" r:id="rId102"/>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103"/>
          <w:headerReference w:type="first" r:id="rId104"/>
          <w:footerReference w:type="default" r:id="rId105"/>
          <w:footerReference w:type="first" r:id="rId106"/>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31" name="Picture 31"/>
            <wp:cNvGraphicFramePr>
              <a:graphicFrameLocks noChangeAspect="1"/>
            </wp:cNvGraphicFramePr>
            <a:graphic>
              <a:graphicData uri="http://schemas.openxmlformats.org/drawingml/2006/picture">
                <pic:pic>
                  <pic:nvPicPr>
                    <pic:cNvPr id="0" name="meta_summary_all_routes.png"/>
                    <pic:cNvPicPr/>
                  </pic:nvPicPr>
                  <pic:blipFill>
                    <a:blip r:embed="rId111"/>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 The "kitchen-sink" row stacks all four interventions at once and is reported as an exploratory aggregate: with the four applied together and never in subsets, their individual contributions and any interactions among them are not identified (a full factorial would require 2⁴ = 16 arms, which was outside this project's compute budget). No synergy between the interventions is claimed anywhere from this row, and its value should not be read as attributable to any one of the four.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E.8.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[35]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32" name="Picture 32"/>
            <wp:cNvGraphicFramePr>
              <a:graphicFrameLocks noChangeAspect="1"/>
            </wp:cNvGraphicFramePr>
            <a:graphic>
              <a:graphicData uri="http://schemas.openxmlformats.org/drawingml/2006/picture">
                <pic:pic>
                  <pic:nvPicPr>
                    <pic:cNvPr id="0" name="fig1_predictive_quality.png"/>
                    <pic:cNvPicPr/>
                  </pic:nvPicPr>
                  <pic:blipFill>
                    <a:blip r:embed="rId112"/>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all eight checkpoints trained in the follow-up investigation (Table E.1 lists them),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33" name="Picture 33"/>
            <wp:cNvGraphicFramePr>
              <a:graphicFrameLocks noChangeAspect="1"/>
            </wp:cNvGraphicFramePr>
            <a:graphic>
              <a:graphicData uri="http://schemas.openxmlformats.org/drawingml/2006/picture">
                <pic:pic>
                  <pic:nvPicPr>
                    <pic:cNvPr id="0" name="fig4_dose_response.png"/>
                    <pic:cNvPicPr/>
                  </pic:nvPicPr>
                  <pic:blipFill>
                    <a:blip r:embed="rId113"/>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34" name="Picture 34"/>
            <wp:cNvGraphicFramePr>
              <a:graphicFrameLocks noChangeAspect="1"/>
            </wp:cNvGraphicFramePr>
            <a:graphic>
              <a:graphicData uri="http://schemas.openxmlformats.org/drawingml/2006/picture">
                <pic:pic>
                  <pic:nvPicPr>
                    <pic:cNvPr id="0" name="fig2_diag1_dissociation.png"/>
                    <pic:cNvPicPr/>
                  </pic:nvPicPr>
                  <pic:blipFill>
                    <a:blip r:embed="rId114"/>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chemically meaningful interactions,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geometrically detected, chemically meaningful protein–ligand interactions a pose actually forms — hydrogen bonds, hydrophobic contacts, π-stacking and salt bridges, counted by the Protein–Ligand Interaction Profiler (PLIP) [1], [43] on the same Vina-docked poses used throughout this appendix. This matters specifically against one alternative explanation for the overall null pattern: that Vina Dock is a misleading proxy hiding an interaction-level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What a count of detected interactions can support is also narrower than the phrase "chemistry-level effect" might suggest, and the limit applies symmetrically to both directions of this result. PLIP applies geometric and chemical criteria to a pose and returns the contacts that satisfy them; the number it returns can rise because a molecule genuinely makes more favourable contacts, but equally because it grew, because an atom drifted inside a distance cut-off, or because a pose shifted in a way that satisfies an angular criterion without improving binding. A rise is therefore not evidence of improved affinity, and a fall is not evidence of the reverse. The count was used here as an </w:t>
      </w:r>
      <w:r>
        <w:rPr>
          <w:rFonts w:ascii="Times New Roman" w:hAnsi="Times New Roman" w:eastAsia="Times New Roman"/>
          <w:b w:val="0"/>
          <w:i/>
          <w:sz w:val="24"/>
        </w:rPr>
        <w:t>orthogonal-outcome</w:t>
      </w:r>
      <w:r>
        <w:rPr>
          <w:rFonts w:ascii="Times New Roman" w:hAnsi="Times New Roman" w:eastAsia="Times New Roman"/>
          <w:b w:val="0"/>
          <w:i w:val="0"/>
          <w:sz w:val="24"/>
        </w:rPr>
        <w:t xml:space="preserve"> check, a quantity that moves on different grounds from Vina Dock and so would corroborate a docking effect if it moved with one, and not as a measure of binding in its own right. No claim in this thesis rests on an interaction count alone.</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35" name="Picture 35"/>
            <wp:cNvGraphicFramePr>
              <a:graphicFrameLocks noChangeAspect="1"/>
            </wp:cNvGraphicFramePr>
            <a:graphic>
              <a:graphicData uri="http://schemas.openxmlformats.org/drawingml/2006/picture">
                <pic:pic>
                  <pic:nvPicPr>
                    <pic:cNvPr id="0" name="fig9_plip_signal_reversal.png"/>
                    <pic:cNvPicPr/>
                  </pic:nvPicPr>
                  <pic:blipFill>
                    <a:blip r:embed="rId115"/>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[37], was removed entirely — 53 targets (8,880 entries) moved to test, with no kinase-family target appearing anywhere in training or validation. The scope of what this can establish should be fixed before its result is read: one family was held out, not many, so the correct reading is "the null survives the hardest </w:t>
      </w:r>
      <w:r>
        <w:rPr>
          <w:rFonts w:ascii="Times New Roman" w:hAnsi="Times New Roman" w:eastAsia="Times New Roman"/>
          <w:b w:val="0"/>
          <w:i/>
          <w:sz w:val="24"/>
        </w:rPr>
        <w:t>single-family</w:t>
      </w:r>
      <w:r>
        <w:rPr>
          <w:rFonts w:ascii="Times New Roman" w:hAnsi="Times New Roman" w:eastAsia="Times New Roman"/>
          <w:b w:val="0"/>
          <w:i w:val="0"/>
          <w:sz w:val="24"/>
        </w:rPr>
        <w:t xml:space="preserve"> generalisation test available in this split", not that the predictor is robust out of distribution across the proteome. Kinases are also an unusually well-populated and internally homogeneous family, which makes them the most favourable case for a model that has learned family-level regularities and the most demanding one for a model that has not; a family chosen for being small or structurally heterogeneous could behave differently. Repeating this with several held-out families, which this project did not have the compute budget to do, is the obvious strengthening.</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36" name="Picture 36"/>
            <wp:cNvGraphicFramePr>
              <a:graphicFrameLocks noChangeAspect="1"/>
            </wp:cNvGraphicFramePr>
            <a:graphic>
              <a:graphicData uri="http://schemas.openxmlformats.org/drawingml/2006/picture">
                <pic:pic>
                  <pic:nvPicPr>
                    <pic:cNvPr id="0" name="fig7_family_holdout_quality.png"/>
                    <pic:cNvPicPr/>
                  </pic:nvPicPr>
                  <pic:blipFill>
                    <a:blip r:embed="rId116"/>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[52]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37" name="Picture 37"/>
            <wp:cNvGraphicFramePr>
              <a:graphicFrameLocks noChangeAspect="1"/>
            </wp:cNvGraphicFramePr>
            <a:graphic>
              <a:graphicData uri="http://schemas.openxmlformats.org/drawingml/2006/picture">
                <pic:pic>
                  <pic:nvPicPr>
                    <pic:cNvPr id="0" name="fig5_alphafold_plddt_rmsd.png"/>
                    <pic:cNvPicPr/>
                  </pic:nvPicPr>
                  <pic:blipFill>
                    <a:blip r:embed="rId117"/>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38" name="Picture 38"/>
            <wp:cNvGraphicFramePr>
              <a:graphicFrameLocks noChangeAspect="1"/>
            </wp:cNvGraphicFramePr>
            <a:graphic>
              <a:graphicData uri="http://schemas.openxmlformats.org/drawingml/2006/picture">
                <pic:pic>
                  <pic:nvPicPr>
                    <pic:cNvPr id="0" name="fig6_pocket_vs_global_plddt.png"/>
                    <pic:cNvPicPr/>
                  </pic:nvPicPr>
                  <pic:blipFill>
                    <a:blip r:embed="rId118"/>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Two things change at once between these arms, and the comparison cannot separate them: </w:t>
      </w:r>
      <w:r>
        <w:rPr>
          <w:rFonts w:ascii="Times New Roman" w:hAnsi="Times New Roman" w:eastAsia="Times New Roman"/>
          <w:b w:val="0"/>
          <w:i/>
          <w:sz w:val="24"/>
        </w:rPr>
        <w:t>which</w:t>
      </w:r>
      <w:r>
        <w:rPr>
          <w:rFonts w:ascii="Times New Roman" w:hAnsi="Times New Roman" w:eastAsia="Times New Roman"/>
          <w:b w:val="0"/>
          <w:i w:val="0"/>
          <w:sz w:val="24"/>
        </w:rPr>
        <w:t xml:space="preserve"> residues are represented (pocket versus whole chain) and </w:t>
      </w:r>
      <w:r>
        <w:rPr>
          <w:rFonts w:ascii="Times New Roman" w:hAnsi="Times New Roman" w:eastAsia="Times New Roman"/>
          <w:b w:val="0"/>
          <w:i/>
          <w:sz w:val="24"/>
        </w:rPr>
        <w:t>how</w:t>
      </w:r>
      <w:r>
        <w:rPr>
          <w:rFonts w:ascii="Times New Roman" w:hAnsi="Times New Roman" w:eastAsia="Times New Roman"/>
          <w:b w:val="0"/>
          <w:i w:val="0"/>
          <w:sz w:val="24"/>
        </w:rPr>
        <w:t xml:space="preserve"> their embeddings are reduced to a fixed vector (a mean over 3–60 vectors versus a mean over hundreds). The result therefore bounds this particular pocket-restricted integration, not the value of pocket-local protein-language-model features in general; an arm that kept the residue selection but replaced mean-pooling with an attention or set-based reduction, at the same backbone and training budget, would be needed to attribute the loss to either factor. It is reported as a negative result for the variant tried.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[62],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39" name="Picture 39"/>
            <wp:cNvGraphicFramePr>
              <a:graphicFrameLocks noChangeAspect="1"/>
            </wp:cNvGraphicFramePr>
            <a:graphic>
              <a:graphicData uri="http://schemas.openxmlformats.org/drawingml/2006/picture">
                <pic:pic>
                  <pic:nvPicPr>
                    <pic:cNvPr id="0" name="fig8_chembl_crossvalidation.png"/>
                    <pic:cNvPicPr/>
                  </pic:nvPicPr>
                  <pic:blipFill>
                    <a:blip r:embed="rId119"/>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E.4.3</w:t>
        <w:tab/>
      </w:r>
      <w:r>
        <w:rPr>
          <w:rFonts w:ascii="Times New Roman" w:hAnsi="Times New Roman" w:eastAsia="Times New Roman"/>
          <w:b w:val="0"/>
          <w:i/>
          <w:sz w:val="24"/>
        </w:rPr>
        <w:t>Was CD38 a pattern or a one-off? An expanded sample</w:t>
      </w:r>
    </w:p>
    <w:p>
      <w:pPr>
        <w:keepNext w:val="0"/>
        <w:keepLines w:val="0"/>
        <w:widowControl/>
        <w:spacing w:line="480" w:lineRule="auto" w:before="0" w:after="0"/>
        <w:ind w:firstLine="720"/>
        <w:jc w:val="both"/>
      </w:pPr>
      <w:r>
        <w:rPr>
          <w:rFonts w:ascii="Times New Roman" w:hAnsi="Times New Roman" w:eastAsia="Times New Roman"/>
          <w:b w:val="0"/>
          <w:i w:val="0"/>
          <w:sz w:val="24"/>
        </w:rPr>
        <w:t>The four-target check above is not a sample; the targets were chosen because they recur throughout this appendix, and four points cannot say whether the one disagreement found (CD38) is a pattern or a one-off. A further 20 targets were drawn by seeded random sampling from the 127-target leakage-safe test set of Chapter IV (seed 20261016, `guidance/chembl_f051_sample.py`) and checked the same way: this project's own pK range for the target against ChEMBL's independently curated Ki range, retrieved 2026-10-16, via the bio-research ChEMBL MCP connector (activity_type=Ki, unit=nM).</w:t>
      </w:r>
    </w:p>
    <w:p>
      <w:pPr>
        <w:keepNext w:val="0"/>
        <w:keepLines w:val="0"/>
        <w:widowControl/>
        <w:spacing w:line="480" w:lineRule="auto" w:before="0" w:after="0"/>
        <w:ind w:firstLine="720"/>
        <w:jc w:val="both"/>
      </w:pPr>
      <w:r>
        <w:rPr>
          <w:rFonts w:ascii="Times New Roman" w:hAnsi="Times New Roman" w:eastAsia="Times New Roman"/>
          <w:b w:val="0"/>
          <w:i w:val="0"/>
          <w:sz w:val="24"/>
        </w:rPr>
        <w:t>Of the 20 targets drawn, 3 could not be mapped to a single ChEMBL target with confidence and were excluded rather than guessed at: one carried an organism code this check could not resolve to a specific species without risking a cross-species mismatch, and two returned no plausible ChEMBL target at all under a gene-symbol or name search. Of the 17 that resolved, 4 have no Ki-type measurement in ChEMBL at all, which is itself a finding about coverage rather than a failure of this check: ChEMBL's curation of some targets, such as a lectin typically assayed by fluorescence polarisation rather than classical binding, or targets with little medicinal-chemistry history, is sparse for the specific activity type (Ki) this comparison requires, independent of whether the target is well studied by other measures.</w:t>
      </w:r>
    </w:p>
    <w:p>
      <w:pPr>
        <w:keepNext w:val="0"/>
        <w:keepLines w:val="0"/>
        <w:widowControl/>
        <w:spacing w:line="480" w:lineRule="auto" w:before="0" w:after="0"/>
        <w:ind w:firstLine="720"/>
        <w:jc w:val="both"/>
      </w:pPr>
      <w:r>
        <w:rPr>
          <w:rFonts w:ascii="Times New Roman" w:hAnsi="Times New Roman" w:eastAsia="Times New Roman"/>
          <w:b w:val="0"/>
          <w:i w:val="0"/>
          <w:sz w:val="24"/>
        </w:rPr>
        <w:t>Of the 13 targets with ChEMBL Ki data, 12 of 13 show this project's pK range overlapping ChEMBL's independently curated range. CD38 is not a one-off: a second, independent disagreement of the same shape appears in RNAS2 (non-secretory ribonuclease / RNase 2), where this project's labels are uniformly weak (pK 4.24–4.49, n = 6) while ChEMBL's only two Ki entries for this target, from the same published inhibitor series, are both sub-micromolar (pChEMBL 6.75), shown in Figure E.10. The explanation proposed for CD38 fits here too and is strengthened by recurring: a crystallised complex's co-crystallisation ligand need not be the most potent compound known against that target, while ChEMBL's curation favours published medicinal-chemistry series that report their best analogues. At 12 of 13 targets overlapping, the large majority of this project's labels agree with an independent source; the PDBBind/crystallography-versus-ChEMBL/medicinal-chemistry divergence is real but occasional, consistent with the single occurrence found in the four-target check and the same single additional occurrence found here.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E.6</w:t>
        <w:tab/>
        <w:t>Expanded ChEMBL cross-validation: all resolved targets of the 20-target random sample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91"/>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 (CrossDocked mnemonic)</w:t>
            </w:r>
          </w:p>
        </w:tc>
        <w:tc>
          <w:tcPr>
            <w:tcW w:type="dxa" w:w="1429"/>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w:t>
            </w:r>
          </w:p>
        </w:tc>
        <w:tc>
          <w:tcPr>
            <w:tcW w:type="dxa" w:w="3395"/>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returned)</w:t>
            </w:r>
          </w:p>
        </w:tc>
        <w:tc>
          <w:tcPr>
            <w:tcW w:type="dxa" w:w="893"/>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BTK</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7.06–7.06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4.00–9.84 (259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DAPK3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4.28–4.28 (1)</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4.00–9.00 (353 / 963)</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FA11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4.10–9.52 (301)</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3.61–10.70 (865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FYN</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8.32–8.32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4.10–9.40 (34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KIT</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7.70–8.22 (10)</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5.24–9.80 (438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MRCKB</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5.72–8.40 (5)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6.00–10.92 (229 / 230)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NR1H3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6.06–7.57 (12)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4.51–8.52 (341 / 445)</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NRAM</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3.65–8.92 (85)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4.82–10.00 (50 / 51)</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PDE4A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4.14–5.48 (4)</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4.16–9.37 (94 / 110)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PDE4D</w:t>
            </w:r>
          </w:p>
        </w:tc>
        <w:tc>
          <w:tcPr>
            <w:tcW w:type="dxa" w:w="1429"/>
          </w:tcPr>
          <w:p>
            <w:pPr>
              <w:keepNext w:val="0"/>
              <w:keepLines w:val="0"/>
              <w:widowControl/>
              <w:spacing w:line="240" w:lineRule="auto" w:before="20" w:after="20"/>
              <w:jc w:val="left"/>
            </w:pPr>
            <w:r>
              <w:rPr>
                <w:rFonts w:ascii="Times New Roman" w:hAnsi="Times New Roman" w:eastAsia="Times New Roman"/>
                <w:b w:val="0"/>
                <w:i w:val="0"/>
                <w:sz w:val="20"/>
              </w:rPr>
              <w:t>4.09–10.68 (342)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4.08–10.21 (141 / 155)</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RNAS2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4.24–4.49 (6)</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6.75–6.75 (2 / 2)</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No 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ROCK1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5.96–8.22 (80)</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4.10–9.10 (494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SMYD2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6.27–8.55 (28)</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6.46–8.10 (4 / 4)</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APOA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4.70–4.70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CHIA1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3.79–4.10 (9)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DEF</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5.85–7.89 (59)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EPMA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7.96–7.96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LEG3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3.04–7.47 (39)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PCXB</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2.00–7.22 (88)</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TRY2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1.82–5.35 (25)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bl>
    <w:p>
      <w:pPr>
        <w:keepNext w:val="0"/>
        <w:keepLines w:val="0"/>
        <w:widowControl/>
        <w:spacing w:line="240" w:lineRule="auto" w:before="80" w:after="0"/>
        <w:jc w:val="both"/>
      </w:pPr>
      <w:r>
        <w:rPr>
          <w:rFonts w:ascii="Times New Roman" w:hAnsi="Times New Roman" w:eastAsia="Times New Roman"/>
          <w:b w:val="0"/>
          <w:i w:val="0"/>
          <w:sz w:val="20"/>
        </w:rPr>
        <w:t>Source: `guidance/chembl_crossvalidation_expanded_results.json`, generated by `guidance/chembl_f051_sample.py` (local sampling, reproducible) combined with a ChEMBL Ki retrieval on 2026-10-16 (not re-runnable from inside this repository as a script; target ChEMBL IDs are recorded in the source file for direct re-query). ChEMBL ranges for the three best-studied targets (BTK, Factor XI, KIT, ROCK1) are drawn from the first 1,000 Ki records ChEMBL returns and may understate the true range if more than 1,000 exist; this can only narrow, not manufacture, an apparent disagreement. ‘No Ki-type activity’ means ChEMBL returned zero records of activity type Ki for that target specifically, not that the target is absent from ChEMBL or unstudied.</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258689"/>
            <wp:docPr id="40" name="Picture 40"/>
            <wp:cNvGraphicFramePr>
              <a:graphicFrameLocks noChangeAspect="1"/>
            </wp:cNvGraphicFramePr>
            <a:graphic>
              <a:graphicData uri="http://schemas.openxmlformats.org/drawingml/2006/picture">
                <pic:pic>
                  <pic:nvPicPr>
                    <pic:cNvPr id="0" name="fig_chembl_expansion.png"/>
                    <pic:cNvPicPr/>
                  </pic:nvPicPr>
                  <pic:blipFill>
                    <a:blip r:embed="rId120"/>
                    <a:stretch>
                      <a:fillRect/>
                    </a:stretch>
                  </pic:blipFill>
                  <pic:spPr>
                    <a:xfrm>
                      <a:off x="0" y="0"/>
                      <a:ext cx="5276088" cy="325868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This project's pK range (blue) against ChEMBL's independently curated Ki range (grey, or red where the two ranges fail to overlap), for every target of Table E.9 with ChEMBL Ki data, sorted by this project's own minimum. A range with a single measurement, or several identical ones, is drawn as a dot rather than a disappearing zero-length line. Twelve of the thirteen ranges touch; RNAS2 is the exception, and it fails to overlap by nearly two pK units, the same scale and the same direction (this project reads weak, ChEMBL reads potent) as the CD38 discrepancy of Figure E.9.</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in this molecule, ends two orders of magnitude below the raw nudge sum</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E.7</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E.7, Figure E.11).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41" name="Picture 41"/>
            <wp:cNvGraphicFramePr>
              <a:graphicFrameLocks noChangeAspect="1"/>
            </wp:cNvGraphicFramePr>
            <a:graphic>
              <a:graphicData uri="http://schemas.openxmlformats.org/drawingml/2006/picture">
                <pic:pic>
                  <pic:nvPicPr>
                    <pic:cNvPr id="0" name="trace_gap_plot.png"/>
                    <pic:cNvPicPr/>
                  </pic:nvPicPr>
                  <pic:blipFill>
                    <a:blip r:embed="rId121"/>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E.7.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in this molecule (at most 0.13 Å for any of its atoms; the following subsection shows this bound is not general), the two runs' final reconstructed molecules have completely different SMILES, both single-fragment and both chemically valid (Figure E.12).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E.7 measures — a "butterfly effect" specific to discrete sampling, not evidence that the position-level effect was itself large. The specific step at which the type-sampling decision flips was not isolated, and this detail is flagged as open rather than claimed as settled. Figure E.13 and Figure E.14 render the two molecules of this pair in their docked 3D binding context, the same pair whose 2D structures and position trajectory are given in Figure E.12 and Table E.7.</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42" name="Picture 42"/>
            <wp:cNvGraphicFramePr>
              <a:graphicFrameLocks noChangeAspect="1"/>
            </wp:cNvGraphicFramePr>
            <a:graphic>
              <a:graphicData uri="http://schemas.openxmlformats.org/drawingml/2006/picture">
                <pic:pic>
                  <pic:nvPicPr>
                    <pic:cNvPr id="0" name="trace_molecules_2d.png"/>
                    <pic:cNvPicPr/>
                  </pic:nvPicPr>
                  <pic:blipFill>
                    <a:blip r:embed="rId122"/>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43" name="Picture 43"/>
            <wp:cNvGraphicFramePr>
              <a:graphicFrameLocks noChangeAspect="1"/>
            </wp:cNvGraphicFramePr>
            <a:graphic>
              <a:graphicData uri="http://schemas.openxmlformats.org/drawingml/2006/picture">
                <pic:pic>
                  <pic:nvPicPr>
                    <pic:cNvPr id="0" name="trace_unguided.png"/>
                    <pic:cNvPicPr/>
                  </pic:nvPicPr>
                  <pic:blipFill>
                    <a:blip r:embed="rId123"/>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unguided (λ=0) molecule of the paired trace, docked into its pocket (PDB 1h36) and rendered with its hydrogen-bond partners. Renders the same molecule referenced in Figure E.12 and Table E.7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44" name="Picture 44"/>
            <wp:cNvGraphicFramePr>
              <a:graphicFrameLocks noChangeAspect="1"/>
            </wp:cNvGraphicFramePr>
            <a:graphic>
              <a:graphicData uri="http://schemas.openxmlformats.org/drawingml/2006/picture">
                <pic:pic>
                  <pic:nvPicPr>
                    <pic:cNvPr id="0" name="trace_guided.png"/>
                    <pic:cNvPicPr/>
                  </pic:nvPicPr>
                  <pic:blipFill>
                    <a:blip r:embed="rId124"/>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limits of this trace are stated explicitly, because each bounds a different conclusion that a reader might otherwise draw from it. First, </w:t>
      </w:r>
      <w:r>
        <w:rPr>
          <w:rFonts w:ascii="Times New Roman" w:hAnsi="Times New Roman" w:eastAsia="Times New Roman"/>
          <w:b w:val="0"/>
          <w:i/>
          <w:sz w:val="24"/>
        </w:rPr>
        <w:t>n</w:t>
      </w:r>
      <w:r>
        <w:rPr>
          <w:rFonts w:ascii="Times New Roman" w:hAnsi="Times New Roman" w:eastAsia="Times New Roman"/>
          <w:b w:val="0"/>
          <w:i w:val="0"/>
          <w:sz w:val="24"/>
        </w:rPr>
        <w:t xml:space="preserve"> = 1 establishes that the phenomenon occurs, not how often or how typically it occurs: this trace is an existence demonstration, and no rate, mean or distribution of the per-step gap over molecules, pockets or seeds is claimed from it. Tracing tens of molecules per pocket and reporting that distribution is the natural next step and was not run here; until it is, any statement of the form "the nudge is typically buried in the sampler's noise" should be read as a hypothesis this single trace is compatible with, not as a measured population property. Second, and relatedly, a small guided-versus-unguided gap is compatible with </w:t>
      </w:r>
      <w:r>
        <w:rPr>
          <w:rFonts w:ascii="Times New Roman" w:hAnsi="Times New Roman" w:eastAsia="Times New Roman"/>
          <w:b w:val="0"/>
          <w:i/>
          <w:sz w:val="24"/>
        </w:rPr>
        <w:t>several</w:t>
      </w:r>
      <w:r>
        <w:rPr>
          <w:rFonts w:ascii="Times New Roman" w:hAnsi="Times New Roman" w:eastAsia="Times New Roman"/>
          <w:b w:val="0"/>
          <w:i w:val="0"/>
          <w:sz w:val="24"/>
        </w:rPr>
        <w:t xml:space="preserve"> underlying dynamics, not only with the nudge being overwhelmed by the sampler's intrinsic step noise: a gradient that is small, one that is inconsistent in direction across steps, and one that is actively counteracted by the denoiser would all leave a small terminal gap. Distinguishing them requires intervening on the stochastic component itself, for example by re-running the identical trace under a reduced or zeroed noise schedule and tracking the deterministic and stochastic contributions separately, which this appendix did not do. The noise-overwhelming account is therefore the hypothesis this trace was designed to test and failed to reject, not a mechanism it isolates causally. Third, guidance here acts on atomic positions only; the atom-type channel is never steered directly (Section III.3.2), yet atom types can still change between the two runs through their coupling with the positions inside the denoiser, which is precisely the discrete identity change noted above. The positional trace therefore does not account for the full difference between the two molecules, and the magnitude of the type-channel movement, for instance as a divergence between the two runs' atom-type logits, was not measured.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E.5.5</w:t>
        <w:tab/>
      </w:r>
      <w:r>
        <w:rPr>
          <w:rFonts w:ascii="Times New Roman" w:hAnsi="Times New Roman" w:eastAsia="Times New Roman"/>
          <w:b w:val="0"/>
          <w:i/>
          <w:sz w:val="24"/>
        </w:rPr>
        <w:t>Was that molecule representative? The same trace over 24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account above rests on one molecule, and the paragraph that closes it states a condition under which the opposite conclusion would have followed. That makes the question of whether the molecule was typical a testable one rather than a rhetorical one, so it was tested: the identical paired-deterministic protocol, the same checkpoint, the same pocket and the same guidance strength were run over 24 molecules, varying only the seed, which varies the starting noise, the per-step stochastic draws and the sampled atom count together.</w:t>
      </w:r>
    </w:p>
    <w:p>
      <w:pPr>
        <w:keepNext w:val="0"/>
        <w:keepLines w:val="0"/>
        <w:widowControl/>
        <w:spacing w:line="480" w:lineRule="auto" w:before="0" w:after="0"/>
        <w:ind w:firstLine="720"/>
        <w:jc w:val="both"/>
      </w:pPr>
      <w:r>
        <w:rPr>
          <w:rFonts w:ascii="Times New Roman" w:hAnsi="Times New Roman" w:eastAsia="Times New Roman"/>
          <w:b w:val="0"/>
          <w:i w:val="0"/>
          <w:sz w:val="24"/>
        </w:rPr>
        <w:t>The typical molecule behaves as the case study described, and the spread around it does not. The median mean-gap is 0.0158 Å and the median gap is 0.77% of the cumulative nudge per atom, both close to the case study's reading. But the range runs from 0.0050 to 0.4361 Å, a factor of 87, and 8 of the 24 molecules end above 1% of the cumulative nudge, seven of them between 4.7% and 28.5%. The largest single-atom displacement observed is 1.68 Å, against the 0.13 Å of the case study. The molecule traced in the previous subsection sits at about the 70th percentile of this distribution: not an outlier, but above the middle, and in no sense a bound.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statements are therefore revised. "Two orders of magnitude below the raw nudge sum" and "at most 0.13 Å for any atom" describe that molecule and are withdrawn as general claims; they hold for the median molecule but not for roughly a third of them. The third revision is the consequential one. The case study's closing paragraph pre-stated that a gap growing to a large fraction of the raw cumulative nudge, while the molecule remained chemically valid, would have pointed at the guidance </w:t>
      </w:r>
      <w:r>
        <w:rPr>
          <w:rFonts w:ascii="Times New Roman" w:hAnsi="Times New Roman" w:eastAsia="Times New Roman"/>
          <w:b w:val="0"/>
          <w:i/>
          <w:sz w:val="24"/>
        </w:rPr>
        <w:t>direction</w:t>
      </w:r>
      <w:r>
        <w:rPr>
          <w:rFonts w:ascii="Times New Roman" w:hAnsi="Times New Roman" w:eastAsia="Times New Roman"/>
          <w:b w:val="0"/>
          <w:i w:val="0"/>
          <w:sz w:val="24"/>
        </w:rPr>
        <w:t xml:space="preserve"> rather than at the injection mechanism. In 8 of 24 molecules the geometric half of that condition is approached, and in the most extreme the nudge is plainly not being overwhelmed at all. The chemical-validity half was not measured in this run, so the pre-stated condition is not claimed to be met in full; what can be said is that the injection-mechanism account describes the typical molecule and not the population.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That revision strengthens the thesis's reading rather than unsettling it, and the reason is worth stating explicitly. In the molecules where the nudge is </w:t>
      </w:r>
      <w:r>
        <w:rPr>
          <w:rFonts w:ascii="Times New Roman" w:hAnsi="Times New Roman" w:eastAsia="Times New Roman"/>
          <w:b w:val="0"/>
          <w:i/>
          <w:sz w:val="24"/>
        </w:rPr>
        <w:t>not</w:t>
      </w:r>
      <w:r>
        <w:rPr>
          <w:rFonts w:ascii="Times New Roman" w:hAnsi="Times New Roman" w:eastAsia="Times New Roman"/>
          <w:b w:val="0"/>
          <w:i w:val="0"/>
          <w:sz w:val="24"/>
        </w:rPr>
        <w:t xml:space="preserve"> swamped, where atoms move by a substantial fraction of the accumulated push, the independently computed docking score still does not improve: those molecules are drawn from the same pools whose docking null is reported in Chapter V and Appendix E.2. A guidance signal that moves atoms appreciably and still produces no docking benefit is evidence about the signal, not about the mechanism carrying it, which is the F1 reading of Chapter III. It converges with the signed-direction measurement of Section V.4, which found the gradient's direction indistinguishable from random over 23,202 atom-states. Two independent measurements, one of where the gradient points and one of how far it actually moves atoms, now agree that the limitation lies in what the predictor knows rather than in whether its gradient reaches the sampler.</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26169"/>
            <wp:docPr id="45" name="Picture 45"/>
            <wp:cNvGraphicFramePr>
              <a:graphicFrameLocks noChangeAspect="1"/>
            </wp:cNvGraphicFramePr>
            <a:graphic>
              <a:graphicData uri="http://schemas.openxmlformats.org/drawingml/2006/picture">
                <pic:pic>
                  <pic:nvPicPr>
                    <pic:cNvPr id="0" name="fig_trace_distribution.png"/>
                    <pic:cNvPicPr/>
                  </pic:nvPicPr>
                  <pic:blipFill>
                    <a:blip r:embed="rId125"/>
                    <a:stretch>
                      <a:fillRect/>
                    </a:stretch>
                  </pic:blipFill>
                  <pic:spPr>
                    <a:xfrm>
                      <a:off x="0" y="0"/>
                      <a:ext cx="5276088" cy="232616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E.15</w:t>
        <w:tab/>
        <w:t>The paired-deterministic trace of this appendix repeated over 24 molecules, varying only the seed. Left: the mean all-atom position gap after 1,000 reverse-diffusion steps for each molecule, with the median marked and the single molecule of the preceding subsection drawn as a star. The distribution spans a factor of 87, and the case-study molecule sits above the median rather than at it. Right: the same gap expressed as a percentage of the cumulative guidance nudge per atom, one bar per molecule, sorted. The dashed line is the ≈1% figure quoted from the single molecule; 8 of 24 molecules exceed it and seven lie between 4.7% and 28.5%, so the "two orders of magnitude below the nudge" reading describes the median molecule and not the population. Chemical validity was not evaluated for these 24 traces, so the figure speaks to geometry alone.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E.8 lists every source.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E.8</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E.16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46" name="Picture 46"/>
            <wp:cNvGraphicFramePr>
              <a:graphicFrameLocks noChangeAspect="1"/>
            </wp:cNvGraphicFramePr>
            <a:graphic>
              <a:graphicData uri="http://schemas.openxmlformats.org/drawingml/2006/picture">
                <pic:pic>
                  <pic:nvPicPr>
                    <pic:cNvPr id="0" name="fig3_pooled_forest.png"/>
                    <pic:cNvPicPr/>
                  </pic:nvPicPr>
                  <pic:blipFill>
                    <a:blip r:embed="rId126"/>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E.16</w:t>
        <w:tab/>
        <w:t>Effect size and 95% confidence interval of every one of the 48 pooled comparisons of Table E.8,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an interaction-level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E.7.1</w:t>
        <w:tab/>
      </w:r>
      <w:r>
        <w:rPr>
          <w:rFonts w:ascii="Times New Roman" w:hAnsi="Times New Roman" w:eastAsia="Times New Roman"/>
          <w:b w:val="0"/>
          <w:i/>
          <w:sz w:val="24"/>
        </w:rPr>
        <w:t>Was CD38 a pattern or a one-off? An expanded sample</w:t>
      </w:r>
    </w:p>
    <w:p>
      <w:pPr>
        <w:keepNext w:val="0"/>
        <w:keepLines w:val="0"/>
        <w:widowControl/>
        <w:spacing w:line="480" w:lineRule="auto" w:before="0" w:after="0"/>
        <w:ind w:firstLine="720"/>
        <w:jc w:val="both"/>
      </w:pPr>
      <w:r>
        <w:rPr>
          <w:rFonts w:ascii="Times New Roman" w:hAnsi="Times New Roman" w:eastAsia="Times New Roman"/>
          <w:b w:val="0"/>
          <w:i w:val="0"/>
          <w:sz w:val="24"/>
        </w:rPr>
        <w:t>The four-target check above is not a sample; the targets were chosen because they recur throughout this appendix, and four points cannot say whether the one disagreement found (CD38) is a pattern or a one-off. A further 20 targets were drawn by seeded random sampling from the 127-target leakage-safe test set of Chapter IV (seed 20261016, `guidance/chembl_f051_sample.py`) and checked the same way: this project's own pK range for the target against ChEMBL's independently curated Ki range, retrieved 2026-10-16, via the bio-research ChEMBL MCP connector (activity_type=Ki, unit=nM).</w:t>
      </w:r>
    </w:p>
    <w:p>
      <w:pPr>
        <w:keepNext w:val="0"/>
        <w:keepLines w:val="0"/>
        <w:widowControl/>
        <w:spacing w:line="480" w:lineRule="auto" w:before="0" w:after="0"/>
        <w:ind w:firstLine="720"/>
        <w:jc w:val="both"/>
      </w:pPr>
      <w:r>
        <w:rPr>
          <w:rFonts w:ascii="Times New Roman" w:hAnsi="Times New Roman" w:eastAsia="Times New Roman"/>
          <w:b w:val="0"/>
          <w:i w:val="0"/>
          <w:sz w:val="24"/>
        </w:rPr>
        <w:t>Of the 20 targets drawn, 3 could not be mapped to a single ChEMBL target with confidence and were excluded rather than guessed at: one carried an organism code this check could not resolve to a specific species without risking a cross-species mismatch, and two returned no plausible ChEMBL target at all under a gene-symbol or name search. Of the 17 that resolved, 4 have no Ki-type measurement in ChEMBL at all, which is itself a finding about coverage rather than a failure of this check: ChEMBL's curation of some targets, such as a lectin typically assayed by fluorescence polarisation rather than classical binding, or targets with little medicinal-chemistry history, is sparse for the specific activity type (Ki) this comparison requires, independent of whether the target is well studied by other measures.</w:t>
      </w:r>
    </w:p>
    <w:p>
      <w:pPr>
        <w:keepNext w:val="0"/>
        <w:keepLines w:val="0"/>
        <w:widowControl/>
        <w:spacing w:line="480" w:lineRule="auto" w:before="0" w:after="0"/>
        <w:ind w:firstLine="720"/>
        <w:jc w:val="both"/>
      </w:pPr>
      <w:r>
        <w:rPr>
          <w:rFonts w:ascii="Times New Roman" w:hAnsi="Times New Roman" w:eastAsia="Times New Roman"/>
          <w:b w:val="0"/>
          <w:i w:val="0"/>
          <w:sz w:val="24"/>
        </w:rPr>
        <w:t>Of the 13 targets with ChEMBL Ki data, 12 of 13 show this project's pK range overlapping ChEMBL's independently curated range. CD38 is not a one-off: a second, independent disagreement of the same shape appears in RNAS2 (non-secretory ribonuclease / RNase 2), where this project's labels are uniformly weak (pK 4.24–4.49, n = 6) while ChEMBL's only two Ki entries for this target, from the same published inhibitor series, are both sub-micromolar (pChEMBL 6.75). The explanation proposed for CD38 fits here too and is strengthened by recurring: a crystallised complex's co-crystallisation ligand need not be the most potent compound known against that target, while ChEMBL's curation favours published medicinal-chemistry series that report their best analogues. At 12 of 13 targets overlapping, the large majority of this project's labels agree with an independent source; the PDBBind/crystallography-versus-ChEMBL/medicinal-chemistry divergence is real but occasional, consistent with the single occurrence found in the four-target check and the same single additional occurrence found here.</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E.9</w:t>
        <w:tab/>
        <w:t>Expanded ChEMBL cross-validation: all resolved targets of the 20-target random sample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91"/>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 (CrossDocked mnemonic)</w:t>
            </w:r>
          </w:p>
        </w:tc>
        <w:tc>
          <w:tcPr>
            <w:tcW w:type="dxa" w:w="1429"/>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w:t>
            </w:r>
          </w:p>
        </w:tc>
        <w:tc>
          <w:tcPr>
            <w:tcW w:type="dxa" w:w="3395"/>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returned)</w:t>
            </w:r>
          </w:p>
        </w:tc>
        <w:tc>
          <w:tcPr>
            <w:tcW w:type="dxa" w:w="893"/>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BTK</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7.06–7.06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4.00–9.84 (259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DAPK3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4.28–4.28 (1)</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4.00–9.00 (353 / 963)</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FA11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4.10–9.52 (301)</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3.61–10.70 (865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FYN</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8.32–8.32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4.10–9.40 (34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KIT</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7.70–8.22 (10)</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5.24–9.80 (438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MRCKB</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5.72–8.40 (5)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6.00–10.92 (229 / 230)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NR1H3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6.06–7.57 (12)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4.51–8.52 (341 / 445)</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NRAM</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3.65–8.92 (85)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4.82–10.00 (50 / 51)</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PDE4A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4.14–5.48 (4)</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4.16–9.37 (94 / 110)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PDE4D</w:t>
            </w:r>
          </w:p>
        </w:tc>
        <w:tc>
          <w:tcPr>
            <w:tcW w:type="dxa" w:w="1429"/>
          </w:tcPr>
          <w:p>
            <w:pPr>
              <w:keepNext w:val="0"/>
              <w:keepLines w:val="0"/>
              <w:widowControl/>
              <w:spacing w:line="240" w:lineRule="auto" w:before="20" w:after="20"/>
              <w:jc w:val="left"/>
            </w:pPr>
            <w:r>
              <w:rPr>
                <w:rFonts w:ascii="Times New Roman" w:hAnsi="Times New Roman" w:eastAsia="Times New Roman"/>
                <w:b w:val="0"/>
                <w:i w:val="0"/>
                <w:sz w:val="20"/>
              </w:rPr>
              <w:t>4.09–10.68 (342)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4.08–10.21 (141 / 155)</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RNAS2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4.24–4.49 (6)</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6.75–6.75 (2 / 2)</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No 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ROCK1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5.96–8.22 (80)</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4.10–9.10 (494 / 1000)</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SMYD2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6.27–8.55 (28)</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6.46–8.10 (4 / 4)</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Overlap</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APOA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4.70–4.70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CHIA1</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3.79–4.10 (9)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DEF</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5.85–7.89 (59)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EPMA</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7.96–7.96 (2)</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LEG3</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3.04–7.47 (39)</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PCXB</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2.00–7.22 (88)</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not resolved (excluded)</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2591"/>
          </w:tcPr>
          <w:p>
            <w:pPr>
              <w:keepNext w:val="0"/>
              <w:keepLines w:val="0"/>
              <w:widowControl/>
              <w:spacing w:line="240" w:lineRule="auto" w:before="20" w:after="20"/>
              <w:jc w:val="left"/>
            </w:pPr>
            <w:r>
              <w:rPr>
                <w:rFonts w:ascii="Times New Roman" w:hAnsi="Times New Roman" w:eastAsia="Times New Roman"/>
                <w:b w:val="0"/>
                <w:i w:val="0"/>
                <w:sz w:val="20"/>
              </w:rPr>
              <w:t>TRY2</w:t>
            </w:r>
          </w:p>
        </w:tc>
        <w:tc>
          <w:tcPr>
            <w:tcW w:type="dxa" w:w="1429"/>
          </w:tcPr>
          <w:p>
            <w:pPr>
              <w:keepNext w:val="0"/>
              <w:keepLines w:val="0"/>
              <w:widowControl/>
              <w:spacing w:line="240" w:lineRule="auto" w:before="20" w:after="20"/>
              <w:jc w:val="center"/>
            </w:pPr>
            <w:r>
              <w:rPr>
                <w:rFonts w:ascii="Times New Roman" w:hAnsi="Times New Roman" w:eastAsia="Times New Roman"/>
                <w:b w:val="0"/>
                <w:i w:val="0"/>
                <w:sz w:val="20"/>
              </w:rPr>
              <w:t>1.82–5.35 (25)</w:t>
            </w:r>
          </w:p>
        </w:tc>
        <w:tc>
          <w:tcPr>
            <w:tcW w:type="dxa" w:w="3395"/>
          </w:tcPr>
          <w:p>
            <w:pPr>
              <w:keepNext w:val="0"/>
              <w:keepLines w:val="0"/>
              <w:widowControl/>
              <w:spacing w:line="240" w:lineRule="auto" w:before="20" w:after="20"/>
              <w:jc w:val="left"/>
            </w:pPr>
            <w:r>
              <w:rPr>
                <w:rFonts w:ascii="Times New Roman" w:hAnsi="Times New Roman" w:eastAsia="Times New Roman"/>
                <w:b w:val="0"/>
                <w:i w:val="0"/>
                <w:sz w:val="20"/>
              </w:rPr>
              <w:t>no Ki-type activity in ChEMBL</w:t>
            </w:r>
          </w:p>
        </w:tc>
        <w:tc>
          <w:tcPr>
            <w:tcW w:type="dxa" w:w="893"/>
          </w:tcPr>
          <w:p>
            <w:pPr>
              <w:keepNext w:val="0"/>
              <w:keepLines w:val="0"/>
              <w:widowControl/>
              <w:spacing w:line="240" w:lineRule="auto" w:before="20" w:after="20"/>
              <w:jc w:val="center"/>
            </w:pPr>
            <w:r>
              <w:rPr>
                <w:rFonts w:ascii="Times New Roman" w:hAnsi="Times New Roman" w:eastAsia="Times New Roman"/>
                <w:b w:val="0"/>
                <w:i w:val="0"/>
                <w:sz w:val="20"/>
              </w:rPr>
              <w:t>—</w:t>
            </w:r>
          </w:p>
        </w:tc>
      </w:tr>
    </w:tbl>
    <w:p>
      <w:pPr>
        <w:keepNext w:val="0"/>
        <w:keepLines w:val="0"/>
        <w:widowControl/>
        <w:spacing w:line="240" w:lineRule="auto" w:before="80" w:after="0"/>
        <w:jc w:val="both"/>
      </w:pPr>
      <w:r>
        <w:rPr>
          <w:rFonts w:ascii="Times New Roman" w:hAnsi="Times New Roman" w:eastAsia="Times New Roman"/>
          <w:b w:val="0"/>
          <w:i w:val="0"/>
          <w:sz w:val="20"/>
        </w:rPr>
        <w:t>Source: `guidance/chembl_crossvalidation_expanded_results.json`, generated by `guidance/chembl_f051_sample.py` (local sampling, reproducible) combined with a ChEMBL Ki retrieval on 2026-10-16 (not re-runnable from inside this repository as a script; target ChEMBL IDs are recorded in the source file for direct re-query). ChEMBL ranges for the three best-studied targets (BTK, Factor XI, KIT, ROCK1) are drawn from the first 1,000 Ki records ChEMBL returns and may understate the true range if more than 1,000 exist; this can only narrow, not manufacture, an apparent disagreement. ‘No Ki-type activity’ means ChEMBL returned zero records of activity type Ki for that target specifically, not that the target is absent from ChEMBL or unstudied.</w:t>
      </w:r>
    </w:p>
    <w:p>
      <w:pPr>
        <w:keepNext w:val="0"/>
        <w:keepLines w:val="0"/>
        <w:widowControl/>
        <w:spacing w:line="240" w:lineRule="auto" w:before="0" w:after="240"/>
        <w:jc w:val="both"/>
      </w:pPr>
    </w:p>
    <w:p>
      <w:pPr>
        <w:sectPr>
          <w:headerReference w:type="default" r:id="rId107"/>
          <w:headerReference w:type="first" r:id="rId108"/>
          <w:footerReference w:type="default" r:id="rId109"/>
          <w:footerReference w:type="first" r:id="rId11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F</w:t>
      </w:r>
    </w:p>
    <w:p>
      <w:pPr>
        <w:keepNext w:val="0"/>
        <w:keepLines w:val="0"/>
        <w:widowControl/>
        <w:spacing w:line="240" w:lineRule="auto" w:before="0" w:after="480"/>
        <w:jc w:val="center"/>
      </w:pPr>
      <w:r>
        <w:rPr>
          <w:rFonts w:ascii="Times New Roman" w:hAnsi="Times New Roman" w:eastAsia="Times New Roman"/>
          <w:b/>
          <w:i w:val="0"/>
          <w:sz w:val="24"/>
        </w:rPr>
        <w:t>COMPLETE EFFECT-SIZE REGISTER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F.1</w:t>
        <w:tab/>
      </w:r>
      <w:r>
        <w:rPr>
          <w:rFonts w:ascii="Times New Roman" w:hAnsi="Times New Roman" w:eastAsia="Times New Roman"/>
          <w:b/>
          <w:i w:val="0"/>
          <w:sz w:val="24"/>
        </w:rPr>
        <w:t>Why This Register Exists</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chapters report how many comparisons reached significance after correction, which is the quantity the decision rule of Section III.6 acts on but is not, on its own, enough to judge a null result. A count of zero significant comparisons is equally consistent with effects that are genuinely negligible and with effects that are substantial but measured too noisily to resolve, and only the effect sizes distinguish the two. This appendix therefore publishes every comparison behind Chapters V and VI individually: all 56 gradient-guidance comparisons in Table F.1 and all 15 rejection-sampling pockets in Table F.2. A reader who wishes to pool these into a meta-analysis, or to check that the null is a null of small effects rather than of wide intervals, has the per-comparison numbers to do so here.</w:t>
      </w:r>
    </w:p>
    <w:p>
      <w:pPr>
        <w:keepNext w:val="0"/>
        <w:keepLines w:val="0"/>
        <w:widowControl/>
        <w:spacing w:line="480" w:lineRule="auto" w:before="0" w:after="0"/>
        <w:ind w:firstLine="720"/>
        <w:jc w:val="both"/>
      </w:pPr>
      <w:r>
        <w:rPr>
          <w:rFonts w:ascii="Times New Roman" w:hAnsi="Times New Roman" w:eastAsia="Times New Roman"/>
          <w:b w:val="0"/>
          <w:i w:val="0"/>
          <w:sz w:val="24"/>
        </w:rPr>
        <w:t>Both tables are generated directly from the stored result files by `guidance/thesis/make_effect_size_appendix.py`, not transcribed. At this size a hand-copied table would be a near-certain source of transcription error, and four such errors have already been found and corrected in much smaller tables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F.2</w:t>
        <w:tab/>
      </w:r>
      <w:r>
        <w:rPr>
          <w:rFonts w:ascii="Times New Roman" w:hAnsi="Times New Roman" w:eastAsia="Times New Roman"/>
          <w:b/>
          <w:i w:val="0"/>
          <w:sz w:val="24"/>
        </w:rPr>
        <w:t>Gradient Guidance: Every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F.1 lists all 56 comparisons of Tracks A and B. The shift columns are in kcal/mol and are oriented so that a negative value is a better (more negative) docking score under guidance. 0 of the 56 comparisons is significant after Benjamini–Hochberg correction within its own run. The full tier of Track A is also presented, with its own commentary, in Appendix C; it is repeated here so that this register is complete on its own.</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F.1</w:t>
        <w:tab/>
        <w:t>Every gradient-guidance comparison, with effect sizes</w:t>
      </w:r>
    </w:p>
    <w:tbl>
      <w:tblPr>
        <w:tblStyle w:val="TableGrid"/>
        <w:tblW w:type="auto" w:w="0"/>
        <w:jc w:val="center"/>
        <w:tblLayout w:type="fixed"/>
        <w:tblLook w:firstColumn="1" w:firstRow="1" w:lastColumn="0" w:lastRow="0" w:noHBand="0" w:noVBand="1" w:val="04A0"/>
      </w:tblPr>
      <w:tblGrid>
        <w:gridCol w:w="755"/>
        <w:gridCol w:w="755"/>
        <w:gridCol w:w="755"/>
        <w:gridCol w:w="755"/>
        <w:gridCol w:w="755"/>
        <w:gridCol w:w="755"/>
        <w:gridCol w:w="755"/>
        <w:gridCol w:w="755"/>
        <w:gridCol w:w="755"/>
        <w:gridCol w:w="755"/>
        <w:gridCol w:w="755"/>
      </w:tblGrid>
      <w:tr>
        <w:trPr>
          <w:cantSplit/>
          <w:tblHeader/>
        </w:trPr>
        <w:tc>
          <w:tcPr>
            <w:tcW w:type="dxa" w:w="1787"/>
            <w:shd w:val="clear" w:fill="E7E9EE"/>
          </w:tcPr>
          <w:p>
            <w:pPr>
              <w:keepNext w:val="0"/>
              <w:keepLines w:val="0"/>
              <w:widowControl/>
              <w:spacing w:line="240" w:lineRule="auto" w:before="20" w:after="20"/>
              <w:jc w:val="center"/>
            </w:pPr>
            <w:r>
              <w:rPr>
                <w:rFonts w:ascii="Times New Roman" w:hAnsi="Times New Roman" w:eastAsia="Times New Roman"/>
                <w:b/>
                <w:i w:val="0"/>
                <w:sz w:val="16"/>
              </w:rPr>
              <w:t>Run</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1035"/>
            <w:shd w:val="clear" w:fill="E7E9EE"/>
          </w:tcPr>
          <w:p>
            <w:pPr>
              <w:keepNext w:val="0"/>
              <w:keepLines w:val="0"/>
              <w:widowControl/>
              <w:spacing w:line="240" w:lineRule="auto" w:before="20" w:after="20"/>
              <w:jc w:val="center"/>
            </w:pPr>
            <w:r>
              <w:rPr>
                <w:rFonts w:ascii="Times New Roman" w:hAnsi="Times New Roman" w:eastAsia="Times New Roman"/>
                <w:b/>
                <w:i w:val="0"/>
                <w:sz w:val="16"/>
              </w:rPr>
              <w:t>Condition</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n (un / gu)</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KS D</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LE shift</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 (raw)</w:t>
            </w:r>
          </w:p>
        </w:tc>
        <w:tc>
          <w:tcPr>
            <w:tcW w:type="dxa" w:w="610"/>
            <w:shd w:val="clear" w:fill="E7E9EE"/>
          </w:tcPr>
          <w:p>
            <w:pPr>
              <w:keepNext w:val="0"/>
              <w:keepLines w:val="0"/>
              <w:widowControl/>
              <w:spacing w:line="240" w:lineRule="auto" w:before="20" w:after="20"/>
              <w:jc w:val="center"/>
            </w:pPr>
            <w:r>
              <w:rPr>
                <w:rFonts w:ascii="Times New Roman" w:hAnsi="Times New Roman" w:eastAsia="Times New Roman"/>
                <w:b/>
                <w:i w:val="0"/>
                <w:sz w:val="16"/>
              </w:rPr>
              <w:t>p (BH)</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A, exploratory tier</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0.4315</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0.0123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0.1107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−0.882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−0.0670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0.06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0.0791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0.1824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−0.324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−0.495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0.2618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0.1824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0.434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−0.0491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0.0373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−0.274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−0.0153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0.40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0.5713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0.6296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−0.0286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0.35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0.2618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0.6296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0.6296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A, full tier</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−0.0324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−0.0297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−0.0257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0.4150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0.1572</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−0.0091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0.7616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0.5514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MENE</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MENE</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−0.0041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MENE</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−0.0093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NQO1</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NQO1</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NQO1</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PAK4</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PAK4</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+0.0153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PAK4</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PNTM</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−0.0012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PNTM</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PNTM</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RIBB</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−0.0214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RIBB</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0.3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−0.0289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0.9711</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RIBB</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λ = 1.0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0.9988</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B1, gradient-norm normalisation</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raw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+14.326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+0.4064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0.9360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+0.677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0.1925</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−13.649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−0.3876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0.1925</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raw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−0.107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+0.280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0.9360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raw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−0.214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normalised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−0.546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−0.0186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0.5034</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B2, classifier-guidance reformulation</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+0.241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+0.790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+0.0101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0.1745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0.5236</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−14.085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+0.728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−0.3964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 → 0.37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0.0439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0.2631</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+0.619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+0.361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+0.0443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0.05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0.5713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0.8570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+0.763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0.05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0.3356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0.6712</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unguided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−0.0014</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0.40 → 0.22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0.8927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0.8927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CD38</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classifier vs raw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18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0.178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0.45 → 0.22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0.8692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0.8927</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Track B3, timestep-windowed guidance</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uniform window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−0.0061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late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+0.115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+0.463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+0.0037</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0.25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middle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−0.011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BSD</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early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−0.0008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 → 0.30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uniform window</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−0.448</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0.5713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late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0.150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+0.096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+0.0016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0.9831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middle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−0.036</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−0.132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−0.0032</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0.55</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r>
        <w:trPr>
          <w:cantSplit/>
        </w:trPr>
        <w:tc>
          <w:tcPr>
            <w:tcW w:type="dxa" w:w="1787"/>
          </w:tcPr>
          <w:p>
            <w:pPr>
              <w:keepNext w:val="0"/>
              <w:keepLines w:val="0"/>
              <w:widowControl/>
              <w:spacing w:line="240" w:lineRule="auto" w:before="20" w:after="20"/>
              <w:jc w:val="left"/>
            </w:pPr>
            <w:r>
              <w:rPr>
                <w:rFonts w:ascii="Times New Roman" w:hAnsi="Times New Roman" w:eastAsia="Times New Roman"/>
                <w:b w:val="0"/>
                <w:i w:val="0"/>
                <w:sz w:val="16"/>
              </w:rPr>
              <w:t>″</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HDAC8</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early third</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20 / 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−0.051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−0.129</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−0.0031</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0.60 → 0.60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0.8320</w:t>
            </w:r>
          </w:p>
        </w:tc>
        <w:tc>
          <w:tcPr>
            <w:tcW w:type="dxa" w:w="610"/>
          </w:tcPr>
          <w:p>
            <w:pPr>
              <w:keepNext w:val="0"/>
              <w:keepLines w:val="0"/>
              <w:widowControl/>
              <w:spacing w:line="240" w:lineRule="auto" w:before="20" w:after="20"/>
              <w:jc w:val="center"/>
            </w:pPr>
            <w:r>
              <w:rPr>
                <w:rFonts w:ascii="Times New Roman" w:hAnsi="Times New Roman" w:eastAsia="Times New Roman"/>
                <w:b w:val="0"/>
                <w:i w:val="0"/>
                <w:sz w:val="16"/>
              </w:rPr>
              <w:t>1.0000</w:t>
            </w:r>
          </w:p>
        </w:tc>
      </w:tr>
    </w:tbl>
    <w:p>
      <w:pPr>
        <w:keepNext w:val="0"/>
        <w:keepLines w:val="0"/>
        <w:widowControl/>
        <w:spacing w:line="240" w:lineRule="auto" w:before="80" w:after="0"/>
        <w:jc w:val="both"/>
      </w:pPr>
      <w:r>
        <w:rPr>
          <w:rFonts w:ascii="Times New Roman" w:hAnsi="Times New Roman" w:eastAsia="Times New Roman"/>
          <w:b w:val="0"/>
          <w:i w:val="0"/>
          <w:sz w:val="20"/>
        </w:rPr>
        <w:t>Shifts are guided minus unguided, so a negative mean shift is an improvement. "LE shift" is the change in ligand efficiency (kcal/mol per heavy atom). "PoseBusters" gives the pass rate unguided → guided. p (BH) is corrected within each run, which is the unit the decision rule of Section III.6 applies to; an asterisk marks a comparison significant at that level. A repeated run name is shown as ″.</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F.3</w:t>
        <w:tab/>
      </w:r>
      <w:r>
        <w:rPr>
          <w:rFonts w:ascii="Times New Roman" w:hAnsi="Times New Roman" w:eastAsia="Times New Roman"/>
          <w:b/>
          <w:i w:val="0"/>
          <w:sz w:val="24"/>
        </w:rPr>
        <w:t>Rejection Sampling: Every Pocket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F.2 lists all 15 pockets of Track C (Chapter VI) with the effect size and its 95% bootstrap interval, alongside the two quantities that determine how the effect should be read: the change in mean heavy-atom count, which is the size confound, and the change in PoseBusters pass rate. The effect size is positive when the selected top 10% has a </w:t>
      </w:r>
      <w:r>
        <w:rPr>
          <w:rFonts w:ascii="Times New Roman" w:hAnsi="Times New Roman" w:eastAsia="Times New Roman"/>
          <w:b w:val="0"/>
          <w:i/>
          <w:sz w:val="24"/>
        </w:rPr>
        <w:t>worse</w:t>
      </w:r>
      <w:r>
        <w:rPr>
          <w:rFonts w:ascii="Times New Roman" w:hAnsi="Times New Roman" w:eastAsia="Times New Roman"/>
          <w:b w:val="0"/>
          <w:i w:val="0"/>
          <w:sz w:val="24"/>
        </w:rPr>
        <w:t xml:space="preserve"> (less negative) mean docking score than the full pool.</w:t>
      </w:r>
    </w:p>
    <w:p>
      <w:pPr>
        <w:keepNext/>
        <w:keepLines w:val="0"/>
        <w:widowControl/>
        <w:tabs>
          <w:tab w:pos="1224" w:val="left"/>
        </w:tabs>
        <w:spacing w:line="240" w:lineRule="auto" w:before="360" w:after="160"/>
        <w:ind w:hanging="1224" w:left="1224" w:right="0"/>
        <w:jc w:val="center"/>
      </w:pPr>
      <w:r>
        <w:rPr>
          <w:rFonts w:ascii="Times New Roman" w:hAnsi="Times New Roman" w:eastAsia="Times New Roman"/>
          <w:b w:val="0"/>
          <w:i w:val="0"/>
          <w:sz w:val="22"/>
        </w:rPr>
        <w:t>Table F.2</w:t>
        <w:tab/>
        <w:t>Every Track C pocket, with effect size, interval and confounds</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3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38"/>
            <w:shd w:val="clear" w:fill="E7E9EE"/>
          </w:tcPr>
          <w:p>
            <w:pPr>
              <w:keepNext w:val="0"/>
              <w:keepLines w:val="0"/>
              <w:widowControl/>
              <w:spacing w:line="240" w:lineRule="auto" w:before="20" w:after="20"/>
              <w:jc w:val="center"/>
            </w:pPr>
            <w:r>
              <w:rPr>
                <w:rFonts w:ascii="Times New Roman" w:hAnsi="Times New Roman" w:eastAsia="Times New Roman"/>
                <w:b/>
                <w:i w:val="0"/>
                <w:sz w:val="16"/>
              </w:rPr>
              <w:t>n pool</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6"/>
              </w:rPr>
              <w:t>k selected</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Vina (pool)</w:t>
            </w:r>
          </w:p>
        </w:tc>
        <w:tc>
          <w:tcPr>
            <w:tcW w:type="dxa" w:w="1063"/>
            <w:shd w:val="clear" w:fill="E7E9EE"/>
          </w:tcPr>
          <w:p>
            <w:pPr>
              <w:keepNext w:val="0"/>
              <w:keepLines w:val="0"/>
              <w:widowControl/>
              <w:spacing w:line="240" w:lineRule="auto" w:before="20" w:after="20"/>
              <w:jc w:val="center"/>
            </w:pPr>
            <w:r>
              <w:rPr>
                <w:rFonts w:ascii="Times New Roman" w:hAnsi="Times New Roman" w:eastAsia="Times New Roman"/>
                <w:b/>
                <w:i w:val="0"/>
                <w:sz w:val="16"/>
              </w:rPr>
              <w:t>Vina (top 10%)</w:t>
            </w:r>
          </w:p>
        </w:tc>
        <w:tc>
          <w:tcPr>
            <w:tcW w:type="dxa" w:w="1670"/>
            <w:shd w:val="clear" w:fill="E7E9EE"/>
          </w:tcPr>
          <w:p>
            <w:pPr>
              <w:keepNext w:val="0"/>
              <w:keepLines w:val="0"/>
              <w:widowControl/>
              <w:spacing w:line="240" w:lineRule="auto" w:before="20" w:after="20"/>
              <w:jc w:val="center"/>
            </w:pPr>
            <w:r>
              <w:rPr>
                <w:rFonts w:ascii="Times New Roman" w:hAnsi="Times New Roman" w:eastAsia="Times New Roman"/>
                <w:b/>
                <w:i w:val="0"/>
                <w:sz w:val="16"/>
              </w:rPr>
              <w:t>Effect size [95% CI]</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Heavy atoms</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w:t>
            </w:r>
          </w:p>
        </w:tc>
        <w:tc>
          <w:tcPr>
            <w:tcW w:type="dxa" w:w="835"/>
            <w:shd w:val="clear" w:fill="E7E9EE"/>
          </w:tcPr>
          <w:p>
            <w:pPr>
              <w:keepNext w:val="0"/>
              <w:keepLines w:val="0"/>
              <w:widowControl/>
              <w:spacing w:line="240" w:lineRule="auto" w:before="20" w:after="20"/>
              <w:jc w:val="center"/>
            </w:pPr>
            <w:r>
              <w:rPr>
                <w:rFonts w:ascii="Times New Roman" w:hAnsi="Times New Roman" w:eastAsia="Times New Roman"/>
                <w:b/>
                <w:i w:val="0"/>
                <w:sz w:val="16"/>
              </w:rPr>
              <w:t>KS p</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594</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−7.83</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−7.62</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+0.209  [−0.138, +0.576]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27.3 → 38.2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0.35 → 0.03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0.0580</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−5.19</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−6.19</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−0.997  [−2.044, −0.276]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31.3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0.55 → 0.12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0.0006*</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591</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−8.20</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−9.60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−1.405  [−1.784, −0.970]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27.3 → 35.5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0.48 → 0.42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4.7 × 10⁻¹⁰*</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−7.48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−8.78</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−1.308  [−1.607, −0.992]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27.2 → 34.7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0.48 → 0.40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2.1 × 10⁻¹¹*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−7.08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−7.98</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−0.899  [−1.261, −0.624]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23.5 → 33.5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0.61 → 0.28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7.6 × 10⁻⁷*</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−6.52</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−9.35</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−2.830  [−3.109, −2.549]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31.3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0.77 → 0.48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3.5 × 10⁻³³*</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−4.89</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−8.33</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−3.445  [−6.016, −1.958]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20.1 → 29.6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0.62 → 0.45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6.4 × 10⁻²¹*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−6.45</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−4.50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+1.951  [+1.285, +2.647]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16.3 → 30.7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0.54 → 0.02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3.2 × 10⁻¹⁰*</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DPP2</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−6.45</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−8.58</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−2.130  [−2.446, −1.704]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31.5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0.64 → 0.28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2.2 × 10⁻²⁶*</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XANLY</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−7.29</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−9.82</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−2.538  [−2.922, −2.162]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20.1 → 30.6</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0.68 → 0.52</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4.3 × 10⁻²¹*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IMA1</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600</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−4.38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−5.70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−1.328  [−1.561, −1.154]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12.7 → 25.4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0.80 → 0.38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5.7 × 10⁻²¹*</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NOS2</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−4.94</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−8.67</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−3.731  [−4.066, −3.297]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12.7 → 27.0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0.79 → 0.43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2.3 × 10⁻³⁶*</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P2Y12</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578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−8.53</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−6.95</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+1.574  [+0.773, +2.464]</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34.3 → 45.1</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0.29 → 0.09</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2.3 × 10⁻⁵*</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PYRD</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597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60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−6.01</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−8.71</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−2.697  [−2.989, −2.355]</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16.5 → 30.1</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0.71 → 0.23</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2.2 × 10⁻²⁸*</w:t>
            </w:r>
          </w:p>
        </w:tc>
      </w:tr>
      <w:tr>
        <w:trPr>
          <w:cantSplit/>
        </w:trPr>
        <w:tc>
          <w:tcPr>
            <w:tcW w:type="dxa" w:w="738"/>
          </w:tcPr>
          <w:p>
            <w:pPr>
              <w:keepNext w:val="0"/>
              <w:keepLines w:val="0"/>
              <w:widowControl/>
              <w:spacing w:line="240" w:lineRule="auto" w:before="20" w:after="20"/>
              <w:jc w:val="left"/>
            </w:pPr>
            <w:r>
              <w:rPr>
                <w:rFonts w:ascii="Times New Roman" w:hAnsi="Times New Roman" w:eastAsia="Times New Roman"/>
                <w:b w:val="0"/>
                <w:i w:val="0"/>
                <w:sz w:val="16"/>
              </w:rPr>
              <w:t>SQHC</w:t>
            </w:r>
          </w:p>
        </w:tc>
        <w:tc>
          <w:tcPr>
            <w:tcW w:type="dxa" w:w="738"/>
          </w:tcPr>
          <w:p>
            <w:pPr>
              <w:keepNext w:val="0"/>
              <w:keepLines w:val="0"/>
              <w:widowControl/>
              <w:spacing w:line="240" w:lineRule="auto" w:before="20" w:after="20"/>
              <w:jc w:val="center"/>
            </w:pPr>
            <w:r>
              <w:rPr>
                <w:rFonts w:ascii="Times New Roman" w:hAnsi="Times New Roman" w:eastAsia="Times New Roman"/>
                <w:b w:val="0"/>
                <w:i w:val="0"/>
                <w:sz w:val="16"/>
              </w:rPr>
              <w:t>576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6"/>
              </w:rPr>
              <w:t>58</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−10.18</w:t>
            </w:r>
          </w:p>
        </w:tc>
        <w:tc>
          <w:tcPr>
            <w:tcW w:type="dxa" w:w="1063"/>
          </w:tcPr>
          <w:p>
            <w:pPr>
              <w:keepNext w:val="0"/>
              <w:keepLines w:val="0"/>
              <w:widowControl/>
              <w:spacing w:line="240" w:lineRule="auto" w:before="20" w:after="20"/>
              <w:jc w:val="center"/>
            </w:pPr>
            <w:r>
              <w:rPr>
                <w:rFonts w:ascii="Times New Roman" w:hAnsi="Times New Roman" w:eastAsia="Times New Roman"/>
                <w:b w:val="0"/>
                <w:i w:val="0"/>
                <w:sz w:val="16"/>
              </w:rPr>
              <w:t>−10.30</w:t>
            </w:r>
          </w:p>
        </w:tc>
        <w:tc>
          <w:tcPr>
            <w:tcW w:type="dxa" w:w="1670"/>
          </w:tcPr>
          <w:p>
            <w:pPr>
              <w:keepNext w:val="0"/>
              <w:keepLines w:val="0"/>
              <w:widowControl/>
              <w:spacing w:line="240" w:lineRule="auto" w:before="20" w:after="20"/>
              <w:jc w:val="left"/>
            </w:pPr>
            <w:r>
              <w:rPr>
                <w:rFonts w:ascii="Times New Roman" w:hAnsi="Times New Roman" w:eastAsia="Times New Roman"/>
                <w:b w:val="0"/>
                <w:i w:val="0"/>
                <w:sz w:val="16"/>
              </w:rPr>
              <w:t>−0.126  [−1.223, +4.657]</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34.6 → 48.0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0.27 → 0.10</w:t>
            </w:r>
          </w:p>
        </w:tc>
        <w:tc>
          <w:tcPr>
            <w:tcW w:type="dxa" w:w="835"/>
          </w:tcPr>
          <w:p>
            <w:pPr>
              <w:keepNext w:val="0"/>
              <w:keepLines w:val="0"/>
              <w:widowControl/>
              <w:spacing w:line="240" w:lineRule="auto" w:before="20" w:after="20"/>
              <w:jc w:val="center"/>
            </w:pPr>
            <w:r>
              <w:rPr>
                <w:rFonts w:ascii="Times New Roman" w:hAnsi="Times New Roman" w:eastAsia="Times New Roman"/>
                <w:b w:val="0"/>
                <w:i w:val="0"/>
                <w:sz w:val="16"/>
              </w:rPr>
              <w:t>0.0304*</w:t>
            </w:r>
          </w:p>
        </w:tc>
      </w:tr>
    </w:tbl>
    <w:p>
      <w:pPr>
        <w:keepNext w:val="0"/>
        <w:keepLines w:val="0"/>
        <w:widowControl/>
        <w:spacing w:line="240" w:lineRule="auto" w:before="80" w:after="0"/>
        <w:jc w:val="both"/>
      </w:pPr>
      <w:r>
        <w:rPr>
          <w:rFonts w:ascii="Times New Roman" w:hAnsi="Times New Roman" w:eastAsia="Times New Roman"/>
          <w:b w:val="0"/>
          <w:i w:val="0"/>
          <w:sz w:val="20"/>
        </w:rPr>
        <w:t>Vina Dock in kcal/mol, lower is better. The effect size is the difference in mean Vina Dock between the selected subset and the full pool, in kcal/mol, with a bootstrap 95% interval. Heavy atoms and PoseBusters are given as full pool → selected subset; the systematic rise in the first and fall in the second are the confounds analysed in Section VI.2.2. An asterisk marks a pocket significant after correction (14 of 15).</w:t>
      </w:r>
    </w:p>
    <w:p>
      <w:pPr>
        <w:keepNext w:val="0"/>
        <w:keepLines w:val="0"/>
        <w:widowControl/>
        <w:spacing w:line="240" w:lineRule="auto" w:before="0" w:after="240"/>
        <w:jc w:val="both"/>
      </w:pPr>
    </w:p>
    <w:sectPr w:rsidR="00FC693F" w:rsidRPr="0006063C" w:rsidSect="00034616">
      <w:headerReference w:type="default" r:id="rId127"/>
      <w:headerReference w:type="first" r:id="rId128"/>
      <w:footerReference w:type="default" r:id="rId129"/>
      <w:footerReference w:type="first" r:id="rId130"/>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image" Target="media/image2.png"/><Relationship Id="rId27" Type="http://schemas.openxmlformats.org/officeDocument/2006/relationships/header" Target="header9.xml"/><Relationship Id="rId28" Type="http://schemas.openxmlformats.org/officeDocument/2006/relationships/header" Target="header10.xml"/><Relationship Id="rId29" Type="http://schemas.openxmlformats.org/officeDocument/2006/relationships/footer" Target="footer9.xml"/><Relationship Id="rId30" Type="http://schemas.openxmlformats.org/officeDocument/2006/relationships/footer" Target="footer10.xml"/><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1.xml"/><Relationship Id="rId35" Type="http://schemas.openxmlformats.org/officeDocument/2006/relationships/header" Target="header12.xml"/><Relationship Id="rId36" Type="http://schemas.openxmlformats.org/officeDocument/2006/relationships/footer" Target="footer11.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image" Target="media/image12.png"/><Relationship Id="rId49" Type="http://schemas.openxmlformats.org/officeDocument/2006/relationships/image" Target="media/image13.png"/><Relationship Id="rId50" Type="http://schemas.openxmlformats.org/officeDocument/2006/relationships/image" Target="media/image14.png"/><Relationship Id="rId51" Type="http://schemas.openxmlformats.org/officeDocument/2006/relationships/header" Target="header15.xml"/><Relationship Id="rId52" Type="http://schemas.openxmlformats.org/officeDocument/2006/relationships/header" Target="header16.xml"/><Relationship Id="rId53" Type="http://schemas.openxmlformats.org/officeDocument/2006/relationships/footer" Target="footer15.xml"/><Relationship Id="rId54" Type="http://schemas.openxmlformats.org/officeDocument/2006/relationships/footer" Target="footer16.xml"/><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header" Target="header17.xml"/><Relationship Id="rId59" Type="http://schemas.openxmlformats.org/officeDocument/2006/relationships/header" Target="header18.xml"/><Relationship Id="rId60" Type="http://schemas.openxmlformats.org/officeDocument/2006/relationships/footer" Target="footer17.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image" Target="media/image19.png"/><Relationship Id="rId64" Type="http://schemas.openxmlformats.org/officeDocument/2006/relationships/header" Target="header19.xml"/><Relationship Id="rId65" Type="http://schemas.openxmlformats.org/officeDocument/2006/relationships/header" Target="header20.xml"/><Relationship Id="rId66" Type="http://schemas.openxmlformats.org/officeDocument/2006/relationships/footer" Target="footer19.xml"/><Relationship Id="rId67" Type="http://schemas.openxmlformats.org/officeDocument/2006/relationships/footer" Target="footer20.xml"/><Relationship Id="rId68" Type="http://schemas.openxmlformats.org/officeDocument/2006/relationships/image" Target="media/image20.png"/><Relationship Id="rId69" Type="http://schemas.openxmlformats.org/officeDocument/2006/relationships/image" Target="media/image21.png"/><Relationship Id="rId70" Type="http://schemas.openxmlformats.org/officeDocument/2006/relationships/image" Target="media/image22.png"/><Relationship Id="rId71" Type="http://schemas.openxmlformats.org/officeDocument/2006/relationships/image" Target="media/image23.png"/><Relationship Id="rId72" Type="http://schemas.openxmlformats.org/officeDocument/2006/relationships/image" Target="media/image24.png"/><Relationship Id="rId73" Type="http://schemas.openxmlformats.org/officeDocument/2006/relationships/image" Target="media/image25.png"/><Relationship Id="rId74" Type="http://schemas.openxmlformats.org/officeDocument/2006/relationships/image" Target="media/image26.png"/><Relationship Id="rId75" Type="http://schemas.openxmlformats.org/officeDocument/2006/relationships/header" Target="header21.xml"/><Relationship Id="rId76" Type="http://schemas.openxmlformats.org/officeDocument/2006/relationships/header" Target="header22.xml"/><Relationship Id="rId77" Type="http://schemas.openxmlformats.org/officeDocument/2006/relationships/footer" Target="footer21.xml"/><Relationship Id="rId78" Type="http://schemas.openxmlformats.org/officeDocument/2006/relationships/footer" Target="footer22.xml"/><Relationship Id="rId79" Type="http://schemas.openxmlformats.org/officeDocument/2006/relationships/image" Target="media/image27.png"/><Relationship Id="rId80" Type="http://schemas.openxmlformats.org/officeDocument/2006/relationships/image" Target="media/image28.png"/><Relationship Id="rId81" Type="http://schemas.openxmlformats.org/officeDocument/2006/relationships/image" Target="media/image29.png"/><Relationship Id="rId82" Type="http://schemas.openxmlformats.org/officeDocument/2006/relationships/header" Target="header23.xml"/><Relationship Id="rId83" Type="http://schemas.openxmlformats.org/officeDocument/2006/relationships/header" Target="header24.xml"/><Relationship Id="rId84" Type="http://schemas.openxmlformats.org/officeDocument/2006/relationships/footer" Target="footer23.xml"/><Relationship Id="rId85" Type="http://schemas.openxmlformats.org/officeDocument/2006/relationships/footer" Target="footer24.xml"/><Relationship Id="rId86" Type="http://schemas.openxmlformats.org/officeDocument/2006/relationships/image" Target="media/image30.png"/><Relationship Id="rId87" Type="http://schemas.openxmlformats.org/officeDocument/2006/relationships/header" Target="header25.xml"/><Relationship Id="rId88" Type="http://schemas.openxmlformats.org/officeDocument/2006/relationships/header" Target="header26.xml"/><Relationship Id="rId89" Type="http://schemas.openxmlformats.org/officeDocument/2006/relationships/footer" Target="footer25.xml"/><Relationship Id="rId90" Type="http://schemas.openxmlformats.org/officeDocument/2006/relationships/footer" Target="footer26.xml"/><Relationship Id="rId91" Type="http://schemas.openxmlformats.org/officeDocument/2006/relationships/header" Target="header27.xml"/><Relationship Id="rId92" Type="http://schemas.openxmlformats.org/officeDocument/2006/relationships/header" Target="header28.xml"/><Relationship Id="rId93" Type="http://schemas.openxmlformats.org/officeDocument/2006/relationships/footer" Target="footer27.xml"/><Relationship Id="rId94" Type="http://schemas.openxmlformats.org/officeDocument/2006/relationships/footer" Target="footer28.xml"/><Relationship Id="rId95" Type="http://schemas.openxmlformats.org/officeDocument/2006/relationships/header" Target="header29.xml"/><Relationship Id="rId96" Type="http://schemas.openxmlformats.org/officeDocument/2006/relationships/header" Target="header30.xml"/><Relationship Id="rId97" Type="http://schemas.openxmlformats.org/officeDocument/2006/relationships/footer" Target="footer29.xml"/><Relationship Id="rId98" Type="http://schemas.openxmlformats.org/officeDocument/2006/relationships/footer" Target="footer30.xml"/><Relationship Id="rId99" Type="http://schemas.openxmlformats.org/officeDocument/2006/relationships/header" Target="header31.xml"/><Relationship Id="rId100" Type="http://schemas.openxmlformats.org/officeDocument/2006/relationships/header" Target="header32.xml"/><Relationship Id="rId101" Type="http://schemas.openxmlformats.org/officeDocument/2006/relationships/footer" Target="footer31.xml"/><Relationship Id="rId102" Type="http://schemas.openxmlformats.org/officeDocument/2006/relationships/footer" Target="footer32.xml"/><Relationship Id="rId103" Type="http://schemas.openxmlformats.org/officeDocument/2006/relationships/header" Target="header33.xml"/><Relationship Id="rId104" Type="http://schemas.openxmlformats.org/officeDocument/2006/relationships/header" Target="header34.xml"/><Relationship Id="rId105" Type="http://schemas.openxmlformats.org/officeDocument/2006/relationships/footer" Target="footer33.xml"/><Relationship Id="rId106" Type="http://schemas.openxmlformats.org/officeDocument/2006/relationships/footer" Target="footer34.xml"/><Relationship Id="rId107" Type="http://schemas.openxmlformats.org/officeDocument/2006/relationships/header" Target="header35.xml"/><Relationship Id="rId108" Type="http://schemas.openxmlformats.org/officeDocument/2006/relationships/header" Target="header36.xml"/><Relationship Id="rId109" Type="http://schemas.openxmlformats.org/officeDocument/2006/relationships/footer" Target="footer35.xml"/><Relationship Id="rId110" Type="http://schemas.openxmlformats.org/officeDocument/2006/relationships/footer" Target="footer36.xml"/><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 Id="rId114" Type="http://schemas.openxmlformats.org/officeDocument/2006/relationships/image" Target="media/image34.png"/><Relationship Id="rId115" Type="http://schemas.openxmlformats.org/officeDocument/2006/relationships/image" Target="media/image35.png"/><Relationship Id="rId116" Type="http://schemas.openxmlformats.org/officeDocument/2006/relationships/image" Target="media/image36.png"/><Relationship Id="rId117" Type="http://schemas.openxmlformats.org/officeDocument/2006/relationships/image" Target="media/image37.png"/><Relationship Id="rId118" Type="http://schemas.openxmlformats.org/officeDocument/2006/relationships/image" Target="media/image38.png"/><Relationship Id="rId119" Type="http://schemas.openxmlformats.org/officeDocument/2006/relationships/image" Target="media/image39.png"/><Relationship Id="rId120" Type="http://schemas.openxmlformats.org/officeDocument/2006/relationships/image" Target="media/image40.png"/><Relationship Id="rId121" Type="http://schemas.openxmlformats.org/officeDocument/2006/relationships/image" Target="media/image41.png"/><Relationship Id="rId122" Type="http://schemas.openxmlformats.org/officeDocument/2006/relationships/image" Target="media/image42.png"/><Relationship Id="rId123" Type="http://schemas.openxmlformats.org/officeDocument/2006/relationships/image" Target="media/image43.png"/><Relationship Id="rId124" Type="http://schemas.openxmlformats.org/officeDocument/2006/relationships/image" Target="media/image44.png"/><Relationship Id="rId125" Type="http://schemas.openxmlformats.org/officeDocument/2006/relationships/image" Target="media/image45.png"/><Relationship Id="rId126" Type="http://schemas.openxmlformats.org/officeDocument/2006/relationships/image" Target="media/image46.png"/><Relationship Id="rId127" Type="http://schemas.openxmlformats.org/officeDocument/2006/relationships/header" Target="header37.xml"/><Relationship Id="rId128" Type="http://schemas.openxmlformats.org/officeDocument/2006/relationships/header" Target="header38.xml"/><Relationship Id="rId129" Type="http://schemas.openxmlformats.org/officeDocument/2006/relationships/footer" Target="footer37.xml"/><Relationship Id="rId130" Type="http://schemas.openxmlformats.org/officeDocument/2006/relationships/footer" Target="footer3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Diagnosing Guidance Failure in Structure-Based Molecular Diffusion: A Leakage-Safe Evaluation with a Positive Control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