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游ゴシック" w:cs="游ゴシック" w:eastAsia="游ゴシック" w:hAnsi="游ゴシック"/>
          <w:b/>
          <w:bCs/>
          <w:color w:val="1E2761"/>
          <w:spacing w:val="20"/>
          <w:sz w:val="30"/>
          <w:szCs w:val="30"/>
        </w:rPr>
        <w:t xml:space="preserve">PlugBits</w:t>
      </w:r>
    </w:p>
    <w:p>
      <w:pPr>
        <w:pBdr>
          <w:bottom w:val="single" w:color="E8833A" w:sz="16" w:space="10"/>
        </w:pBdr>
        <w:spacing w:after="100"/>
        <w:jc w:val="center"/>
      </w:pPr>
      <w:r>
        <w:rPr>
          <w:rFonts w:ascii="游ゴシック" w:cs="游ゴシック" w:eastAsia="游ゴシック" w:hAnsi="游ゴシック"/>
          <w:b/>
          <w:bCs/>
          <w:color w:val="1E2761"/>
          <w:sz w:val="56"/>
          <w:szCs w:val="56"/>
        </w:rPr>
        <w:t xml:space="preserve">類似図面検索</w:t>
      </w:r>
    </w:p>
    <w:p>
      <w:pPr>
        <w:spacing w:after="800" w:before="300"/>
        <w:jc w:val="center"/>
      </w:pPr>
      <w:r>
        <w:rPr>
          <w:rFonts w:ascii="游ゴシック" w:cs="游ゴシック" w:eastAsia="游ゴシック" w:hAnsi="游ゴシック"/>
          <w:b/>
          <w:bCs/>
          <w:color w:val="1E2761"/>
          <w:sz w:val="40"/>
          <w:szCs w:val="40"/>
        </w:rPr>
        <w:t xml:space="preserve">導入手順書</w:t>
      </w:r>
    </w:p>
    <w:p>
      <w:pPr>
        <w:spacing w:after="3200"/>
        <w:jc w:val="center"/>
      </w:pPr>
      <w:r>
        <w:rPr>
          <w:rFonts w:ascii="游ゴシック" w:cs="游ゴシック" w:eastAsia="游ゴシック" w:hAnsi="游ゴシック"/>
          <w:color w:val="444444"/>
          <w:sz w:val="24"/>
          <w:szCs w:val="24"/>
        </w:rPr>
        <w:t xml:space="preserve">kintoneプラグイン「類似図面検索」</w:t>
      </w:r>
    </w:p>
    <w:p>
      <w:pPr>
        <w:spacing w:after="100"/>
        <w:jc w:val="center"/>
      </w:pPr>
      <w:r>
        <w:rPr>
          <w:rFonts w:ascii="游ゴシック" w:cs="游ゴシック" w:eastAsia="游ゴシック" w:hAnsi="游ゴシック"/>
          <w:sz w:val="22"/>
          <w:szCs w:val="22"/>
        </w:rPr>
        <w:t xml:space="preserve">対象読者：kintone管理者</w:t>
      </w:r>
    </w:p>
    <w:p>
      <w:pPr>
        <w:spacing w:after="60"/>
        <w:jc w:val="center"/>
      </w:pPr>
      <w:r>
        <w:rPr>
          <w:rFonts w:ascii="游ゴシック" w:cs="游ゴシック" w:eastAsia="游ゴシック" w:hAnsi="游ゴシック"/>
          <w:sz w:val="22"/>
          <w:szCs w:val="22"/>
        </w:rPr>
        <w:t xml:space="preserve">提供元：PlugBits</w:t>
      </w:r>
    </w:p>
    <w:p>
      <w:pPr>
        <w:spacing w:after="60"/>
        <w:jc w:val="center"/>
      </w:pPr>
      <w:r>
        <w:rPr>
          <w:rFonts w:ascii="游ゴシック" w:cs="游ゴシック" w:eastAsia="游ゴシック" w:hAnsi="游ゴシック"/>
          <w:sz w:val="22"/>
          <w:szCs w:val="22"/>
        </w:rPr>
        <w:t xml:space="preserve">2026年7月</w:t>
      </w:r>
    </w:p>
    <w:p>
      <w:pPr>
        <w:spacing w:after="60"/>
        <w:jc w:val="center"/>
      </w:pPr>
      <w:r>
        <w:rPr>
          <w:rFonts w:ascii="游ゴシック" w:cs="游ゴシック" w:eastAsia="游ゴシック" w:hAnsi="游ゴシック"/>
          <w:b/>
          <w:bCs/>
          <w:color w:val="E8833A"/>
          <w:sz w:val="22"/>
          <w:szCs w:val="22"/>
        </w:rPr>
        <w:t xml:space="preserve">第0.1版（モニター版）</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E2761" w:sz="6" w:space="4"/>
        </w:pBdr>
        <w:spacing w:after="160" w:before="320"/>
      </w:pPr>
      <w:r>
        <w:rPr>
          <w:rFonts w:ascii="游ゴシック" w:cs="游ゴシック" w:eastAsia="游ゴシック" w:hAnsi="游ゴシック"/>
          <w:b/>
          <w:bCs/>
          <w:color w:val="1E2761"/>
          <w:sz w:val="32"/>
          <w:szCs w:val="32"/>
        </w:rP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Bdr>
          <w:bottom w:val="single" w:color="1E2761" w:sz="6" w:space="4"/>
        </w:pBdr>
        <w:spacing w:after="160" w:before="320"/>
      </w:pPr>
      <w:r>
        <w:rPr>
          <w:rFonts w:ascii="游ゴシック" w:cs="游ゴシック" w:eastAsia="游ゴシック" w:hAnsi="游ゴシック"/>
          <w:b/>
          <w:bCs/>
          <w:color w:val="1E2761"/>
          <w:sz w:val="32"/>
          <w:szCs w:val="32"/>
        </w:rPr>
        <w:t xml:space="preserve">1. はじめに</w:t>
      </w:r>
    </w:p>
    <w:p>
      <w:pPr>
        <w:spacing w:after="160" w:line="300"/>
      </w:pPr>
      <w:r>
        <w:rPr>
          <w:rFonts w:ascii="游ゴシック" w:cs="游ゴシック" w:eastAsia="游ゴシック" w:hAnsi="游ゴシック"/>
          <w:b w:val="false"/>
          <w:bCs w:val="false"/>
          <w:sz w:val="21"/>
          <w:szCs w:val="21"/>
        </w:rPr>
        <w:t xml:space="preserve">「類似図面検索」は、kintone上に蓄積された図面データから、形状・図番・品名・材質・寸法などの特徴が似た過去図面をすばやく探し出せるkintoneプラグインです。過去の見積・製造実績を参照することで、見積作成や類似案件の確認にかかる時間を短縮します。</w:t>
      </w:r>
    </w:p>
    <w:p>
      <w:pPr>
        <w:spacing w:after="160" w:line="300"/>
      </w:pPr>
      <w:r>
        <w:rPr>
          <w:rFonts w:ascii="游ゴシック" w:cs="游ゴシック" w:eastAsia="游ゴシック" w:hAnsi="游ゴシック"/>
          <w:b w:val="false"/>
          <w:bCs w:val="false"/>
          <w:sz w:val="21"/>
          <w:szCs w:val="21"/>
        </w:rPr>
        <w:t xml:space="preserve">本書は、貴社のkintone環境に「類似図面検索」を導入していただくための手順書です。設定作業を行うkintoneの管理者の方を対象としています。</w:t>
      </w:r>
    </w:p>
    <w:p>
      <w:pPr>
        <w:pStyle w:val="Heading2"/>
        <w:spacing w:after="120" w:before="260"/>
      </w:pPr>
      <w:r>
        <w:rPr>
          <w:rFonts w:ascii="游ゴシック" w:cs="游ゴシック" w:eastAsia="游ゴシック" w:hAnsi="游ゴシック"/>
          <w:b/>
          <w:bCs/>
          <w:color w:val="1E2761"/>
          <w:sz w:val="26"/>
          <w:szCs w:val="26"/>
        </w:rPr>
        <w:t xml:space="preserve">前提条件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6626"/>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内容</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kintoneプラン</w:t>
            </w:r>
          </w:p>
        </w:tc>
        <w:tc>
          <w:tcPr>
            <w:tcW w:type="dxa" w:w="66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kintone スタンダードコース（プラグインが利用できるプラン）</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権限</w:t>
            </w:r>
          </w:p>
        </w:tc>
        <w:tc>
          <w:tcPr>
            <w:tcW w:type="dxa" w:w="66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対象アプリで「プラグイン追加」を行える管理権限をお持ちのユーザー</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対象アプリ</w:t>
            </w:r>
          </w:p>
        </w:tc>
        <w:tc>
          <w:tcPr>
            <w:tcW w:type="dxa" w:w="66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図面PDFを添付した図面管理アプリ（既存アプリでも新規アプリでも可）</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APIキー</w:t>
            </w:r>
          </w:p>
        </w:tc>
        <w:tc>
          <w:tcPr>
            <w:tcW w:type="dxa" w:w="66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PlugBitsから貴社専用に発行してお渡しするキー</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プラグインファイル</w:t>
            </w:r>
          </w:p>
        </w:tc>
        <w:tc>
          <w:tcPr>
            <w:tcW w:type="dxa" w:w="66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PlugBitsからお渡しするプラグインファイル（.zip）</w:t>
            </w:r>
          </w:p>
        </w:tc>
      </w:tr>
    </w:tbl>
    <w:p>
      <w:pPr>
        <w:spacing w:after="120"/>
      </w:pPr>
    </w:p>
    <w:p>
      <w:pPr>
        <w:pStyle w:val="Heading1"/>
        <w:pBdr>
          <w:bottom w:val="single" w:color="1E2761" w:sz="6" w:space="4"/>
        </w:pBdr>
        <w:spacing w:after="160" w:before="320"/>
      </w:pPr>
      <w:r>
        <w:rPr>
          <w:rFonts w:ascii="游ゴシック" w:cs="游ゴシック" w:eastAsia="游ゴシック" w:hAnsi="游ゴシック"/>
          <w:b/>
          <w:bCs/>
          <w:color w:val="1E2761"/>
          <w:sz w:val="32"/>
          <w:szCs w:val="32"/>
        </w:rPr>
        <w:t xml:space="preserve">2. 導入の全体像</w:t>
      </w:r>
    </w:p>
    <w:p>
      <w:pPr>
        <w:spacing w:after="160" w:line="300"/>
      </w:pPr>
      <w:r>
        <w:rPr>
          <w:rFonts w:ascii="游ゴシック" w:cs="游ゴシック" w:eastAsia="游ゴシック" w:hAnsi="游ゴシック"/>
          <w:b w:val="false"/>
          <w:bCs w:val="false"/>
          <w:sz w:val="21"/>
          <w:szCs w:val="21"/>
        </w:rPr>
        <w:t xml:space="preserve">導入は、以下の5ステップで完了します。合計の所要時間の目安は約30分です（既存図面の件数が多い場合、STEP4の一括登録の待ち時間は件数に応じて長くなります）。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26"/>
      </w:tblGrid>
      <w:tr>
        <w:trPr>
          <w:tblHeader/>
        </w:trPr>
        <w:tc>
          <w:tcPr>
            <w:tcW w:type="dxa" w:w="42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ステップ</w:t>
            </w:r>
          </w:p>
        </w:tc>
        <w:tc>
          <w:tcPr>
            <w:tcW w:type="dxa" w:w="26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所要時間目安</w:t>
            </w:r>
          </w:p>
        </w:tc>
        <w:tc>
          <w:tcPr>
            <w:tcW w:type="dxa" w:w="2226"/>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作業者</w:t>
            </w:r>
          </w:p>
        </w:tc>
      </w:tr>
      <w:tr>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STEP 1　プラグインのインストール</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5分</w:t>
            </w:r>
          </w:p>
        </w:tc>
        <w:tc>
          <w:tcPr>
            <w:tcW w:type="dxa" w:w="22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kintone管理者</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STEP 2　アプリの準備</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5分</w:t>
            </w:r>
          </w:p>
        </w:tc>
        <w:tc>
          <w:tcPr>
            <w:tcW w:type="dxa" w:w="22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kintone管理者</w:t>
            </w:r>
          </w:p>
        </w:tc>
      </w:tr>
      <w:tr>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STEP 3　プラグイン設定</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10分</w:t>
            </w:r>
          </w:p>
        </w:tc>
        <w:tc>
          <w:tcPr>
            <w:tcW w:type="dxa" w:w="22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kintone管理者</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STEP 4　既存図面の一括登録</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5分〜（件数による）</w:t>
            </w:r>
          </w:p>
        </w:tc>
        <w:tc>
          <w:tcPr>
            <w:tcW w:type="dxa" w:w="22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kintone管理者</w:t>
            </w:r>
          </w:p>
        </w:tc>
      </w:tr>
      <w:tr>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STEP 5　動作確認</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5分</w:t>
            </w:r>
          </w:p>
        </w:tc>
        <w:tc>
          <w:tcPr>
            <w:tcW w:type="dxa" w:w="22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kintone管理者</w:t>
            </w:r>
          </w:p>
        </w:tc>
      </w:tr>
    </w:tbl>
    <w:p>
      <w:pPr>
        <w:spacing w:after="120"/>
      </w:pPr>
    </w:p>
    <w:p>
      <w:pPr>
        <w:pStyle w:val="Heading1"/>
        <w:pBdr>
          <w:bottom w:val="single" w:color="1E2761" w:sz="6" w:space="4"/>
        </w:pBdr>
        <w:spacing w:after="160" w:before="320"/>
      </w:pPr>
      <w:r>
        <w:rPr>
          <w:rFonts w:ascii="游ゴシック" w:cs="游ゴシック" w:eastAsia="游ゴシック" w:hAnsi="游ゴシック"/>
          <w:b/>
          <w:bCs/>
          <w:color w:val="1E2761"/>
          <w:sz w:val="32"/>
          <w:szCs w:val="32"/>
        </w:rPr>
        <w:t xml:space="preserve">3. STEP 1　プラグインのインストール</w:t>
      </w:r>
    </w:p>
    <w:p>
      <w:pPr>
        <w:spacing w:after="160" w:line="300"/>
      </w:pPr>
      <w:r>
        <w:rPr>
          <w:rFonts w:ascii="游ゴシック" w:cs="游ゴシック" w:eastAsia="游ゴシック" w:hAnsi="游ゴシック"/>
          <w:b w:val="false"/>
          <w:bCs w:val="false"/>
          <w:sz w:val="21"/>
          <w:szCs w:val="21"/>
        </w:rPr>
        <w:t xml:space="preserve">PlugBitsからお渡ししたプラグインファイル（.zip）を、kintoneのシステム管理画面から読み込みます。</w:t>
      </w:r>
    </w:p>
    <w:p>
      <w:pPr>
        <w:pStyle w:val="ListParagraph"/>
        <w:numPr>
          <w:ilvl w:val="0"/>
          <w:numId w:val="2"/>
        </w:numPr>
        <w:spacing w:after="100" w:line="280"/>
      </w:pPr>
      <w:r>
        <w:rPr>
          <w:rFonts w:ascii="游ゴシック" w:cs="游ゴシック" w:eastAsia="游ゴシック" w:hAnsi="游ゴシック"/>
          <w:sz w:val="21"/>
          <w:szCs w:val="21"/>
        </w:rPr>
        <w:t xml:space="preserve">kintoneの「kintoneシステム管理」を開く</w:t>
      </w:r>
    </w:p>
    <w:p>
      <w:pPr>
        <w:pStyle w:val="ListParagraph"/>
        <w:numPr>
          <w:ilvl w:val="0"/>
          <w:numId w:val="2"/>
        </w:numPr>
        <w:spacing w:after="100" w:line="280"/>
      </w:pPr>
      <w:r>
        <w:rPr>
          <w:rFonts w:ascii="游ゴシック" w:cs="游ゴシック" w:eastAsia="游ゴシック" w:hAnsi="游ゴシック"/>
          <w:sz w:val="21"/>
          <w:szCs w:val="21"/>
        </w:rPr>
        <w:t xml:space="preserve">「プラグイン」メニューを選択する</w:t>
      </w:r>
    </w:p>
    <w:p>
      <w:pPr>
        <w:pStyle w:val="ListParagraph"/>
        <w:numPr>
          <w:ilvl w:val="0"/>
          <w:numId w:val="2"/>
        </w:numPr>
        <w:spacing w:after="100" w:line="280"/>
      </w:pPr>
      <w:r>
        <w:rPr>
          <w:rFonts w:ascii="游ゴシック" w:cs="游ゴシック" w:eastAsia="游ゴシック" w:hAnsi="游ゴシック"/>
          <w:sz w:val="21"/>
          <w:szCs w:val="21"/>
        </w:rPr>
        <w:t xml:space="preserve">「読み込む」ボタンから、お渡ししたプラグインファイル（.zip）を選択してアップロードする</w:t>
      </w:r>
    </w:p>
    <w:p>
      <w:pPr>
        <w:pStyle w:val="ListParagraph"/>
        <w:numPr>
          <w:ilvl w:val="0"/>
          <w:numId w:val="2"/>
        </w:numPr>
        <w:spacing w:after="100" w:line="280"/>
      </w:pPr>
      <w:r>
        <w:rPr>
          <w:rFonts w:ascii="游ゴシック" w:cs="游ゴシック" w:eastAsia="游ゴシック" w:hAnsi="游ゴシック"/>
          <w:sz w:val="21"/>
          <w:szCs w:val="21"/>
        </w:rPr>
        <w:t xml:space="preserve">プラグインを利用するアプリの「アプリの設定」画面を開く</w:t>
      </w:r>
    </w:p>
    <w:p>
      <w:pPr>
        <w:pStyle w:val="ListParagraph"/>
        <w:numPr>
          <w:ilvl w:val="0"/>
          <w:numId w:val="2"/>
        </w:numPr>
        <w:spacing w:after="100" w:line="280"/>
      </w:pPr>
      <w:r>
        <w:rPr>
          <w:rFonts w:ascii="游ゴシック" w:cs="游ゴシック" w:eastAsia="游ゴシック" w:hAnsi="游ゴシック"/>
          <w:sz w:val="21"/>
          <w:szCs w:val="21"/>
        </w:rPr>
        <w:t xml:space="preserve">「プラグイン」メニューを選択し、「追加」から「類似図面検索」プラグインを選択して追加する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9E9E9" w:color="auto" w:val="clear"/>
            <w:tcMar>
              <w:top w:type="dxa" w:w="220"/>
              <w:left w:type="dxa" w:w="200"/>
              <w:bottom w:type="dxa" w:w="220"/>
              <w:right w:type="dxa" w:w="200"/>
            </w:tcMar>
          </w:tcPr>
          <w:p>
            <w:pPr>
              <w:jc w:val="center"/>
            </w:pPr>
            <w:r>
              <w:rPr>
                <w:rFonts w:ascii="游ゴシック" w:cs="游ゴシック" w:eastAsia="游ゴシック" w:hAnsi="游ゴシック"/>
                <w:i/>
                <w:iCs/>
                <w:color w:val="777777"/>
                <w:sz w:val="19"/>
                <w:szCs w:val="19"/>
              </w:rPr>
              <w:t xml:space="preserve">【画面イメージ：kintoneシステム管理 &gt; プラグイン 読み込み画面（スクリーンショット差し替え）】</w:t>
            </w:r>
          </w:p>
        </w:tc>
      </w:tr>
    </w:tbl>
    <w:p>
      <w:pPr>
        <w:spacing w:after="160" w:before="60" w:line="276"/>
        <w:ind w:left="120"/>
      </w:pPr>
      <w:r>
        <w:rPr>
          <w:rFonts w:ascii="游ゴシック" w:cs="游ゴシック" w:eastAsia="游ゴシック" w:hAnsi="游ゴシック"/>
          <w:i w:val="false"/>
          <w:iCs w:val="false"/>
          <w:color w:val="555555"/>
          <w:sz w:val="19"/>
          <w:szCs w:val="19"/>
        </w:rPr>
        <w:t xml:space="preserve">※ プラグインは対象アプリごとに追加が必要です。複数の図面管理アプリで利用する場合は、アプリごとに本手順を繰り返してください。</w:t>
      </w:r>
    </w:p>
    <w:p>
      <w:pPr>
        <w:spacing w:after="120"/>
      </w:pPr>
    </w:p>
    <w:p>
      <w:pPr>
        <w:pStyle w:val="Heading1"/>
        <w:pBdr>
          <w:bottom w:val="single" w:color="1E2761" w:sz="6" w:space="4"/>
        </w:pBdr>
        <w:spacing w:after="160" w:before="320"/>
      </w:pPr>
      <w:r>
        <w:rPr>
          <w:rFonts w:ascii="游ゴシック" w:cs="游ゴシック" w:eastAsia="游ゴシック" w:hAnsi="游ゴシック"/>
          <w:b/>
          <w:bCs/>
          <w:color w:val="1E2761"/>
          <w:sz w:val="32"/>
          <w:szCs w:val="32"/>
        </w:rPr>
        <w:t xml:space="preserve">4. STEP 2　アプリの準備</w:t>
      </w:r>
    </w:p>
    <w:p>
      <w:pPr>
        <w:spacing w:after="160" w:line="300"/>
      </w:pPr>
      <w:r>
        <w:rPr>
          <w:rFonts w:ascii="游ゴシック" w:cs="游ゴシック" w:eastAsia="游ゴシック" w:hAnsi="游ゴシック"/>
          <w:b w:val="false"/>
          <w:bCs w:val="false"/>
          <w:sz w:val="21"/>
          <w:szCs w:val="21"/>
        </w:rPr>
        <w:t xml:space="preserve">図面管理アプリに、以下のフィールドが用意されていることを確認してください。既存アプリにすでに近い項目がある場合は、新規作成せずそのまま割り当てて利用できます。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300"/>
        <w:gridCol w:w="4426"/>
      </w:tblGrid>
      <w:tr>
        <w:trPr>
          <w:tblHeader/>
        </w:trPr>
        <w:tc>
          <w:tcPr>
            <w:tcW w:type="dxa" w:w="18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フィールド名の例</w:t>
            </w:r>
          </w:p>
        </w:tc>
        <w:tc>
          <w:tcPr>
            <w:tcW w:type="dxa" w:w="15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型</w:t>
            </w:r>
          </w:p>
        </w:tc>
        <w:tc>
          <w:tcPr>
            <w:tcW w:type="dxa" w:w="13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必須／任意</w:t>
            </w:r>
          </w:p>
        </w:tc>
        <w:tc>
          <w:tcPr>
            <w:tcW w:type="dxa" w:w="4426"/>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用途</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図番</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文字列（1行）</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必須</w:t>
            </w:r>
          </w:p>
        </w:tc>
        <w:tc>
          <w:tcPr>
            <w:tcW w:type="dxa" w:w="4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図面を一意に識別する番号。検索結果の照合に使用</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品名</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文字列（1行）</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推奨</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図面の品名・部品名</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材質</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文字列（1行）</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任意</w:t>
            </w:r>
          </w:p>
        </w:tc>
        <w:tc>
          <w:tcPr>
            <w:tcW w:type="dxa" w:w="4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SPCC・SUS304・S45Cなどの材質情報</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寸法</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文字列（1行）</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任意</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板厚・外径などの寸法情報（例：t1.6、φ28.6）</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加工方法</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文字列（1行）</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任意</w:t>
            </w:r>
          </w:p>
        </w:tc>
        <w:tc>
          <w:tcPr>
            <w:tcW w:type="dxa" w:w="4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旋削・フライス・板金などの加工方法</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タグ</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文字列（1行）</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任意</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手動で付与する分類タグ</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AI形状タグ</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文字列（1行）</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任意</w:t>
            </w:r>
          </w:p>
        </w:tc>
        <w:tc>
          <w:tcPr>
            <w:tcW w:type="dxa" w:w="4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AIが図面形状から自動付与するタグの保存先</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図面PDF</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添付ファイル</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必須</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検索・登録の対象となる図面PDF（1ページ目を使用）</w:t>
            </w:r>
          </w:p>
        </w:tc>
      </w:tr>
    </w:tbl>
    <w:p>
      <w:pPr>
        <w:spacing w:after="160" w:before="60" w:line="276"/>
        <w:ind w:left="120"/>
      </w:pPr>
      <w:r>
        <w:rPr>
          <w:rFonts w:ascii="游ゴシック" w:cs="游ゴシック" w:eastAsia="游ゴシック" w:hAnsi="游ゴシック"/>
          <w:i w:val="false"/>
          <w:iCs w:val="false"/>
          <w:color w:val="555555"/>
          <w:sz w:val="19"/>
          <w:szCs w:val="19"/>
        </w:rPr>
        <w:t xml:space="preserve">※ フィールド名は自由に設定いただけます。次のSTEP3で、実際のフィールドコードをプラグイン設定画面から割り当てます。</w:t>
      </w:r>
    </w:p>
    <w:p>
      <w:pPr>
        <w:spacing w:after="120"/>
      </w:pPr>
    </w:p>
    <w:p>
      <w:pPr>
        <w:pStyle w:val="Heading1"/>
        <w:pBdr>
          <w:bottom w:val="single" w:color="1E2761" w:sz="6" w:space="4"/>
        </w:pBdr>
        <w:spacing w:after="160" w:before="320"/>
      </w:pPr>
      <w:r>
        <w:rPr>
          <w:rFonts w:ascii="游ゴシック" w:cs="游ゴシック" w:eastAsia="游ゴシック" w:hAnsi="游ゴシック"/>
          <w:b/>
          <w:bCs/>
          <w:color w:val="1E2761"/>
          <w:sz w:val="32"/>
          <w:szCs w:val="32"/>
        </w:rPr>
        <w:t xml:space="preserve">5. STEP 3　プラグイン設定</w:t>
      </w:r>
    </w:p>
    <w:p>
      <w:pPr>
        <w:spacing w:after="160" w:line="300"/>
      </w:pPr>
      <w:r>
        <w:rPr>
          <w:rFonts w:ascii="游ゴシック" w:cs="游ゴシック" w:eastAsia="游ゴシック" w:hAnsi="游ゴシック"/>
          <w:b w:val="false"/>
          <w:bCs w:val="false"/>
          <w:sz w:val="21"/>
          <w:szCs w:val="21"/>
        </w:rPr>
        <w:t xml:space="preserve">アプリの設定画面でプラグインのアイコンをクリックし、以下の項目を設定します。</w:t>
      </w:r>
    </w:p>
    <w:p>
      <w:pPr>
        <w:pStyle w:val="Heading2"/>
        <w:spacing w:after="120" w:before="260"/>
      </w:pPr>
      <w:r>
        <w:rPr>
          <w:rFonts w:ascii="游ゴシック" w:cs="游ゴシック" w:eastAsia="游ゴシック" w:hAnsi="游ゴシック"/>
          <w:b/>
          <w:bCs/>
          <w:color w:val="1E2761"/>
          <w:sz w:val="26"/>
          <w:szCs w:val="26"/>
        </w:rPr>
        <w:t xml:space="preserve">5.1 設定項目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項目</w:t>
            </w:r>
          </w:p>
        </w:tc>
        <w:tc>
          <w:tcPr>
            <w:tcW w:type="dxa" w:w="6426"/>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説明</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APIキー</w:t>
            </w:r>
          </w:p>
        </w:tc>
        <w:tc>
          <w:tcPr>
            <w:tcW w:type="dxa" w:w="6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PlugBitsから発行されたAPIキーを貼り付けます（パスワード形式の入力欄）。</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テナントID</w:t>
            </w:r>
          </w:p>
        </w:tc>
        <w:tc>
          <w:tcPr>
            <w:tcW w:type="dxa" w:w="64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kintoneのサブドメインから自動的に設定されます。手入力は不要です。</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図番フィールド／品名フィールド／PDF添付ファイルフィールド／材質フィールド／寸法フィールド／タグフィールド／AI形状タグフィールド／加工方法フィールド</w:t>
            </w:r>
          </w:p>
        </w:tc>
        <w:tc>
          <w:tcPr>
            <w:tcW w:type="dxa" w:w="6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STEP2で用意した各フィールドを、プルダウンから対応するフィールドコードに割り当てます。PDF添付ファイルフィールドは、添付ファイル型のフィールドのみ選択できます。</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一括登録ボタンの表示</w:t>
            </w:r>
          </w:p>
        </w:tc>
        <w:tc>
          <w:tcPr>
            <w:tcW w:type="dxa" w:w="64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一覧画面に一括登録関連のボタンを表示するかどうかの設定です（既定：表示する）。</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デバッグ情報の表示</w:t>
            </w:r>
          </w:p>
        </w:tc>
        <w:tc>
          <w:tcPr>
            <w:tcW w:type="dxa" w:w="6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検索結果に開発者向けの詳細情報を表示するかどうかの設定です（既定：表示しない）。通常は変更不要です。</w:t>
            </w:r>
          </w:p>
        </w:tc>
      </w:tr>
      <w:tr>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過去図面アーカイブメニューの表示</w:t>
            </w:r>
          </w:p>
        </w:tc>
        <w:tc>
          <w:tcPr>
            <w:tcW w:type="dxa" w:w="64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管理メニューに「過去図面アーカイブ取り込み」を表示するかどうかの設定です（既定：表示する）。</w:t>
            </w:r>
          </w:p>
        </w:tc>
      </w:tr>
      <w:tr>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API Base URL（詳細設定）</w:t>
            </w:r>
          </w:p>
        </w:tc>
        <w:tc>
          <w:tcPr>
            <w:tcW w:type="dxa" w:w="64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通常は入力不要です。既定のサーバーが組み込み済みのため、空欄のままご利用ください。</w:t>
            </w:r>
          </w:p>
        </w:tc>
      </w:tr>
    </w:tbl>
    <w:p>
      <w:pPr>
        <w:pStyle w:val="Heading2"/>
        <w:spacing w:after="120" w:before="260"/>
      </w:pPr>
      <w:r>
        <w:rPr>
          <w:rFonts w:ascii="游ゴシック" w:cs="游ゴシック" w:eastAsia="游ゴシック" w:hAnsi="游ゴシック"/>
          <w:b/>
          <w:bCs/>
          <w:color w:val="1E2761"/>
          <w:sz w:val="26"/>
          <w:szCs w:val="26"/>
        </w:rPr>
        <w:t xml:space="preserve">5.2 設定の流れ</w:t>
      </w:r>
    </w:p>
    <w:p>
      <w:pPr>
        <w:pStyle w:val="ListParagraph"/>
        <w:numPr>
          <w:ilvl w:val="0"/>
          <w:numId w:val="2"/>
        </w:numPr>
        <w:spacing w:after="100" w:line="280"/>
      </w:pPr>
      <w:r>
        <w:rPr>
          <w:rFonts w:ascii="游ゴシック" w:cs="游ゴシック" w:eastAsia="游ゴシック" w:hAnsi="游ゴシック"/>
          <w:sz w:val="21"/>
          <w:szCs w:val="21"/>
        </w:rPr>
        <w:t xml:space="preserve">「APIキー」欄に、PlugBitsから受け取ったAPIキーを貼り付ける</w:t>
      </w:r>
    </w:p>
    <w:p>
      <w:pPr>
        <w:pStyle w:val="ListParagraph"/>
        <w:numPr>
          <w:ilvl w:val="0"/>
          <w:numId w:val="2"/>
        </w:numPr>
        <w:spacing w:after="100" w:line="280"/>
      </w:pPr>
      <w:r>
        <w:rPr>
          <w:rFonts w:ascii="游ゴシック" w:cs="游ゴシック" w:eastAsia="游ゴシック" w:hAnsi="游ゴシック"/>
          <w:sz w:val="21"/>
          <w:szCs w:val="21"/>
        </w:rPr>
        <w:t xml:space="preserve">図番フィールドをはじめ、必要なフィールド割り当てをプルダウンから選択する</w:t>
      </w:r>
    </w:p>
    <w:p>
      <w:pPr>
        <w:pStyle w:val="ListParagraph"/>
        <w:numPr>
          <w:ilvl w:val="0"/>
          <w:numId w:val="2"/>
        </w:numPr>
        <w:spacing w:after="100" w:line="280"/>
      </w:pPr>
      <w:r>
        <w:rPr>
          <w:rFonts w:ascii="游ゴシック" w:cs="游ゴシック" w:eastAsia="游ゴシック" w:hAnsi="游ゴシック"/>
          <w:sz w:val="21"/>
          <w:szCs w:val="21"/>
        </w:rPr>
        <w:t xml:space="preserve">「接続テスト」ボタンをクリックし、「✓ 接続OK」と表示されることを確認する</w:t>
      </w:r>
    </w:p>
    <w:p>
      <w:pPr>
        <w:pStyle w:val="ListParagraph"/>
        <w:numPr>
          <w:ilvl w:val="0"/>
          <w:numId w:val="2"/>
        </w:numPr>
        <w:spacing w:after="100" w:line="280"/>
      </w:pPr>
      <w:r>
        <w:rPr>
          <w:rFonts w:ascii="游ゴシック" w:cs="游ゴシック" w:eastAsia="游ゴシック" w:hAnsi="游ゴシック"/>
          <w:sz w:val="21"/>
          <w:szCs w:val="21"/>
        </w:rPr>
        <w:t xml:space="preserve">内容を確認し、「保存する」をクリックして設定を保存する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9E9E9" w:color="auto" w:val="clear"/>
            <w:tcMar>
              <w:top w:type="dxa" w:w="220"/>
              <w:left w:type="dxa" w:w="200"/>
              <w:bottom w:type="dxa" w:w="220"/>
              <w:right w:type="dxa" w:w="200"/>
            </w:tcMar>
          </w:tcPr>
          <w:p>
            <w:pPr>
              <w:jc w:val="center"/>
            </w:pPr>
            <w:r>
              <w:rPr>
                <w:rFonts w:ascii="游ゴシック" w:cs="游ゴシック" w:eastAsia="游ゴシック" w:hAnsi="游ゴシック"/>
                <w:i/>
                <w:iCs/>
                <w:color w:val="777777"/>
                <w:sz w:val="19"/>
                <w:szCs w:val="19"/>
              </w:rPr>
              <w:t xml:space="preserve">【画面イメージ：プラグイン設定画面（接続テスト実行後）（スクリーンショット差し替え）】</w:t>
            </w:r>
          </w:p>
        </w:tc>
      </w:tr>
    </w:tbl>
    <w:p>
      <w:pPr>
        <w:pStyle w:val="Heading2"/>
        <w:spacing w:after="120" w:before="260"/>
      </w:pPr>
      <w:r>
        <w:rPr>
          <w:rFonts w:ascii="游ゴシック" w:cs="游ゴシック" w:eastAsia="游ゴシック" w:hAnsi="游ゴシック"/>
          <w:b/>
          <w:bCs/>
          <w:color w:val="1E2761"/>
          <w:sz w:val="26"/>
          <w:szCs w:val="26"/>
        </w:rPr>
        <w:t xml:space="preserve">5.3 接続テストが失敗した場合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表示</w:t>
            </w:r>
          </w:p>
        </w:tc>
        <w:tc>
          <w:tcPr>
            <w:tcW w:type="dxa" w:w="4826"/>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意味</w:t>
            </w:r>
          </w:p>
        </w:tc>
      </w:tr>
      <w:tr>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 サーバーに接続できません</w:t>
            </w:r>
          </w:p>
        </w:tc>
        <w:tc>
          <w:tcPr>
            <w:tcW w:type="dxa" w:w="48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ネットワークの状況、またはサーバーの起動待ちが原因の可能性があります。時間をおいて再度お試しください。</w:t>
            </w:r>
          </w:p>
        </w:tc>
      </w:tr>
      <w:tr>
        <w:tc>
          <w:tcPr>
            <w:tcW w:type="dxa" w:w="42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 サーバーは稼働していますが、APIキーが無効です</w:t>
            </w:r>
          </w:p>
        </w:tc>
        <w:tc>
          <w:tcPr>
            <w:tcW w:type="dxa" w:w="48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APIキーの貼り付けに誤りがある可能性があります。前後の空白がないか確認のうえ、再度貼り付けてください。</w:t>
            </w:r>
          </w:p>
        </w:tc>
      </w:tr>
    </w:tbl>
    <w:p>
      <w:pPr>
        <w:spacing w:after="120"/>
      </w:pPr>
    </w:p>
    <w:p>
      <w:pPr>
        <w:pStyle w:val="Heading1"/>
        <w:pBdr>
          <w:bottom w:val="single" w:color="1E2761" w:sz="6" w:space="4"/>
        </w:pBdr>
        <w:spacing w:after="160" w:before="320"/>
      </w:pPr>
      <w:r>
        <w:rPr>
          <w:rFonts w:ascii="游ゴシック" w:cs="游ゴシック" w:eastAsia="游ゴシック" w:hAnsi="游ゴシック"/>
          <w:b/>
          <w:bCs/>
          <w:color w:val="1E2761"/>
          <w:sz w:val="32"/>
          <w:szCs w:val="32"/>
        </w:rPr>
        <w:t xml:space="preserve">6. STEP 4　既存図面の一括登録</w:t>
      </w:r>
    </w:p>
    <w:p>
      <w:pPr>
        <w:spacing w:after="160" w:line="300"/>
      </w:pPr>
      <w:r>
        <w:rPr>
          <w:rFonts w:ascii="游ゴシック" w:cs="游ゴシック" w:eastAsia="游ゴシック" w:hAnsi="游ゴシック"/>
          <w:b w:val="false"/>
          <w:bCs w:val="false"/>
          <w:sz w:val="21"/>
          <w:szCs w:val="21"/>
        </w:rPr>
        <w:t xml:space="preserve">プラグインの設定が完了したら、すでにアプリに登録されている図面をまとめて検索対象に登録します。</w:t>
      </w:r>
    </w:p>
    <w:p>
      <w:pPr>
        <w:pStyle w:val="ListParagraph"/>
        <w:numPr>
          <w:ilvl w:val="0"/>
          <w:numId w:val="2"/>
        </w:numPr>
        <w:spacing w:after="100" w:line="280"/>
      </w:pPr>
      <w:r>
        <w:rPr>
          <w:rFonts w:ascii="游ゴシック" w:cs="游ゴシック" w:eastAsia="游ゴシック" w:hAnsi="游ゴシック"/>
          <w:sz w:val="21"/>
          <w:szCs w:val="21"/>
        </w:rPr>
        <w:t xml:space="preserve">図面管理アプリの一覧画面を開く</w:t>
      </w:r>
    </w:p>
    <w:p>
      <w:pPr>
        <w:pStyle w:val="ListParagraph"/>
        <w:numPr>
          <w:ilvl w:val="0"/>
          <w:numId w:val="2"/>
        </w:numPr>
        <w:spacing w:after="100" w:line="280"/>
      </w:pPr>
      <w:r>
        <w:rPr>
          <w:rFonts w:ascii="游ゴシック" w:cs="游ゴシック" w:eastAsia="游ゴシック" w:hAnsi="游ゴシック"/>
          <w:sz w:val="21"/>
          <w:szCs w:val="21"/>
        </w:rPr>
        <w:t xml:space="preserve">「管理 ▾」メニューから「登録状況を確認してから一括登録」を選択する</w:t>
      </w:r>
    </w:p>
    <w:p>
      <w:pPr>
        <w:pStyle w:val="ListParagraph"/>
        <w:numPr>
          <w:ilvl w:val="0"/>
          <w:numId w:val="2"/>
        </w:numPr>
        <w:spacing w:after="100" w:line="280"/>
      </w:pPr>
      <w:r>
        <w:rPr>
          <w:rFonts w:ascii="游ゴシック" w:cs="游ゴシック" w:eastAsia="游ゴシック" w:hAnsi="游ゴシック"/>
          <w:sz w:val="21"/>
          <w:szCs w:val="21"/>
        </w:rPr>
        <w:t xml:space="preserve">未登録件数を確認する</w:t>
      </w:r>
    </w:p>
    <w:p>
      <w:pPr>
        <w:pStyle w:val="ListParagraph"/>
        <w:numPr>
          <w:ilvl w:val="0"/>
          <w:numId w:val="2"/>
        </w:numPr>
        <w:spacing w:after="100" w:line="280"/>
      </w:pPr>
      <w:r>
        <w:rPr>
          <w:rFonts w:ascii="游ゴシック" w:cs="游ゴシック" w:eastAsia="游ゴシック" w:hAnsi="游ゴシック"/>
          <w:sz w:val="21"/>
          <w:szCs w:val="21"/>
        </w:rPr>
        <w:t xml:space="preserve">「全件登録」を実行する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E9E9E9" w:color="auto" w:val="clear"/>
            <w:tcMar>
              <w:top w:type="dxa" w:w="220"/>
              <w:left w:type="dxa" w:w="200"/>
              <w:bottom w:type="dxa" w:w="220"/>
              <w:right w:type="dxa" w:w="200"/>
            </w:tcMar>
          </w:tcPr>
          <w:p>
            <w:pPr>
              <w:jc w:val="center"/>
            </w:pPr>
            <w:r>
              <w:rPr>
                <w:rFonts w:ascii="游ゴシック" w:cs="游ゴシック" w:eastAsia="游ゴシック" w:hAnsi="游ゴシック"/>
                <w:i/>
                <w:iCs/>
                <w:color w:val="777777"/>
                <w:sz w:val="19"/>
                <w:szCs w:val="19"/>
              </w:rPr>
              <w:t xml:space="preserve">【画面イメージ：管理メニュー「登録状況を確認してから一括登録」実行画面（スクリーンショット差し替え）】</w:t>
            </w:r>
          </w:p>
        </w:tc>
      </w:tr>
    </w:tbl>
    <w:p>
      <w:pPr>
        <w:spacing w:after="160" w:before="60" w:line="276"/>
        <w:ind w:left="120"/>
      </w:pPr>
      <w:r>
        <w:rPr>
          <w:rFonts w:ascii="游ゴシック" w:cs="游ゴシック" w:eastAsia="游ゴシック" w:hAnsi="游ゴシック"/>
          <w:i w:val="false"/>
          <w:iCs w:val="false"/>
          <w:color w:val="555555"/>
          <w:sz w:val="19"/>
          <w:szCs w:val="19"/>
        </w:rPr>
        <w:t xml:space="preserve">※ 登録処理には1件あたり数秒〜十数秒かかります。件数が多い場合は、時間に余裕を持って実施してください。</w:t>
      </w:r>
    </w:p>
    <w:p>
      <w:pPr>
        <w:spacing w:after="160" w:before="60" w:line="276"/>
        <w:ind w:left="120"/>
      </w:pPr>
      <w:r>
        <w:rPr>
          <w:rFonts w:ascii="游ゴシック" w:cs="游ゴシック" w:eastAsia="游ゴシック" w:hAnsi="游ゴシック"/>
          <w:i w:val="false"/>
          <w:iCs w:val="false"/>
          <w:color w:val="555555"/>
          <w:sz w:val="19"/>
          <w:szCs w:val="19"/>
        </w:rPr>
        <w:t xml:space="preserve">※ 図面PDFが添付されていないレコードは、登録の対象外としてスキップされます。</w:t>
      </w:r>
    </w:p>
    <w:p>
      <w:pPr>
        <w:spacing w:after="120"/>
      </w:pPr>
    </w:p>
    <w:p>
      <w:pPr>
        <w:pStyle w:val="Heading1"/>
        <w:pBdr>
          <w:bottom w:val="single" w:color="1E2761" w:sz="6" w:space="4"/>
        </w:pBdr>
        <w:spacing w:after="160" w:before="320"/>
      </w:pPr>
      <w:r>
        <w:rPr>
          <w:rFonts w:ascii="游ゴシック" w:cs="游ゴシック" w:eastAsia="游ゴシック" w:hAnsi="游ゴシック"/>
          <w:b/>
          <w:bCs/>
          <w:color w:val="1E2761"/>
          <w:sz w:val="32"/>
          <w:szCs w:val="32"/>
        </w:rPr>
        <w:t xml:space="preserve">7. STEP 5　動作確認チェックリスト</w:t>
      </w:r>
    </w:p>
    <w:p>
      <w:pPr>
        <w:spacing w:after="160" w:line="300"/>
      </w:pPr>
      <w:r>
        <w:rPr>
          <w:rFonts w:ascii="游ゴシック" w:cs="游ゴシック" w:eastAsia="游ゴシック" w:hAnsi="游ゴシック"/>
          <w:b w:val="false"/>
          <w:bCs w:val="false"/>
          <w:sz w:val="21"/>
          <w:szCs w:val="21"/>
        </w:rPr>
        <w:t xml:space="preserve">以下の項目を確認し、正しく動作していることをご確認ください。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確認</w:t>
            </w:r>
          </w:p>
        </w:tc>
        <w:tc>
          <w:tcPr>
            <w:tcW w:type="dxa" w:w="8226"/>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確認項目</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w:t>
            </w:r>
          </w:p>
        </w:tc>
        <w:tc>
          <w:tcPr>
            <w:tcW w:type="dxa" w:w="82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プラグイン設定画面の「接続テスト」が「✓ 接続OK」と表示される</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w:t>
            </w:r>
          </w:p>
        </w:tc>
        <w:tc>
          <w:tcPr>
            <w:tcW w:type="dxa" w:w="82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詳細画面の「類似図面検索」ボタンから検索結果とサムネイルが表示される</w:t>
            </w:r>
          </w:p>
        </w:tc>
      </w:tr>
      <w:tr>
        <w:tc>
          <w:tcPr>
            <w:tcW w:type="dxa" w:w="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w:t>
            </w:r>
          </w:p>
        </w:tc>
        <w:tc>
          <w:tcPr>
            <w:tcW w:type="dxa" w:w="82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一覧画面の「類似検索（アップロード）」からPDFを投入すると検索結果が表示される</w:t>
            </w:r>
          </w:p>
        </w:tc>
      </w:tr>
      <w:tr>
        <w:tc>
          <w:tcPr>
            <w:tcW w:type="dxa" w:w="8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w:t>
            </w:r>
          </w:p>
        </w:tc>
        <w:tc>
          <w:tcPr>
            <w:tcW w:type="dxa" w:w="82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「図面を登録/更新」からPDFを投入すると、図番などがOCRで自動入力される</w:t>
            </w:r>
          </w:p>
        </w:tc>
      </w:tr>
    </w:tbl>
    <w:p>
      <w:pPr>
        <w:spacing w:after="120"/>
      </w:pPr>
    </w:p>
    <w:p>
      <w:pPr>
        <w:pStyle w:val="Heading1"/>
        <w:pBdr>
          <w:bottom w:val="single" w:color="1E2761" w:sz="6" w:space="4"/>
        </w:pBdr>
        <w:spacing w:after="160" w:before="320"/>
      </w:pPr>
      <w:r>
        <w:rPr>
          <w:rFonts w:ascii="游ゴシック" w:cs="游ゴシック" w:eastAsia="游ゴシック" w:hAnsi="游ゴシック"/>
          <w:b/>
          <w:bCs/>
          <w:color w:val="1E2761"/>
          <w:sz w:val="32"/>
          <w:szCs w:val="32"/>
        </w:rPr>
        <w:t xml:space="preserve">8. トラブルシューティング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症状</w:t>
            </w:r>
          </w:p>
        </w:tc>
        <w:tc>
          <w:tcPr>
            <w:tcW w:type="dxa" w:w="2600"/>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原因の目安</w:t>
            </w:r>
          </w:p>
        </w:tc>
        <w:tc>
          <w:tcPr>
            <w:tcW w:type="dxa" w:w="4026"/>
            <w:tcBorders>
              <w:top w:val="single" w:color="BFBFBF" w:sz="4"/>
              <w:left w:val="single" w:color="BFBFBF" w:sz="4"/>
              <w:bottom w:val="single" w:color="BFBFBF" w:sz="4"/>
              <w:right w:val="single" w:color="BFBFBF" w:sz="4"/>
            </w:tcBorders>
            <w:shd w:fill="1E2761" w:color="auto" w:val="clear"/>
            <w:tcMar>
              <w:top w:type="dxa" w:w="80"/>
              <w:left w:type="dxa" w:w="100"/>
              <w:bottom w:type="dxa" w:w="80"/>
              <w:right w:type="dxa" w:w="100"/>
            </w:tcMar>
            <w:vAlign w:val="center"/>
          </w:tcPr>
          <w:p>
            <w:r>
              <w:rPr>
                <w:rFonts w:ascii="游ゴシック" w:cs="游ゴシック" w:eastAsia="游ゴシック" w:hAnsi="游ゴシック"/>
                <w:b/>
                <w:bCs/>
                <w:color w:val="FFFFFF"/>
                <w:sz w:val="20"/>
                <w:szCs w:val="20"/>
              </w:rPr>
              <w:t xml:space="preserve">対処</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接続テストが「✗ サーバーに接続できません」</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ネットワークが不安定、またはサーバーが起動待ちの状態</w:t>
            </w:r>
          </w:p>
        </w:tc>
        <w:tc>
          <w:tcPr>
            <w:tcW w:type="dxa" w:w="40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ネットワーク環境を確認のうえ、しばらく時間をおいて再試行してください。</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接続テストが「✗ APIキーが無効です」</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APIキーの貼り付けミス</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APIキー欄の内容を確認し、正しいキーを貼り直してください。改善しない場合はPlugBitsまでご連絡ください。</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検索結果が0件になる</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一括登録が未実施</w:t>
            </w:r>
          </w:p>
        </w:tc>
        <w:tc>
          <w:tcPr>
            <w:tcW w:type="dxa" w:w="40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STEP4「既存図面の一括登録」を実施してください。</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検索結果が0件になる</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登録直後で反映に時間がかかっている</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数十秒待ってから再度検索してください。</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ボタンが画面に表示されない</w:t>
            </w:r>
          </w:p>
        </w:tc>
        <w:tc>
          <w:tcPr>
            <w:tcW w:type="dxa" w:w="2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プラグインが未追加、または設定が未保存</w:t>
            </w:r>
          </w:p>
        </w:tc>
        <w:tc>
          <w:tcPr>
            <w:tcW w:type="dxa" w:w="4026"/>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STEP1・STEP3の手順を再度確認してください。</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初回アクセスの応答が遅い</w:t>
            </w:r>
          </w:p>
        </w:tc>
        <w:tc>
          <w:tcPr>
            <w:tcW w:type="dxa" w:w="2600"/>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しばらく利用がなくサーバーが起動中</w:t>
            </w:r>
          </w:p>
        </w:tc>
        <w:tc>
          <w:tcPr>
            <w:tcW w:type="dxa" w:w="4026"/>
            <w:tcBorders>
              <w:top w:val="single" w:color="BFBFBF" w:sz="4"/>
              <w:left w:val="single" w:color="BFBFBF" w:sz="4"/>
              <w:bottom w:val="single" w:color="BFBFBF" w:sz="4"/>
              <w:right w:val="single" w:color="BFBFBF" w:sz="4"/>
            </w:tcBorders>
            <w:shd w:fill="F2F2F2" w:color="auto" w:val="clear"/>
            <w:tcMar>
              <w:top w:type="dxa" w:w="80"/>
              <w:left w:type="dxa" w:w="100"/>
              <w:bottom w:type="dxa" w:w="80"/>
              <w:right w:type="dxa" w:w="100"/>
            </w:tcMar>
            <w:vAlign w:val="center"/>
          </w:tcPr>
          <w:p>
            <w:r>
              <w:rPr>
                <w:rFonts w:ascii="游ゴシック" w:cs="游ゴシック" w:eastAsia="游ゴシック" w:hAnsi="游ゴシック"/>
                <w:b w:val="false"/>
                <w:bCs w:val="false"/>
                <w:sz w:val="20"/>
                <w:szCs w:val="20"/>
              </w:rPr>
              <w:t xml:space="preserve">1分程度待つと通常どおり応答します。</w:t>
            </w:r>
          </w:p>
        </w:tc>
      </w:tr>
    </w:tbl>
    <w:p>
      <w:pPr>
        <w:spacing w:after="120"/>
      </w:pPr>
    </w:p>
    <w:p>
      <w:pPr>
        <w:pStyle w:val="Heading1"/>
        <w:pBdr>
          <w:bottom w:val="single" w:color="1E2761" w:sz="6" w:space="4"/>
        </w:pBdr>
        <w:spacing w:after="160" w:before="320"/>
      </w:pPr>
      <w:r>
        <w:rPr>
          <w:rFonts w:ascii="游ゴシック" w:cs="游ゴシック" w:eastAsia="游ゴシック" w:hAnsi="游ゴシック"/>
          <w:b/>
          <w:bCs/>
          <w:color w:val="1E2761"/>
          <w:sz w:val="32"/>
          <w:szCs w:val="32"/>
        </w:rPr>
        <w:t xml:space="preserve">9. お問い合わせ</w:t>
      </w:r>
    </w:p>
    <w:p>
      <w:pPr>
        <w:spacing w:after="160" w:line="300"/>
      </w:pPr>
      <w:r>
        <w:rPr>
          <w:rFonts w:ascii="游ゴシック" w:cs="游ゴシック" w:eastAsia="游ゴシック" w:hAnsi="游ゴシック"/>
          <w:b w:val="false"/>
          <w:bCs w:val="false"/>
          <w:sz w:val="21"/>
          <w:szCs w:val="21"/>
        </w:rPr>
        <w:t xml:space="preserve">導入手順やプラグインの動作に関するご不明点は、PlugBitsサポート窓口までお問い合わせください。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833A" w:sz="8"/>
              <w:left w:val="single" w:color="E8833A" w:sz="8"/>
              <w:bottom w:val="single" w:color="E8833A" w:sz="8"/>
              <w:right w:val="single" w:color="E8833A" w:sz="8"/>
            </w:tcBorders>
            <w:shd w:fill="FBF1E7" w:color="auto" w:val="clear"/>
            <w:tcMar>
              <w:top w:type="dxa" w:w="140"/>
              <w:left w:type="dxa" w:w="200"/>
              <w:bottom w:type="dxa" w:w="140"/>
              <w:right w:type="dxa" w:w="200"/>
            </w:tcMar>
          </w:tcPr>
          <w:p>
            <w:pPr>
              <w:spacing w:after="80" w:line="280"/>
            </w:pPr>
            <w:r>
              <w:rPr>
                <w:rFonts w:ascii="游ゴシック" w:cs="游ゴシック" w:eastAsia="游ゴシック" w:hAnsi="游ゴシック"/>
                <w:sz w:val="20"/>
                <w:szCs w:val="20"/>
              </w:rPr>
              <w:t xml:space="preserve">PlugBits サポート窓口</w:t>
            </w:r>
          </w:p>
          <w:p>
            <w:pPr>
              <w:spacing w:after="0" w:line="280"/>
            </w:pPr>
            <w:r>
              <w:rPr>
                <w:rFonts w:ascii="游ゴシック" w:cs="游ゴシック" w:eastAsia="游ゴシック" w:hAnsi="游ゴシック"/>
                <w:sz w:val="20"/>
                <w:szCs w:val="20"/>
              </w:rPr>
              <w:t xml:space="preserve">連絡先は別途ご案内いたします。</w:t>
            </w:r>
          </w:p>
        </w:tc>
      </w:tr>
    </w:tbl>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666666"/>
        <w:sz w:val="18"/>
        <w:szCs w:val="18"/>
      </w:rPr>
      <w:fldChar w:fldCharType="begin"/>
      <w:instrText xml:space="preserve">PAGE</w:instrText>
      <w:fldChar w:fldCharType="separate"/>
      <w:fldChar w:fldCharType="end"/>
    </w:r>
    <w:r>
      <w:rPr>
        <w:rFonts w:ascii="游ゴシック" w:cs="游ゴシック" w:eastAsia="游ゴシック" w:hAnsi="游ゴシック"/>
        <w:color w:val="666666"/>
        <w:sz w:val="18"/>
        <w:szCs w:val="18"/>
      </w:rPr>
      <w:t xml:space="preserve"> / </w:t>
    </w:r>
    <w:r>
      <w:rPr>
        <w:rFonts w:ascii="游ゴシック" w:cs="游ゴシック" w:eastAsia="游ゴシック" w:hAnsi="游ゴシック"/>
        <w:color w:val="666666"/>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666666"/>
        <w:sz w:val="18"/>
        <w:szCs w:val="18"/>
      </w:rPr>
      <w:fldChar w:fldCharType="begin"/>
      <w:instrText xml:space="preserve">PAGE</w:instrText>
      <w:fldChar w:fldCharType="separate"/>
      <w:fldChar w:fldCharType="end"/>
    </w:r>
    <w:r>
      <w:rPr>
        <w:rFonts w:ascii="游ゴシック" w:cs="游ゴシック" w:eastAsia="游ゴシック" w:hAnsi="游ゴシック"/>
        <w:color w:val="666666"/>
        <w:sz w:val="18"/>
        <w:szCs w:val="18"/>
      </w:rPr>
      <w:t xml:space="preserve"> / </w:t>
    </w:r>
    <w:r>
      <w:rPr>
        <w:rFonts w:ascii="游ゴシック" w:cs="游ゴシック" w:eastAsia="游ゴシック" w:hAnsi="游ゴシック"/>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72"/>
      </w:tabs>
    </w:pPr>
    <w:r>
      <w:rPr>
        <w:rFonts w:ascii="游ゴシック" w:cs="游ゴシック" w:eastAsia="游ゴシック" w:hAnsi="游ゴシック"/>
        <w:color w:val="666666"/>
        <w:sz w:val="16"/>
        <w:szCs w:val="16"/>
      </w:rPr>
      <w:t xml:space="preserve">類似図面検索 導入手順書</w:t>
    </w:r>
    <w:r>
      <w:rPr>
        <w:rFonts w:ascii="游ゴシック" w:cs="游ゴシック" w:eastAsia="游ゴシック" w:hAnsi="游ゴシック"/>
        <w:sz w:val="16"/>
        <w:szCs w:val="16"/>
      </w:rPr>
      <w:t xml:space="preserve">	</w:t>
    </w:r>
    <w:r>
      <w:rPr>
        <w:rFonts w:ascii="游ゴシック" w:cs="游ゴシック" w:eastAsia="游ゴシック" w:hAnsi="游ゴシック"/>
        <w:color w:val="666666"/>
        <w:sz w:val="16"/>
        <w:szCs w:val="16"/>
      </w:rPr>
      <w:t xml:space="preserve">PlugBits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72"/>
      </w:tabs>
    </w:pPr>
    <w:r>
      <w:rPr>
        <w:rFonts w:ascii="游ゴシック" w:cs="游ゴシック" w:eastAsia="游ゴシック" w:hAnsi="游ゴシック"/>
        <w:color w:val="666666"/>
        <w:sz w:val="16"/>
        <w:szCs w:val="16"/>
      </w:rPr>
      <w:t xml:space="preserve">類似図面検索 導入手順書</w:t>
    </w:r>
    <w:r>
      <w:rPr>
        <w:rFonts w:ascii="游ゴシック" w:cs="游ゴシック" w:eastAsia="游ゴシック" w:hAnsi="游ゴシック"/>
        <w:sz w:val="16"/>
        <w:szCs w:val="16"/>
      </w:rPr>
      <w:t xml:space="preserve">	</w:t>
    </w:r>
    <w:r>
      <w:rPr>
        <w:rFonts w:ascii="游ゴシック" w:cs="游ゴシック" w:eastAsia="游ゴシック" w:hAnsi="游ゴシック"/>
        <w:color w:val="666666"/>
        <w:sz w:val="16"/>
        <w:szCs w:val="16"/>
      </w:rPr>
      <w:t xml:space="preserve">PlugBits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rPr>
        <w:rFonts w:ascii="游ゴシック" w:cs="游ゴシック" w:eastAsia="游ゴシック" w:hAnsi="游ゴシック"/>
        <w:color w:val="E8833A"/>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40"/>
      </w:pPr>
    </w:lvl>
  </w:abstractNum>
  <w:abstractNum w:abstractNumId="4" w15:restartNumberingAfterBreak="0">
    <w:multiLevelType w:val="hybridMultilevel"/>
    <w:lvl w:ilvl="0" w15:tentative="1">
      <w:start w:val="1"/>
      <w:numFmt w:val="decimal"/>
      <w:lvlText w:val="%1."/>
      <w:lvlJc w:val="left"/>
      <w:pPr>
        <w:ind w:left="480" w:hanging="340"/>
      </w:pPr>
    </w:lvl>
  </w:abstractNum>
  <w:abstractNum w:abstractNumId="5" w15:restartNumberingAfterBreak="0">
    <w:multiLevelType w:val="hybridMultilevel"/>
    <w:lvl w:ilvl="0" w15:tentative="1">
      <w:start w:val="1"/>
      <w:numFmt w:val="decimal"/>
      <w:lvlText w:val="Q%1."/>
      <w:lvlJc w:val="left"/>
      <w:pPr>
        <w:ind w:left="480" w:hanging="4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游ゴシック" w:cs="游ゴシック" w:eastAsia="游ゴシック" w:hAnsi="游ゴシック"/>
      <w:b/>
      <w:bCs/>
      <w:color w:val="1E2761"/>
      <w:sz w:val="32"/>
      <w:szCs w:val="32"/>
    </w:rPr>
  </w:style>
  <w:style w:type="paragraph" w:styleId="Heading2">
    <w:name w:val="Heading 2"/>
    <w:basedOn w:val="Normal"/>
    <w:next w:val="Normal"/>
    <w:qFormat/>
    <w:pPr>
      <w:outlineLvl w:val="1"/>
    </w:pPr>
    <w:rPr>
      <w:rFonts w:ascii="游ゴシック" w:cs="游ゴシック" w:eastAsia="游ゴシック" w:hAnsi="游ゴシック"/>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類似図面検索 導入手順書</dc:title>
  <dc:creator>PlugBits</dc:creator>
  <cp:lastModifiedBy>Un-named</cp:lastModifiedBy>
  <cp:revision>1</cp:revision>
  <dcterms:created xsi:type="dcterms:W3CDTF">2026-07-19T22:53:18.993Z</dcterms:created>
  <dcterms:modified xsi:type="dcterms:W3CDTF">2026-07-19T22:53:18.994Z</dcterms:modified>
</cp:coreProperties>
</file>

<file path=docProps/custom.xml><?xml version="1.0" encoding="utf-8"?>
<Properties xmlns="http://schemas.openxmlformats.org/officeDocument/2006/custom-properties" xmlns:vt="http://schemas.openxmlformats.org/officeDocument/2006/docPropsVTypes"/>
</file>