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before="100" w:line="240" w:lineRule="auto"/>
        <w:jc w:val="center"/>
        <w:rPr>
          <w:rFonts w:ascii="Verdana" w:cs="Verdana" w:eastAsia="Verdana" w:hAnsi="Verdana"/>
          <w:b w:val="1"/>
          <w:color w:val="17479d"/>
          <w:sz w:val="76"/>
          <w:szCs w:val="76"/>
        </w:rPr>
      </w:pPr>
      <w:r w:rsidDel="00000000" w:rsidR="00000000" w:rsidRPr="00000000">
        <w:rPr>
          <w:rFonts w:ascii="Verdana" w:cs="Verdana" w:eastAsia="Verdana" w:hAnsi="Verdana"/>
          <w:b w:val="1"/>
          <w:color w:val="17479d"/>
          <w:sz w:val="76"/>
          <w:szCs w:val="76"/>
          <w:rtl w:val="0"/>
        </w:rPr>
        <w:t xml:space="preserve">STP</w:t>
      </w:r>
    </w:p>
    <w:p w:rsidR="00000000" w:rsidDel="00000000" w:rsidP="00000000" w:rsidRDefault="00000000" w:rsidRPr="00000000" w14:paraId="0000000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פארם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- 3.4</w:t>
      </w:r>
    </w:p>
    <w:p w:rsidR="00000000" w:rsidDel="00000000" w:rsidP="00000000" w:rsidRDefault="00000000" w:rsidRPr="00000000" w14:paraId="00000006">
      <w:pPr>
        <w:bidi w:val="1"/>
        <w:spacing w:after="0" w:before="0" w:line="335.9999999999999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QA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ניקיטה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וסוהייב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ישימים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before="100" w:line="240" w:lineRule="auto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115.0" w:type="dxa"/>
        <w:jc w:val="right"/>
        <w:tblLayout w:type="fixed"/>
        <w:tblLook w:val="0400"/>
      </w:tblPr>
      <w:tblGrid>
        <w:gridCol w:w="3090"/>
        <w:gridCol w:w="1800"/>
        <w:gridCol w:w="3225"/>
        <w:tblGridChange w:id="0">
          <w:tblGrid>
            <w:gridCol w:w="3090"/>
            <w:gridCol w:w="1800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מהות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גרס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ראשונית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גרסאות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6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מתוכנן</w:t>
      </w:r>
    </w:p>
    <w:p w:rsidR="00000000" w:rsidDel="00000000" w:rsidP="00000000" w:rsidRDefault="00000000" w:rsidRPr="00000000" w14:paraId="00000037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715.0" w:type="dxa"/>
        <w:jc w:val="right"/>
        <w:tblLayout w:type="fixed"/>
        <w:tblLook w:val="0400"/>
      </w:tblPr>
      <w:tblGrid>
        <w:gridCol w:w="5775"/>
        <w:gridCol w:w="1620"/>
        <w:gridCol w:w="1320"/>
        <w:tblGridChange w:id="0">
          <w:tblGrid>
            <w:gridCol w:w="5775"/>
            <w:gridCol w:w="1620"/>
            <w:gridCol w:w="1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27.03.24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31.03.24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DEMO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bidi w:val="1"/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="7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וסוגי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ושיטת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יוצאו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before="100" w:line="240" w:lineRule="auto"/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הדראגסטור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והמובילה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סניפיה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פרוסים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רחבי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מקריית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בצפון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לאילת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בדרום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. </w:t>
      </w:r>
    </w:p>
    <w:p w:rsidR="00000000" w:rsidDel="00000000" w:rsidP="00000000" w:rsidRDefault="00000000" w:rsidRPr="00000000" w14:paraId="00000050">
      <w:pPr>
        <w:bidi w:val="1"/>
        <w:spacing w:after="0" w:before="10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קניות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למגוון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טיפוח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אלקטרוניקה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בריאות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אופטיקה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צעצועים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להזמין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תורים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מרקחת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מנהלים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מכירות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משלוחים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קופות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חולים</w:t>
      </w:r>
    </w:p>
    <w:p w:rsidR="00000000" w:rsidDel="00000000" w:rsidP="00000000" w:rsidRDefault="00000000" w:rsidRPr="00000000" w14:paraId="0000005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ממספרים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רגילים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למלאי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בטבלאות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שאילתות</w:t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ישימים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7365.0" w:type="dxa"/>
        <w:jc w:val="right"/>
        <w:tblLayout w:type="fixed"/>
        <w:tblLook w:val="0400"/>
      </w:tblPr>
      <w:tblGrid>
        <w:gridCol w:w="4170"/>
        <w:gridCol w:w="3195"/>
        <w:tblGridChange w:id="0">
          <w:tblGrid>
            <w:gridCol w:w="4170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אפיון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ברשותנו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1"/>
              </w:rPr>
              <w:t xml:space="preserve">תיעוד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1"/>
              </w:rPr>
              <w:t xml:space="preserve">באגים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Conversion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המבוצעות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בהסבה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עומסים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שהוגדרה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לבצעה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hd w:fill="ffffff" w:val="clear"/>
        <w:bidi w:val="1"/>
        <w:spacing w:after="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Maintenance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מתפקדת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מפורטת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הסבבים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רכיבי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תתי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יעביר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מקסימלי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370.0" w:type="dxa"/>
        <w:jc w:val="right"/>
        <w:tblLayout w:type="fixed"/>
        <w:tblLook w:val="0400"/>
      </w:tblPr>
      <w:tblGrid>
        <w:gridCol w:w="2865"/>
        <w:gridCol w:w="2685"/>
        <w:gridCol w:w="2820"/>
        <w:tblGridChange w:id="0">
          <w:tblGrid>
            <w:gridCol w:w="2865"/>
            <w:gridCol w:w="2685"/>
            <w:gridCol w:w="2820"/>
          </w:tblGrid>
        </w:tblGridChange>
      </w:tblGrid>
      <w:tr>
        <w:trPr>
          <w:cantSplit w:val="0"/>
          <w:trHeight w:val="33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rtl w:val="1"/>
              </w:rPr>
              <w:t xml:space="preserve">תפקיד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rtl w:val="1"/>
              </w:rPr>
              <w:t xml:space="preserve">איזור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ניקיטה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טיילר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סקראם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מאסטר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עגלה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אזור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פרח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לוגשי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נוספים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חיה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וייס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ותפריט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סוהייב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חגאגרה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ראשי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וחיפוש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לפיו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תיוצר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המכללה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ומחוץ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לתחום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השיעור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לפגישות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זקוק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כרטיסי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דפדפנים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Edge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Chrome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Firefox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ומערכות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10,11. 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יאושר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ובהתבסס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יבנה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הסקראב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סבבי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שבסופם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יוגש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שיבנה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הסקראב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ויעבור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Smoke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Functional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Usability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GUI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Authorization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Accessibility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  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Interface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Integration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Local</w:t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Smoke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Sanity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Regression</w:t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0" w:line="240" w:lineRule="auto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0" w:line="240" w:lineRule="auto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0" w:line="240" w:lineRule="auto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0"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אבטחה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עומסים</w:t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0" w:line="240" w:lineRule="auto"/>
        <w:ind w:left="720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קריטריונים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לתחילת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השפיות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שתכוננו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השפיות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בהצלחה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80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מסירה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תוקנו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קריטיות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522.0" w:type="dxa"/>
        <w:jc w:val="right"/>
        <w:tblLayout w:type="fixed"/>
        <w:tblLook w:val="0400"/>
      </w:tblPr>
      <w:tblGrid>
        <w:gridCol w:w="1819"/>
        <w:gridCol w:w="2274"/>
        <w:gridCol w:w="4429"/>
        <w:tblGridChange w:id="0">
          <w:tblGrid>
            <w:gridCol w:w="1819"/>
            <w:gridCol w:w="2274"/>
            <w:gridCol w:w="44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איזורים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והרשמה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רישום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חדש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שכחתי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סיסמא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לקוח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מחיקת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לתשלום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למועדפים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נוספים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לבית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מרקחת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ביטוח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נסיעות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לחו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דירה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משכנתא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הצטרפות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למועדון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לייף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סטייל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דרושים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ממשלתים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בסופר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פארם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ערכת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לידה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ראשי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וחיפוש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ממחלקת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שונות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ברקוד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מבצע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מותג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אתרים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חיצוניים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ותפריט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מבצעי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השבוע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קופונים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תיאום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ראיה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ביטוח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המדף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תרופות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35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המלצה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להיגיון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הבודק</w:t>
      </w:r>
    </w:p>
    <w:p w:rsidR="00000000" w:rsidDel="00000000" w:rsidP="00000000" w:rsidRDefault="00000000" w:rsidRPr="00000000" w14:paraId="0000013F">
      <w:pPr>
        <w:bidi w:val="1"/>
        <w:spacing w:after="0" w:before="100" w:line="240" w:lineRule="auto"/>
        <w:ind w:right="-9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המתגלות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מתועדות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החומרה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.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45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Priority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לתקלה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Responsible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יירשמו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התיעוד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-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1"/>
          </w:rPr>
          <w:t xml:space="preserve">לינק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78371" cy="2439103"/>
            <wp:effectExtent b="0" l="0" r="0" t="0"/>
            <wp:docPr id="17373929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371" cy="243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spacing w:after="0" w:before="100" w:line="240" w:lineRule="auto"/>
        <w:jc w:val="left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after="0" w:before="100" w:line="240" w:lineRule="auto"/>
        <w:jc w:val="left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after="0" w:before="100" w:line="240" w:lineRule="auto"/>
        <w:jc w:val="left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0" w:before="100" w:line="240" w:lineRule="auto"/>
        <w:jc w:val="left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after="0" w:before="100" w:line="240" w:lineRule="auto"/>
        <w:jc w:val="left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סיכונים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6"/>
        <w:bidiVisual w:val="1"/>
        <w:tblW w:w="9570.0" w:type="dxa"/>
        <w:jc w:val="left"/>
        <w:tblInd w:w="-240.0" w:type="dxa"/>
        <w:tblLayout w:type="fixed"/>
        <w:tblLook w:val="0400"/>
      </w:tblPr>
      <w:tblGrid>
        <w:gridCol w:w="570"/>
        <w:gridCol w:w="1650"/>
        <w:gridCol w:w="615"/>
        <w:gridCol w:w="2175"/>
        <w:gridCol w:w="1260"/>
        <w:gridCol w:w="900"/>
        <w:gridCol w:w="2400"/>
        <w:tblGridChange w:id="0">
          <w:tblGrid>
            <w:gridCol w:w="570"/>
            <w:gridCol w:w="1650"/>
            <w:gridCol w:w="615"/>
            <w:gridCol w:w="2175"/>
            <w:gridCol w:w="1260"/>
            <w:gridCol w:w="900"/>
            <w:gridCol w:w="2400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יעד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יקרה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בקרות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הסיכון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פעולת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המנע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ברמת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אינטרנט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כלשהו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לחו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פסח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22.04-29.04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פורים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23.03-24.03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פעיל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bidi w:val="1"/>
        <w:spacing w:after="0" w:before="10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עיכוב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משוער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 - 8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8C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spacing w:after="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1"/>
        </w:rPr>
        <w:t xml:space="preserve">הוגדרו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ביטולים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אפיון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bidi w:val="1"/>
        <w:spacing w:after="0" w:line="240" w:lineRule="auto"/>
        <w:ind w:left="1440" w:righ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bidi w:val="1"/>
        <w:spacing w:after="0" w:line="240" w:lineRule="auto"/>
        <w:ind w:left="1440" w:righ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      </w:t>
      </w:r>
    </w:p>
    <w:sectPr>
      <w:headerReference r:id="rId12" w:type="default"/>
      <w:footerReference r:id="rId13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2017875</wp:posOffset>
          </wp:positionH>
          <wp:positionV relativeFrom="paragraph">
            <wp:posOffset>-180974</wp:posOffset>
          </wp:positionV>
          <wp:extent cx="1238250" cy="438150"/>
          <wp:effectExtent b="0" l="0" r="0" t="0"/>
          <wp:wrapNone/>
          <wp:docPr id="17373929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438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7">
    <w:pPr>
      <w:bidi w:val="1"/>
      <w:rPr/>
    </w:pPr>
    <w:r w:rsidDel="00000000" w:rsidR="00000000" w:rsidRPr="00000000">
      <w:rPr>
        <w:rtl w:val="0"/>
      </w:rPr>
      <w:t xml:space="preserve">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2."/>
      <w:lvlJc w:val="left"/>
      <w:pPr>
        <w:ind w:left="2160" w:hanging="360"/>
      </w:pPr>
      <w:rPr/>
    </w:lvl>
    <w:lvl w:ilvl="2">
      <w:start w:val="1"/>
      <w:numFmt w:val="decimal"/>
      <w:lvlText w:val="%3."/>
      <w:lvlJc w:val="lef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decimal"/>
      <w:lvlText w:val="%5."/>
      <w:lvlJc w:val="left"/>
      <w:pPr>
        <w:ind w:left="4320" w:hanging="360"/>
      </w:pPr>
      <w:rPr/>
    </w:lvl>
    <w:lvl w:ilvl="5">
      <w:start w:val="1"/>
      <w:numFmt w:val="decimal"/>
      <w:lvlText w:val="%6."/>
      <w:lvlJc w:val="lef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decimal"/>
      <w:lvlText w:val="%8."/>
      <w:lvlJc w:val="left"/>
      <w:pPr>
        <w:ind w:left="6480" w:hanging="360"/>
      </w:pPr>
      <w:rPr/>
    </w:lvl>
    <w:lvl w:ilvl="8">
      <w:start w:val="1"/>
      <w:numFmt w:val="decimal"/>
      <w:lvlText w:val="%9."/>
      <w:lvlJc w:val="left"/>
      <w:pPr>
        <w:ind w:left="72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1F1ADC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a0"/>
    <w:uiPriority w:val="99"/>
    <w:semiHidden w:val="1"/>
    <w:unhideWhenUsed w:val="1"/>
    <w:rsid w:val="001F1AD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ocs.google.com/spreadsheets/d/1hIHSjNOtLidha3wnTdZpJN3mkj5cxCJz/edit#gid=974858619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zrFfBxgrQlCORKkQhnNk5yqBXVr9WVk/edit#gid=97485861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b730qRPAoy4UPHUssqK_IDF4zpvlcUlT/edit#gid=625282456" TargetMode="External"/><Relationship Id="rId8" Type="http://schemas.openxmlformats.org/officeDocument/2006/relationships/hyperlink" Target="https://docs.google.com/document/d/1w5Km0oNshpZwhdMju_TBNtbIbjv9t_xr/edit#heading=h.gjdg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itR0XT+TCqAYvoIYLv3Azt82Cg==">CgMxLjA4AHIhMV8zUUNFTlZQeVhydlUwUmZmcXJFazFiS2I5Y0dHQTVm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2024-04-10T18:33:00Z</dcterms:created>
  <dc:creator>mataratova_30 Mafteach_1</dc:creator>
</cp:coreProperties>
</file>