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4"/>
        </w:rPr>
        <w:t>Research &amp; Documentation Notes</w:t>
      </w:r>
    </w:p>
    <w:p>
      <w:pPr>
        <w:jc w:val="center"/>
      </w:pPr>
      <w:r>
        <w:rPr>
          <w:b/>
          <w:color w:val="2E74B5"/>
          <w:sz w:val="32"/>
        </w:rPr>
        <w:t>Bivariate Analysis in Credit Risk Modelling</w:t>
      </w:r>
    </w:p>
    <w:p>
      <w:pPr>
        <w:jc w:val="center"/>
      </w:pPr>
      <w:r>
        <w:rPr>
          <w:sz w:val="20"/>
        </w:rPr>
        <w:t>FNB DataQuest 2026  |  Credit Scorecard Project</w:t>
        <w:br/>
        <w:t>Senior Data Scientist — Credit Risk Analysis Division</w:t>
      </w:r>
    </w:p>
    <w:p>
      <w:pPr>
        <w:pBdr>
          <w:bottom w:val="single" w:sz="6" w:space="1" w:color="2E74B5"/>
        </w:pBdr>
        <w:spacing w:after="160"/>
      </w:pPr>
    </w:p>
    <w:p>
      <w:pPr>
        <w:spacing w:before="280" w:after="80"/>
      </w:pPr>
      <w:r>
        <w:rPr>
          <w:b/>
          <w:color w:val="2E74B5"/>
          <w:sz w:val="26"/>
        </w:rPr>
        <w:t>A.  What Is It?</w:t>
      </w:r>
    </w:p>
    <w:p>
      <w:pPr>
        <w:pBdr>
          <w:bottom w:val="single" w:sz="6" w:space="1" w:color="2E74B5"/>
        </w:pBdr>
        <w:spacing w:after="160"/>
      </w:pPr>
    </w:p>
    <w:p>
      <w:pPr>
        <w:spacing w:after="120"/>
        <w:ind w:firstLine="0"/>
      </w:pPr>
      <w:r>
        <w:rPr>
          <w:sz w:val="22"/>
        </w:rPr>
        <w:t>Bivariate analysis is the simultaneous examination of exactly two variables to understand the nature, direction, and strength of the relationship between them. Where univariate analysis describes a single variable's distribution in isolation, bivariate analysis reveals how two variables co-vary — whether they move together, oppose each other, or are independent.</w:t>
      </w:r>
    </w:p>
    <w:p>
      <w:pPr>
        <w:spacing w:after="120"/>
        <w:ind w:firstLine="0"/>
      </w:pPr>
      <w:r>
        <w:rPr>
          <w:sz w:val="22"/>
        </w:rPr>
        <w:t>It exists because credit default is not caused by a single factor in isolation. A borrower who earns R150 000 per year is not inherently high or low risk; the risk depends on whether that income is paired with R50 000 of debt (low risk) or R400 000 of debt (high risk). Bivariate analysis quantifies these pairwise dependencies, providing the empirical foundation for feature selection and, crucially, for the Weight of Evidence (WoE) transformation that underpins traditional credit scorecard development.</w:t>
      </w:r>
    </w:p>
    <w:p>
      <w:pPr>
        <w:spacing w:after="120"/>
        <w:ind w:firstLine="0"/>
      </w:pPr>
      <w:r>
        <w:rPr>
          <w:sz w:val="22"/>
        </w:rPr>
        <w:t>Problem it solves: Univariate analysis cannot tell us which variables are predictive of default — it only tells us what each variable looks like individually. Bivariate analysis bridges the gap between raw data exploration and model building by identifying which features carry genuine information about the target (default / no default), quantifying the strength of that relationship, and detecting multicollinearity between predictors that would destabilise a logistic regression model.</w:t>
      </w:r>
    </w:p>
    <w:p>
      <w:pPr>
        <w:spacing w:before="280" w:after="80"/>
      </w:pPr>
      <w:r>
        <w:rPr>
          <w:b/>
          <w:color w:val="2E74B5"/>
          <w:sz w:val="26"/>
        </w:rPr>
        <w:t>B.  How Does It Work?</w:t>
      </w:r>
    </w:p>
    <w:p>
      <w:pPr>
        <w:pBdr>
          <w:bottom w:val="single" w:sz="6" w:space="1" w:color="2E74B5"/>
        </w:pBdr>
        <w:spacing w:after="160"/>
      </w:pPr>
    </w:p>
    <w:p>
      <w:pPr>
        <w:spacing w:after="120"/>
        <w:ind w:firstLine="0"/>
      </w:pPr>
      <w:r>
        <w:rPr>
          <w:sz w:val="22"/>
        </w:rPr>
        <w:t>The method applied depends on the types of the two variables being compared. In credit risk, the most important bivariate relationship is always a feature against the binary target (Default = 1 / No Default = 0). We also examine feature-feature relationships to detect redundancy.</w:t>
      </w:r>
    </w:p>
    <w:p>
      <w:pPr>
        <w:spacing w:before="280" w:after="80"/>
      </w:pPr>
      <w:r>
        <w:rPr>
          <w:b/>
          <w:color w:val="404040"/>
          <w:sz w:val="22"/>
        </w:rPr>
        <w:t>1. Continuous Feature vs. Binary Target</w:t>
      </w:r>
    </w:p>
    <w:p>
      <w:pPr>
        <w:spacing w:after="120"/>
        <w:ind w:firstLine="0"/>
      </w:pPr>
      <w:r>
        <w:rPr>
          <w:sz w:val="22"/>
        </w:rPr>
        <w:t>Point-biserial correlation coefficient (rpb):</w:t>
      </w:r>
    </w:p>
    <w:p>
      <w:pPr>
        <w:spacing w:before="80" w:after="80"/>
        <w:jc w:val="center"/>
      </w:pPr>
      <w:r>
        <w:rPr>
          <w:i/>
          <w:color w:val="202020"/>
          <w:sz w:val="22"/>
        </w:rPr>
        <w:t>rpb = (M₁ − M₀) / Sₙ  ×  √(n₁·n₀ / n²)</w:t>
      </w:r>
    </w:p>
    <w:p>
      <w:pPr>
        <w:spacing w:after="120"/>
        <w:ind w:firstLine="0"/>
      </w:pPr>
      <w:r>
        <w:rPr>
          <w:sz w:val="22"/>
        </w:rPr>
        <w:t>where M₁ and M₀ are the means of the feature in the default and non-default groups, Sₙ is the pooled standard deviation, n₁ and n₀ are group sizes, and n = n₁ + n₀. rpb ranges from −1 to +1. A higher absolute value indicates stronger separation between defaulters and non-defaulters on that feature.</w:t>
      </w:r>
    </w:p>
    <w:p>
      <w:pPr>
        <w:spacing w:after="120"/>
        <w:ind w:firstLine="0"/>
      </w:pPr>
      <w:r>
        <w:rPr>
          <w:sz w:val="22"/>
        </w:rPr>
        <w:t>Visualisation: side-by-side box plots or overlapping KDE plots for the feature, coloured by default status. A large separation between the two distributions indicates high discriminatory power.</w:t>
      </w:r>
    </w:p>
    <w:p>
      <w:pPr>
        <w:spacing w:before="280" w:after="80"/>
      </w:pPr>
      <w:r>
        <w:rPr>
          <w:b/>
          <w:color w:val="404040"/>
          <w:sz w:val="22"/>
        </w:rPr>
        <w:t>2. Continuous Feature vs. Continuous Feature</w:t>
      </w:r>
    </w:p>
    <w:p>
      <w:pPr>
        <w:spacing w:after="120"/>
        <w:ind w:firstLine="0"/>
      </w:pPr>
      <w:r>
        <w:rPr>
          <w:sz w:val="22"/>
        </w:rPr>
        <w:t>Pearson correlation coefficient (r) — for linear relationships:</w:t>
      </w:r>
    </w:p>
    <w:p>
      <w:pPr>
        <w:spacing w:before="80" w:after="80"/>
        <w:jc w:val="center"/>
      </w:pPr>
      <w:r>
        <w:rPr>
          <w:i/>
          <w:color w:val="202020"/>
          <w:sz w:val="22"/>
        </w:rPr>
        <w:t>r = Σ(xᵢ − x̄)(yᵢ − ȳ) / √[Σ(xᵢ − x̄)² · Σ(yᵢ − ȳ)²]</w:t>
      </w:r>
    </w:p>
    <w:p>
      <w:pPr>
        <w:spacing w:after="120"/>
        <w:ind w:firstLine="0"/>
      </w:pPr>
      <w:r>
        <w:rPr>
          <w:sz w:val="22"/>
        </w:rPr>
        <w:t>Spearman rank correlation coefficient (ρ) — for monotonic relationships:</w:t>
      </w:r>
    </w:p>
    <w:p>
      <w:pPr>
        <w:spacing w:before="80" w:after="80"/>
        <w:jc w:val="center"/>
      </w:pPr>
      <w:r>
        <w:rPr>
          <w:i/>
          <w:color w:val="202020"/>
          <w:sz w:val="22"/>
        </w:rPr>
        <w:t>ρ = 1 − (6 Σdᵢ²) / (n(n²−1))</w:t>
      </w:r>
    </w:p>
    <w:p>
      <w:pPr>
        <w:spacing w:after="120"/>
        <w:ind w:firstLine="0"/>
      </w:pPr>
      <w:r>
        <w:rPr>
          <w:sz w:val="22"/>
        </w:rPr>
        <w:t>where dᵢ is the difference in ranks of each paired observation. Spearman is preferred in credit data because it is robust to outliers and non-normality — both common in financial variables. |ρ| &gt; 0.7 between two predictors signals problematic multicollinearity for logistic regression.</w:t>
      </w:r>
    </w:p>
    <w:p>
      <w:pPr>
        <w:spacing w:before="280" w:after="80"/>
      </w:pPr>
      <w:r>
        <w:rPr>
          <w:b/>
          <w:color w:val="404040"/>
          <w:sz w:val="22"/>
        </w:rPr>
        <w:t>3. Categorical Feature vs. Binary Target</w:t>
      </w:r>
    </w:p>
    <w:p>
      <w:pPr>
        <w:spacing w:after="120"/>
        <w:ind w:firstLine="0"/>
      </w:pPr>
      <w:r>
        <w:rPr>
          <w:sz w:val="22"/>
        </w:rPr>
        <w:t>Chi-square test of independence (χ²):</w:t>
      </w:r>
    </w:p>
    <w:p>
      <w:pPr>
        <w:spacing w:before="80" w:after="80"/>
        <w:jc w:val="center"/>
      </w:pPr>
      <w:r>
        <w:rPr>
          <w:i/>
          <w:color w:val="202020"/>
          <w:sz w:val="22"/>
        </w:rPr>
        <w:t>χ² = Σ (Oᵢⱼ − Eᵢⱼ)² / Eᵢⱼ</w:t>
      </w:r>
    </w:p>
    <w:p>
      <w:pPr>
        <w:spacing w:after="120"/>
        <w:ind w:firstLine="0"/>
      </w:pPr>
      <w:r>
        <w:rPr>
          <w:sz w:val="22"/>
        </w:rPr>
        <w:t>where Oᵢⱼ is the observed count and Eᵢⱼ = (row total × column total) / n is the expected count under independence. A significant χ² (p &lt; 0.05) indicates the categorical variable is associated with default status. The effect size is measured by Cramér's V.</w:t>
      </w:r>
    </w:p>
    <w:p>
      <w:pPr>
        <w:spacing w:after="120"/>
        <w:ind w:firstLine="0"/>
      </w:pPr>
      <w:r>
        <w:rPr>
          <w:sz w:val="22"/>
        </w:rPr>
        <w:t>Cramér's V (effect size for chi-square):</w:t>
      </w:r>
    </w:p>
    <w:p>
      <w:pPr>
        <w:spacing w:before="80" w:after="80"/>
        <w:jc w:val="center"/>
      </w:pPr>
      <w:r>
        <w:rPr>
          <w:i/>
          <w:color w:val="202020"/>
          <w:sz w:val="22"/>
        </w:rPr>
        <w:t>V = √(χ² / (n · min(r−1, c−1)))</w:t>
      </w:r>
    </w:p>
    <w:p>
      <w:pPr>
        <w:spacing w:after="120"/>
        <w:ind w:firstLine="0"/>
      </w:pPr>
      <w:r>
        <w:rPr>
          <w:sz w:val="22"/>
        </w:rPr>
        <w:t>V = 0: no association; V = 1: perfect association. V &gt; 0.3 is considered a moderate to strong association in credit risk applications.</w:t>
      </w:r>
    </w:p>
    <w:p>
      <w:pPr>
        <w:spacing w:before="280" w:after="80"/>
      </w:pPr>
      <w:r>
        <w:rPr>
          <w:b/>
          <w:color w:val="404040"/>
          <w:sz w:val="22"/>
        </w:rPr>
        <w:t>4. Information Value (IV) and Weight of Evidence (WoE) — Credit-Specific Method</w:t>
      </w:r>
    </w:p>
    <w:p>
      <w:pPr>
        <w:spacing w:after="120"/>
        <w:ind w:firstLine="0"/>
      </w:pPr>
      <w:r>
        <w:rPr>
          <w:sz w:val="22"/>
        </w:rPr>
        <w:t>IV and WoE are the industry-standard bivariate tools in credit scorecard development (originated by Fair Isaac / FICO). They measure how strongly a binned feature separates defaulters from non-defaulters.</w:t>
      </w:r>
    </w:p>
    <w:p>
      <w:pPr>
        <w:spacing w:after="120"/>
        <w:ind w:firstLine="0"/>
      </w:pPr>
      <w:r>
        <w:rPr>
          <w:sz w:val="22"/>
        </w:rPr>
        <w:t>Weight of Evidence for bin i:</w:t>
      </w:r>
    </w:p>
    <w:p>
      <w:pPr>
        <w:spacing w:before="80" w:after="80"/>
        <w:jc w:val="center"/>
      </w:pPr>
      <w:r>
        <w:rPr>
          <w:i/>
          <w:color w:val="202020"/>
          <w:sz w:val="22"/>
        </w:rPr>
        <w:t>WoEᵢ = ln(Distribution of Events_i / Distribution of Non-Events_i)</w:t>
      </w:r>
    </w:p>
    <w:p>
      <w:pPr>
        <w:spacing w:before="80" w:after="80"/>
        <w:jc w:val="center"/>
      </w:pPr>
      <w:r>
        <w:rPr>
          <w:i/>
          <w:color w:val="202020"/>
          <w:sz w:val="22"/>
        </w:rPr>
        <w:t xml:space="preserve">     = ln((n_events_i / N_events) / (n_non_events_i / N_non_events))</w:t>
      </w:r>
    </w:p>
    <w:p>
      <w:pPr>
        <w:spacing w:after="120"/>
        <w:ind w:firstLine="0"/>
      </w:pPr>
      <w:r>
        <w:rPr>
          <w:sz w:val="22"/>
        </w:rPr>
        <w:t>Information Value for a feature:</w:t>
      </w:r>
    </w:p>
    <w:p>
      <w:pPr>
        <w:spacing w:before="80" w:after="80"/>
        <w:jc w:val="center"/>
      </w:pPr>
      <w:r>
        <w:rPr>
          <w:i/>
          <w:color w:val="202020"/>
          <w:sz w:val="22"/>
        </w:rPr>
        <w:t>IV = Σᵢ (Distribution of Events_i − Distribution of Non-Events_i) × WoEᵢ</w:t>
      </w:r>
    </w:p>
    <w:p>
      <w:pPr>
        <w:spacing w:after="120"/>
        <w:ind w:firstLine="0"/>
      </w:pPr>
      <w:r>
        <w:rPr>
          <w:sz w:val="22"/>
        </w:rPr>
        <w:t>IV interpretation thresholds (Siddiqi, 2006):</w:t>
        <w:br/>
        <w:t xml:space="preserve">  IV &lt; 0.02  →  Useless predictor (exclude)</w:t>
        <w:br/>
        <w:t xml:space="preserve">  0.02 ≤ IV &lt; 0.10  →  Weak predictor</w:t>
        <w:br/>
        <w:t xml:space="preserve">  0.10 ≤ IV &lt; 0.30  →  Medium predictor</w:t>
        <w:br/>
        <w:t xml:space="preserve">  0.30 ≤ IV &lt; 0.50  →  Strong predictor</w:t>
        <w:br/>
        <w:t xml:space="preserve">  IV ≥ 0.50  →  Suspicious (possible data leakage — investigate)</w:t>
      </w:r>
    </w:p>
    <w:p>
      <w:pPr>
        <w:spacing w:before="280" w:after="80"/>
      </w:pPr>
      <w:r>
        <w:rPr>
          <w:b/>
          <w:color w:val="2E74B5"/>
          <w:sz w:val="26"/>
        </w:rPr>
        <w:t>C.  Example in Credit Risk</w:t>
      </w:r>
    </w:p>
    <w:p>
      <w:pPr>
        <w:pBdr>
          <w:bottom w:val="single" w:sz="6" w:space="1" w:color="2E74B5"/>
        </w:pBdr>
        <w:spacing w:after="160"/>
      </w:pPr>
    </w:p>
    <w:p>
      <w:pPr>
        <w:spacing w:after="120"/>
        <w:ind w:firstLine="0"/>
      </w:pPr>
      <w:r>
        <w:rPr>
          <w:sz w:val="22"/>
        </w:rPr>
        <w:t>Below are three worked examples of bivariate analysis from a retail lending dataset, covering each relationship type discussed in Section B.</w:t>
      </w:r>
    </w:p>
    <w:p>
      <w:pPr>
        <w:spacing w:before="280" w:after="80"/>
      </w:pPr>
      <w:r>
        <w:rPr>
          <w:b/>
          <w:color w:val="404040"/>
          <w:sz w:val="22"/>
        </w:rPr>
        <w:t>Example 1 — Credit Bureau Score vs. Default (Continuous vs. Binary, WoE/IV)</w:t>
      </w:r>
    </w:p>
    <w:p>
      <w:pPr>
        <w:spacing w:after="120"/>
        <w:ind w:firstLine="0"/>
      </w:pPr>
      <w:r>
        <w:rPr>
          <w:sz w:val="22"/>
        </w:rPr>
        <w:t>The credit bureau score is binned into five bands. The WoE and event rates for each bin are:</w:t>
      </w:r>
    </w:p>
    <w:p>
      <w:pPr>
        <w:pStyle w:val="ListBullet"/>
        <w:spacing w:after="60"/>
      </w:pPr>
      <w:r>
        <w:rPr>
          <w:b/>
          <w:sz w:val="22"/>
        </w:rPr>
        <w:t xml:space="preserve">300 – 499 (Very Poor): </w:t>
      </w:r>
      <w:r>
        <w:rPr>
          <w:sz w:val="22"/>
        </w:rPr>
        <w:t>Default rate 18.4% | WoE = +0.82 | Predict Default — high WoE</w:t>
      </w:r>
    </w:p>
    <w:p>
      <w:pPr>
        <w:pStyle w:val="ListBullet"/>
        <w:spacing w:after="60"/>
      </w:pPr>
      <w:r>
        <w:rPr>
          <w:b/>
          <w:sz w:val="22"/>
        </w:rPr>
        <w:t xml:space="preserve">500 – 579 (Poor): </w:t>
      </w:r>
      <w:r>
        <w:rPr>
          <w:sz w:val="22"/>
        </w:rPr>
        <w:t>Default rate 12.1% | WoE = +0.41 | Above-average risk</w:t>
      </w:r>
    </w:p>
    <w:p>
      <w:pPr>
        <w:pStyle w:val="ListBullet"/>
        <w:spacing w:after="60"/>
      </w:pPr>
      <w:r>
        <w:rPr>
          <w:b/>
          <w:sz w:val="22"/>
        </w:rPr>
        <w:t xml:space="preserve">580 – 669 (Fair): </w:t>
      </w:r>
      <w:r>
        <w:rPr>
          <w:sz w:val="22"/>
        </w:rPr>
        <w:t>Default rate 7.3% | WoE = +0.05 | Near population average</w:t>
      </w:r>
    </w:p>
    <w:p>
      <w:pPr>
        <w:pStyle w:val="ListBullet"/>
        <w:spacing w:after="60"/>
      </w:pPr>
      <w:r>
        <w:rPr>
          <w:b/>
          <w:sz w:val="22"/>
        </w:rPr>
        <w:t xml:space="preserve">670 – 739 (Good): </w:t>
      </w:r>
      <w:r>
        <w:rPr>
          <w:sz w:val="22"/>
        </w:rPr>
        <w:t>Default rate 3.8% | WoE = −0.38 | Below-average risk</w:t>
      </w:r>
    </w:p>
    <w:p>
      <w:pPr>
        <w:pStyle w:val="ListBullet"/>
        <w:spacing w:after="60"/>
      </w:pPr>
      <w:r>
        <w:rPr>
          <w:b/>
          <w:sz w:val="22"/>
        </w:rPr>
        <w:t xml:space="preserve">740 – 850 (Excellent): </w:t>
      </w:r>
      <w:r>
        <w:rPr>
          <w:sz w:val="22"/>
        </w:rPr>
        <w:t>Default rate 1.2% | WoE = −0.91 | Predict No Default — low WoE</w:t>
      </w:r>
    </w:p>
    <w:p>
      <w:pPr>
        <w:spacing w:after="120"/>
        <w:ind w:firstLine="0"/>
      </w:pPr>
      <w:r>
        <w:rPr>
          <w:sz w:val="22"/>
        </w:rPr>
        <w:t>The IV for credit bureau score = 0.38, classifying it as a strong predictor. The monotonically decreasing WoE (from +0.82 to −0.91) confirms the expected direction: higher scores → lower default probability. This monotonicity is a key quality check — non-monotonic WoE patterns indicate the binning needs refinement.</w:t>
      </w:r>
    </w:p>
    <w:p>
      <w:pPr>
        <w:spacing w:before="280" w:after="80"/>
      </w:pPr>
      <w:r>
        <w:rPr>
          <w:b/>
          <w:color w:val="404040"/>
          <w:sz w:val="22"/>
        </w:rPr>
        <w:t>Example 2 — Employment Type vs. Default (Categorical vs. Binary, Chi-Square)</w:t>
      </w:r>
    </w:p>
    <w:p>
      <w:pPr>
        <w:spacing w:after="120"/>
        <w:ind w:firstLine="0"/>
      </w:pPr>
      <w:r>
        <w:rPr>
          <w:sz w:val="22"/>
        </w:rPr>
        <w:t>A chi-square test is applied to employment type (Salaried, Self-Employed, Unemployed, Retired) against default status. χ²(3) = 142.6, p &lt; 0.001, Cramér's V = 0.31. The association is statistically significant and moderately strong. Cross-tabulation shows self-employed borrowers default at 14.2% versus 6.1% for salaried borrowers — the largest differential. Decision: include employment type with WoE encoding after grouping 'Retired' and 'Other' due to small cell counts.</w:t>
      </w:r>
    </w:p>
    <w:p>
      <w:pPr>
        <w:spacing w:before="280" w:after="80"/>
      </w:pPr>
      <w:r>
        <w:rPr>
          <w:b/>
          <w:color w:val="404040"/>
          <w:sz w:val="22"/>
        </w:rPr>
        <w:t>Example 3 — Income vs. DTI Ratio (Continuous vs. Continuous, Multicollinearity Check)</w:t>
      </w:r>
    </w:p>
    <w:p>
      <w:pPr>
        <w:spacing w:after="120"/>
        <w:ind w:firstLine="0"/>
      </w:pPr>
      <w:r>
        <w:rPr>
          <w:sz w:val="22"/>
        </w:rPr>
        <w:t>Spearman correlation between log(annual income) and DTI ratio is ρ = −0.61. This is a moderate negative correlation (higher income tends to reduce the debt-to-income burden), but not strong enough (|ρ| &lt; 0.70) to warrant dropping either variable. Both are retained. However, this correlation is flagged in the Variance Inflation Factor (VIF) check during logistic regression fitting. If VIF exceeds 5 for either variable, one would be dropped or an interaction term considered.</w:t>
      </w:r>
    </w:p>
    <w:p>
      <w:pPr>
        <w:spacing w:before="280" w:after="80"/>
      </w:pPr>
      <w:r>
        <w:rPr>
          <w:b/>
          <w:color w:val="2E74B5"/>
          <w:sz w:val="26"/>
        </w:rPr>
        <w:t>D.  Strengths and Weaknesses</w:t>
      </w:r>
    </w:p>
    <w:p>
      <w:pPr>
        <w:pBdr>
          <w:bottom w:val="single" w:sz="6" w:space="1" w:color="2E74B5"/>
        </w:pBdr>
        <w:spacing w:after="160"/>
      </w:pPr>
    </w:p>
    <w:p>
      <w:pPr>
        <w:spacing w:before="280" w:after="80"/>
      </w:pPr>
      <w:r>
        <w:rPr>
          <w:b/>
          <w:color w:val="404040"/>
          <w:sz w:val="22"/>
        </w:rPr>
        <w:t>Strengths</w:t>
      </w:r>
    </w:p>
    <w:p>
      <w:pPr>
        <w:pStyle w:val="ListBullet"/>
        <w:spacing w:after="60"/>
      </w:pPr>
      <w:r>
        <w:rPr>
          <w:b/>
          <w:sz w:val="22"/>
        </w:rPr>
        <w:t xml:space="preserve">Identifies predictive features before modelling. </w:t>
      </w:r>
      <w:r>
        <w:rPr>
          <w:sz w:val="22"/>
        </w:rPr>
        <w:t>IV analysis provides a clear, rank-ordered list of how informative each feature is with respect to the target. This guides feature selection without fitting a model — reducing the risk of overfitting that comes from including too many weak predictors.</w:t>
      </w:r>
    </w:p>
    <w:p>
      <w:pPr>
        <w:pStyle w:val="ListBullet"/>
        <w:spacing w:after="60"/>
      </w:pPr>
      <w:r>
        <w:rPr>
          <w:b/>
          <w:sz w:val="22"/>
        </w:rPr>
        <w:t xml:space="preserve">WoE enables direct input to logistic regression. </w:t>
      </w:r>
      <w:r>
        <w:rPr>
          <w:sz w:val="22"/>
        </w:rPr>
        <w:t>WoE-transformed features make logistic regression coefficients approximately equal across features (all on the same log-odds scale), improving numerical stability and interpretability. The linear relationship between WoE and log-odds is mathematically exact when the logistic regression model is correctly specified.</w:t>
      </w:r>
    </w:p>
    <w:p>
      <w:pPr>
        <w:pStyle w:val="ListBullet"/>
        <w:spacing w:after="60"/>
      </w:pPr>
      <w:r>
        <w:rPr>
          <w:b/>
          <w:sz w:val="22"/>
        </w:rPr>
        <w:t xml:space="preserve">Handles non-linearity through binning. </w:t>
      </w:r>
      <w:r>
        <w:rPr>
          <w:sz w:val="22"/>
        </w:rPr>
        <w:t>By analysing the relationship within bins rather than assuming a global linear form, WoE/IV captures non-linear and non-monotonic relationships that would be invisible to Pearson correlation.</w:t>
      </w:r>
    </w:p>
    <w:p>
      <w:pPr>
        <w:pStyle w:val="ListBullet"/>
        <w:spacing w:after="60"/>
      </w:pPr>
      <w:r>
        <w:rPr>
          <w:b/>
          <w:sz w:val="22"/>
        </w:rPr>
        <w:t xml:space="preserve">Detects multicollinearity early. </w:t>
      </w:r>
      <w:r>
        <w:rPr>
          <w:sz w:val="22"/>
        </w:rPr>
        <w:t>Spearman correlation matrices between all candidate features, computed before modelling, flag redundant variable pairs that would destabilise logistic regression coefficients.</w:t>
      </w:r>
    </w:p>
    <w:p>
      <w:pPr>
        <w:pStyle w:val="ListBullet"/>
        <w:spacing w:after="60"/>
      </w:pPr>
      <w:r>
        <w:rPr>
          <w:b/>
          <w:sz w:val="22"/>
        </w:rPr>
        <w:t xml:space="preserve">Regulatory and industry standard. </w:t>
      </w:r>
      <w:r>
        <w:rPr>
          <w:sz w:val="22"/>
        </w:rPr>
        <w:t>WoE/IV analysis is explicitly referenced in Basel II/III model development guidelines and is standard practice in South African retail banking scorecard development.</w:t>
      </w:r>
    </w:p>
    <w:p>
      <w:pPr>
        <w:pStyle w:val="ListBullet"/>
        <w:spacing w:after="60"/>
      </w:pPr>
      <w:r>
        <w:rPr>
          <w:b/>
          <w:sz w:val="22"/>
        </w:rPr>
        <w:t xml:space="preserve">Interpretable output. </w:t>
      </w:r>
      <w:r>
        <w:rPr>
          <w:sz w:val="22"/>
        </w:rPr>
        <w:t>WoE tables and IV rankings can be presented directly to credit policy teams and model validators — they do not require statistical expertise to understand.</w:t>
      </w:r>
    </w:p>
    <w:p>
      <w:pPr>
        <w:spacing w:before="280" w:after="80"/>
      </w:pPr>
      <w:r>
        <w:rPr>
          <w:b/>
          <w:color w:val="404040"/>
          <w:sz w:val="22"/>
        </w:rPr>
        <w:t>Weaknesses</w:t>
      </w:r>
    </w:p>
    <w:p>
      <w:pPr>
        <w:pStyle w:val="ListBullet"/>
        <w:spacing w:after="60"/>
      </w:pPr>
      <w:r>
        <w:rPr>
          <w:b/>
          <w:sz w:val="22"/>
        </w:rPr>
        <w:t xml:space="preserve">Only pairwise — ignores three-way and higher-order interactions. </w:t>
      </w:r>
      <w:r>
        <w:rPr>
          <w:sz w:val="22"/>
        </w:rPr>
        <w:t>A feature with low IV in isolation may become highly informative in combination with another feature. Bivariate analysis cannot detect this. Only model-based methods (classification trees, logistic regression with interaction terms) reveal these patterns.</w:t>
      </w:r>
    </w:p>
    <w:p>
      <w:pPr>
        <w:pStyle w:val="ListBullet"/>
        <w:spacing w:after="60"/>
      </w:pPr>
      <w:r>
        <w:rPr>
          <w:b/>
          <w:sz w:val="22"/>
        </w:rPr>
        <w:t xml:space="preserve">Correlation ≠ causation. </w:t>
      </w:r>
      <w:r>
        <w:rPr>
          <w:sz w:val="22"/>
        </w:rPr>
        <w:t>A strong WoE signal for postcode might reflect socioeconomic confounding rather than a causal relationship with default. Bivariate analysis has no mechanism to distinguish correlation from causation — subject-matter judgement is always required.</w:t>
      </w:r>
    </w:p>
    <w:p>
      <w:pPr>
        <w:pStyle w:val="ListBullet"/>
        <w:spacing w:after="60"/>
      </w:pPr>
      <w:r>
        <w:rPr>
          <w:b/>
          <w:sz w:val="22"/>
        </w:rPr>
        <w:t xml:space="preserve">IV is sensitive to bin granularity. </w:t>
      </w:r>
      <w:r>
        <w:rPr>
          <w:sz w:val="22"/>
        </w:rPr>
        <w:t>Too many fine-grained bins inflate IV by overfitting the training data. Bins with fewer than 5% of observations produce unreliable WoE estimates. Monotonicity constraints and minimum bin-size rules are essential safeguards.</w:t>
      </w:r>
    </w:p>
    <w:p>
      <w:pPr>
        <w:pStyle w:val="ListBullet"/>
        <w:spacing w:after="60"/>
      </w:pPr>
      <w:r>
        <w:rPr>
          <w:b/>
          <w:sz w:val="22"/>
        </w:rPr>
        <w:t xml:space="preserve">Pearson correlation misses non-linear relationships. </w:t>
      </w:r>
      <w:r>
        <w:rPr>
          <w:sz w:val="22"/>
        </w:rPr>
        <w:t>Two variables can have Pearson r ≈ 0 and still be strongly dependent (e.g., a U-shaped relationship). Spearman and WoE analysis partially address this, but visual inspection of scatter plots remains necessary.</w:t>
      </w:r>
    </w:p>
    <w:p>
      <w:pPr>
        <w:pStyle w:val="ListBullet"/>
        <w:spacing w:after="60"/>
      </w:pPr>
      <w:r>
        <w:rPr>
          <w:b/>
          <w:sz w:val="22"/>
        </w:rPr>
        <w:t xml:space="preserve">Computationally intensive for high-dimensional data. </w:t>
      </w:r>
      <w:r>
        <w:rPr>
          <w:sz w:val="22"/>
        </w:rPr>
        <w:t>Pairwise bivariate analysis scales as O(p²) where p is the number of features. For datasets with hundreds of features, full pairwise analysis is expensive and produces results that are difficult to interpret without automated filtering.</w:t>
      </w:r>
    </w:p>
    <w:p>
      <w:pPr>
        <w:spacing w:before="280" w:after="80"/>
      </w:pPr>
      <w:r>
        <w:rPr>
          <w:b/>
          <w:color w:val="2E74B5"/>
          <w:sz w:val="26"/>
        </w:rPr>
        <w:t>E.  Comparison to Logistic Regression</w:t>
      </w:r>
    </w:p>
    <w:p>
      <w:pPr>
        <w:pBdr>
          <w:bottom w:val="single" w:sz="6" w:space="1" w:color="2E74B5"/>
        </w:pBdr>
        <w:spacing w:after="160"/>
      </w:pPr>
    </w:p>
    <w:p>
      <w:pPr>
        <w:spacing w:after="120"/>
        <w:ind w:firstLine="0"/>
      </w:pPr>
      <w:r>
        <w:rPr>
          <w:sz w:val="22"/>
        </w:rPr>
        <w:t>Bivariate analysis and logistic regression occupy different stages of the modelling pipeline. Bivariate analysis is a precursor and enabler of logistic regression — not a competing method. The key distinctions are as follows.</w:t>
      </w:r>
    </w:p>
    <w:p>
      <w:pPr>
        <w:spacing w:before="280" w:after="80"/>
      </w:pPr>
      <w:r>
        <w:rPr>
          <w:b/>
          <w:color w:val="404040"/>
          <w:sz w:val="22"/>
        </w:rPr>
        <w:t>Scope of relationships modelled</w:t>
      </w:r>
    </w:p>
    <w:p>
      <w:pPr>
        <w:pStyle w:val="ListBullet"/>
        <w:spacing w:after="60"/>
      </w:pPr>
      <w:r>
        <w:rPr>
          <w:b/>
          <w:sz w:val="22"/>
        </w:rPr>
        <w:t xml:space="preserve">Logistic Regression:  </w:t>
      </w:r>
      <w:r>
        <w:rPr>
          <w:sz w:val="22"/>
        </w:rPr>
        <w:t>Logistic Regression: Models all features jointly, estimating coefficients that represent the partial effect of each feature after controlling for all others. Can detect suppressor variables (a feature with low marginal IV that becomes important after controlling for correlated features).</w:t>
      </w:r>
    </w:p>
    <w:p>
      <w:pPr>
        <w:pStyle w:val="ListBullet"/>
        <w:spacing w:after="60"/>
      </w:pPr>
      <w:r>
        <w:rPr>
          <w:b/>
          <w:sz w:val="22"/>
        </w:rPr>
        <w:t xml:space="preserve">Bivariate Analysis:   </w:t>
      </w:r>
      <w:r>
        <w:rPr>
          <w:sz w:val="22"/>
        </w:rPr>
        <w:t>Bivariate Analysis: One-at-a-time feature-target relationships. Cannot control for confounders. A feature that appears informative in bivariate analysis may be irrelevant once a correlated feature is included in the model.</w:t>
      </w:r>
    </w:p>
    <w:p>
      <w:pPr>
        <w:spacing w:before="280" w:after="80"/>
      </w:pPr>
      <w:r>
        <w:rPr>
          <w:b/>
          <w:color w:val="404040"/>
          <w:sz w:val="22"/>
        </w:rPr>
        <w:t>Output</w:t>
      </w:r>
    </w:p>
    <w:p>
      <w:pPr>
        <w:pStyle w:val="ListBullet"/>
        <w:spacing w:after="60"/>
      </w:pPr>
      <w:r>
        <w:rPr>
          <w:b/>
          <w:sz w:val="22"/>
        </w:rPr>
        <w:t xml:space="preserve">Logistic Regression:  </w:t>
      </w:r>
      <w:r>
        <w:rPr>
          <w:sz w:val="22"/>
        </w:rPr>
        <w:t>Logistic Regression: A predictive score P(Default = 1 | X₁, …, Xₚ); odds ratios; AUC; Gini coefficient; calibration statistics. Directly usable for application scoring.</w:t>
      </w:r>
    </w:p>
    <w:p>
      <w:pPr>
        <w:pStyle w:val="ListBullet"/>
        <w:spacing w:after="60"/>
      </w:pPr>
      <w:r>
        <w:rPr>
          <w:b/>
          <w:sz w:val="22"/>
        </w:rPr>
        <w:t xml:space="preserve">Bivariate Analysis:   </w:t>
      </w:r>
      <w:r>
        <w:rPr>
          <w:sz w:val="22"/>
        </w:rPr>
        <w:t>Bivariate Analysis: IV rankings, WoE tables, correlation matrices, chi-square p-values. Not predictive on their own — serve as inputs to feature selection and transformation decisions.</w:t>
      </w:r>
    </w:p>
    <w:p>
      <w:pPr>
        <w:spacing w:before="280" w:after="80"/>
      </w:pPr>
      <w:r>
        <w:rPr>
          <w:b/>
          <w:color w:val="404040"/>
          <w:sz w:val="22"/>
        </w:rPr>
        <w:t>Non-linearity</w:t>
      </w:r>
    </w:p>
    <w:p>
      <w:pPr>
        <w:pStyle w:val="ListBullet"/>
        <w:spacing w:after="60"/>
      </w:pPr>
      <w:r>
        <w:rPr>
          <w:b/>
          <w:sz w:val="22"/>
        </w:rPr>
        <w:t xml:space="preserve">Logistic Regression:  </w:t>
      </w:r>
      <w:r>
        <w:rPr>
          <w:sz w:val="22"/>
        </w:rPr>
        <w:t>Logistic Regression: Assumes a linear relationship between each WoE-transformed feature and log-odds. Non-linearity must be pre-encoded through binning/WoE.</w:t>
      </w:r>
    </w:p>
    <w:p>
      <w:pPr>
        <w:pStyle w:val="ListBullet"/>
        <w:spacing w:after="60"/>
      </w:pPr>
      <w:r>
        <w:rPr>
          <w:b/>
          <w:sz w:val="22"/>
        </w:rPr>
        <w:t xml:space="preserve">Bivariate Analysis:   </w:t>
      </w:r>
      <w:r>
        <w:rPr>
          <w:sz w:val="22"/>
        </w:rPr>
        <w:t>Bivariate Analysis: WoE/IV captures non-linear feature-target relationships within bins without any model assumptions. This is precisely why WoE transformation is applied before logistic regression.</w:t>
      </w:r>
    </w:p>
    <w:p>
      <w:pPr>
        <w:spacing w:before="280" w:after="80"/>
      </w:pPr>
      <w:r>
        <w:rPr>
          <w:b/>
          <w:color w:val="404040"/>
          <w:sz w:val="22"/>
        </w:rPr>
        <w:t>Stability and regularisation</w:t>
      </w:r>
    </w:p>
    <w:p>
      <w:pPr>
        <w:pStyle w:val="ListBullet"/>
        <w:spacing w:after="60"/>
      </w:pPr>
      <w:r>
        <w:rPr>
          <w:b/>
          <w:sz w:val="22"/>
        </w:rPr>
        <w:t xml:space="preserve">Logistic Regression:  </w:t>
      </w:r>
      <w:r>
        <w:rPr>
          <w:sz w:val="22"/>
        </w:rPr>
        <w:t>Logistic Regression: Coefficient estimates are influenced by all correlated features simultaneously. High multicollinearity inflates standard errors and destabilises coefficients. L2 regularisation (ridge) mitigates this.</w:t>
      </w:r>
    </w:p>
    <w:p>
      <w:pPr>
        <w:pStyle w:val="ListBullet"/>
        <w:spacing w:after="60"/>
      </w:pPr>
      <w:r>
        <w:rPr>
          <w:b/>
          <w:sz w:val="22"/>
        </w:rPr>
        <w:t xml:space="preserve">Bivariate Analysis:   </w:t>
      </w:r>
      <w:r>
        <w:rPr>
          <w:sz w:val="22"/>
        </w:rPr>
        <w:t>Bivariate Analysis: Pearson/Spearman correlation between features directly identifies multicollinear pairs before they enter the model, allowing pre-emptive feature removal.</w:t>
      </w:r>
    </w:p>
    <w:p>
      <w:pPr>
        <w:spacing w:before="280" w:after="80"/>
      </w:pPr>
      <w:r>
        <w:rPr>
          <w:b/>
          <w:color w:val="404040"/>
          <w:sz w:val="22"/>
        </w:rPr>
        <w:t>Regulatory standing</w:t>
      </w:r>
    </w:p>
    <w:p>
      <w:pPr>
        <w:pStyle w:val="ListBullet"/>
        <w:spacing w:after="60"/>
      </w:pPr>
      <w:r>
        <w:rPr>
          <w:b/>
          <w:sz w:val="22"/>
        </w:rPr>
        <w:t xml:space="preserve">Logistic Regression:  </w:t>
      </w:r>
      <w:r>
        <w:rPr>
          <w:sz w:val="22"/>
        </w:rPr>
        <w:t>Logistic Regression: The primary model submitted for regulatory approval (PD model under Basel). Coefficients and scorecard weights are the regulated artefact.</w:t>
      </w:r>
    </w:p>
    <w:p>
      <w:pPr>
        <w:pStyle w:val="ListBullet"/>
        <w:spacing w:after="60"/>
      </w:pPr>
      <w:r>
        <w:rPr>
          <w:b/>
          <w:sz w:val="22"/>
        </w:rPr>
        <w:t xml:space="preserve">Bivariate Analysis:   </w:t>
      </w:r>
      <w:r>
        <w:rPr>
          <w:sz w:val="22"/>
        </w:rPr>
        <w:t>Bivariate Analysis: Supporting documentation for model development. Regulators expect IV tables and WoE plots as evidence that features were understood and selected rigorously.</w:t>
      </w:r>
    </w:p>
    <w:p>
      <w:pPr>
        <w:spacing w:before="280" w:after="80"/>
      </w:pPr>
      <w:r>
        <w:rPr>
          <w:b/>
          <w:color w:val="404040"/>
          <w:sz w:val="22"/>
        </w:rPr>
        <w:t>When preferred</w:t>
      </w:r>
    </w:p>
    <w:p>
      <w:pPr>
        <w:pStyle w:val="ListBullet"/>
        <w:spacing w:after="60"/>
      </w:pPr>
      <w:r>
        <w:rPr>
          <w:b/>
          <w:sz w:val="22"/>
        </w:rPr>
        <w:t xml:space="preserve">Logistic Regression:  </w:t>
      </w:r>
      <w:r>
        <w:rPr>
          <w:sz w:val="22"/>
        </w:rPr>
        <w:t>Logistic Regression: Always preferred as the final scoring model. No bivariate method produces a deployable credit score.</w:t>
      </w:r>
    </w:p>
    <w:p>
      <w:pPr>
        <w:pStyle w:val="ListBullet"/>
        <w:spacing w:after="60"/>
      </w:pPr>
      <w:r>
        <w:rPr>
          <w:b/>
          <w:sz w:val="22"/>
        </w:rPr>
        <w:t xml:space="preserve">Bivariate Analysis:   </w:t>
      </w:r>
      <w:r>
        <w:rPr>
          <w:sz w:val="22"/>
        </w:rPr>
        <w:t>Bivariate Analysis: Always performed before logistic regression as a non-negotiable EDA and feature engineering step. The WoE output directly feeds into the logistic regression as transformed inputs.</w:t>
      </w:r>
    </w:p>
    <w:p>
      <w:pPr>
        <w:spacing w:after="120"/>
        <w:ind w:firstLine="0"/>
      </w:pPr>
      <w:r>
        <w:rPr>
          <w:sz w:val="22"/>
        </w:rPr>
        <w:t>In the credit scorecard development process, bivariate analysis and logistic regression are not alternatives — they are sequential steps in the same pipeline: IV screens features, WoE transforms them, and logistic regression combines them into a score.</w:t>
      </w:r>
    </w:p>
    <w:p>
      <w:pPr>
        <w:spacing w:before="280" w:after="80"/>
      </w:pPr>
      <w:r>
        <w:rPr>
          <w:b/>
          <w:color w:val="2E74B5"/>
          <w:sz w:val="26"/>
        </w:rPr>
        <w:t>F.  How It Influenced Our Project</w:t>
      </w:r>
    </w:p>
    <w:p>
      <w:pPr>
        <w:pBdr>
          <w:bottom w:val="single" w:sz="6" w:space="1" w:color="2E74B5"/>
        </w:pBdr>
        <w:spacing w:after="160"/>
      </w:pPr>
    </w:p>
    <w:p>
      <w:pPr>
        <w:spacing w:after="120"/>
        <w:ind w:firstLine="0"/>
      </w:pPr>
      <w:r>
        <w:rPr>
          <w:sz w:val="22"/>
        </w:rPr>
        <w:t>Bivariate analysis was the second analytical step in our pipeline, applied after univariate cleaning and transformation. Its outputs directly determined which features entered the logistic regression and how they were encoded:</w:t>
      </w:r>
    </w:p>
    <w:p>
      <w:pPr>
        <w:pStyle w:val="ListBullet"/>
        <w:spacing w:after="60"/>
      </w:pPr>
      <w:r>
        <w:rPr>
          <w:b/>
          <w:sz w:val="22"/>
        </w:rPr>
        <w:t xml:space="preserve">IV-based feature short-listing. </w:t>
      </w:r>
      <w:r>
        <w:rPr>
          <w:sz w:val="22"/>
        </w:rPr>
        <w:t>We computed IV for all 23 candidate features against the binary default flag. Features with IV &lt; 0.02 were excluded from further analysis: 6 features were dropped at this stage (including loan currency, product flag, and two date-derived variables with no discriminatory power). This reduced the modelling feature set from 23 to 17, lowering the risk of overfitting and reducing scorecard complexity for regulatory review.</w:t>
      </w:r>
    </w:p>
    <w:p>
      <w:pPr>
        <w:pStyle w:val="ListBullet"/>
        <w:spacing w:after="60"/>
      </w:pPr>
      <w:r>
        <w:rPr>
          <w:b/>
          <w:sz w:val="22"/>
        </w:rPr>
        <w:t xml:space="preserve">WoE transformation for all retained features. </w:t>
      </w:r>
      <w:r>
        <w:rPr>
          <w:sz w:val="22"/>
        </w:rPr>
        <w:t>The 17 surviving features were WoE-transformed using monotonically constrained bins. The monotonicity constraint (WoE must be strictly increasing or decreasing across bins) was enforced algorithmically and validated visually — a non-monotonic WoE pattern indicates an unstable or overfitted binning that would produce unreliable scorecard weights.</w:t>
      </w:r>
    </w:p>
    <w:p>
      <w:pPr>
        <w:pStyle w:val="ListBullet"/>
        <w:spacing w:after="60"/>
      </w:pPr>
      <w:r>
        <w:rPr>
          <w:b/>
          <w:sz w:val="22"/>
        </w:rPr>
        <w:t xml:space="preserve">Multicollinearity detection and feature pruning. </w:t>
      </w:r>
      <w:r>
        <w:rPr>
          <w:sz w:val="22"/>
        </w:rPr>
        <w:t>A Spearman correlation matrix of all 17 WoE-transformed features revealed two strongly correlated pairs: (a) log(income) and DTI ratio (ρ = −0.61, borderline) and (b) number of open accounts and total credit exposure (ρ = 0.74, exceeding the threshold). For pair (b), total credit exposure was retained (higher IV = 0.29 vs. 0.17) and open accounts was dropped, reducing multicollinearity before logistic regression fitting.</w:t>
      </w:r>
    </w:p>
    <w:p>
      <w:pPr>
        <w:pStyle w:val="ListBullet"/>
        <w:spacing w:after="60"/>
      </w:pPr>
      <w:r>
        <w:rPr>
          <w:b/>
          <w:sz w:val="22"/>
        </w:rPr>
        <w:t xml:space="preserve">Chi-square validation for categorical features. </w:t>
      </w:r>
      <w:r>
        <w:rPr>
          <w:sz w:val="22"/>
        </w:rPr>
        <w:t>For the five categorical features (employment type, province, loan purpose, marital status, housing type), chi-square tests confirmed statistical association with default (all p &lt; 0.001 after Bonferroni correction). Cramér's V guided the grouping of rare categories — any category with fewer than 200 observations was merged with its nearest WoE neighbour.</w:t>
      </w:r>
    </w:p>
    <w:p>
      <w:pPr>
        <w:pStyle w:val="ListBullet"/>
        <w:spacing w:after="60"/>
      </w:pPr>
      <w:r>
        <w:rPr>
          <w:b/>
          <w:sz w:val="22"/>
        </w:rPr>
        <w:t xml:space="preserve">Suspicious IV investigation. </w:t>
      </w:r>
      <w:r>
        <w:rPr>
          <w:sz w:val="22"/>
        </w:rPr>
        <w:t>One feature (days since last delinquency) returned IV = 0.61, flagged as suspicious under the IV &gt; 0.50 rule. Investigation revealed that this feature used event date data that would not be available at loan origination — a form of look-ahead data leakage. The feature was removed from the pipeline entirely. Bivariate IV analysis was the mechanism that surfaced this leakage before it could contaminate the model.</w:t>
      </w:r>
    </w:p>
    <w:p>
      <w:pPr>
        <w:pStyle w:val="ListBullet"/>
        <w:spacing w:after="60"/>
      </w:pPr>
      <w:r>
        <w:rPr>
          <w:b/>
          <w:sz w:val="22"/>
        </w:rPr>
        <w:t xml:space="preserve">WoE monotonicity as a model constraint signal. </w:t>
      </w:r>
      <w:r>
        <w:rPr>
          <w:sz w:val="22"/>
        </w:rPr>
        <w:t>The WoE analysis for DTI ratio showed a strong, clean monotonic pattern (WoE increases steadily with DTI). This gave us confidence that a linear logistic regression (which assumes monotonicity after WoE transformation) is appropriate for this variable — no additional non-linear terms or interaction features were needed.</w:t>
      </w:r>
    </w:p>
    <w:p>
      <w:pPr>
        <w:pBdr>
          <w:bottom w:val="single" w:sz="6" w:space="1" w:color="2E74B5"/>
        </w:pBdr>
        <w:spacing w:after="160"/>
      </w:pPr>
    </w:p>
    <w:p>
      <w:pPr>
        <w:jc w:val="center"/>
      </w:pPr>
      <w:r>
        <w:rPr>
          <w:color w:val="808080"/>
          <w:sz w:val="18"/>
        </w:rPr>
        <w:t>FNB DataQuest 2026  ·  Credit Risk Modelling Team  ·  Confidential &amp; Internal Use Only</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