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20"/>
      </w:pPr>
      <w:r>
        <w:t xml:space="preserve">TenantPulse : base de connaissances utilisateur</w:t>
      </w:r>
    </w:p>
    <w:p>
      <w:pPr>
        <w:pBdr>
          <w:left w:val="single" w:color="999999" w:sz="12" w:space="12"/>
        </w:pBdr>
        <w:spacing w:after="160"/>
        <w:ind w:left="360"/>
      </w:pPr>
      <w:r>
        <w:rPr>
          <w:i/>
          <w:iCs/>
          <w:color w:val="444444"/>
        </w:rPr>
        <w:t xml:space="preserve">Document source de l'agent copilot d'assistance TenantPulse. Chaque section est </w:t>
      </w:r>
      <w:r>
        <w:rPr>
          <w:b/>
          <w:bCs/>
          <w:i/>
          <w:iCs/>
          <w:color w:val="444444"/>
        </w:rPr>
        <w:t xml:space="preserve">autonome</w:t>
      </w:r>
      <w:r>
        <w:rPr>
          <w:i/>
          <w:iCs/>
          <w:color w:val="444444"/>
        </w:rPr>
        <w:t xml:space="preserve"> : elle se comprend sans lire les autres, pour rester exploitable une fois découpée en fragments par le moteur de recherche de l'agent. Les chemins de clic sont écrits sous la forme </w:t>
      </w:r>
      <w:r>
        <w:rPr>
          <w:rFonts w:ascii="Consolas" w:cs="Consolas" w:eastAsia="Consolas" w:hAnsi="Consolas"/>
          <w:i/>
          <w:iCs/>
          <w:color w:val="444444"/>
          <w:sz w:val="19"/>
          <w:szCs w:val="19"/>
        </w:rPr>
        <w:t xml:space="preserve">Menu &gt; Sous-menu &gt; Élément</w:t>
      </w:r>
      <w:r>
        <w:rPr>
          <w:i/>
          <w:iCs/>
          <w:color w:val="444444"/>
        </w:rPr>
        <w:t xml:space="preserve">.</w:t>
      </w:r>
    </w:p>
    <w:p>
      <w:pPr>
        <w:pStyle w:val="Heading2"/>
        <w:spacing w:after="140" w:before="320"/>
      </w:pPr>
      <w:r>
        <w:t xml:space="preserve">1. Ce qu'est TenantPulse</w:t>
      </w:r>
    </w:p>
    <w:p>
      <w:pPr>
        <w:spacing w:after="140"/>
      </w:pPr>
      <w:r>
        <w:t xml:space="preserve">TenantPulse est un outil interne de diagnostic </w:t>
      </w:r>
      <w:r>
        <w:rPr>
          <w:b/>
          <w:bCs/>
        </w:rPr>
        <w:t xml:space="preserve">Microsoft 365</w:t>
      </w:r>
      <w:r>
        <w:t xml:space="preserve"> destiné au support. À partir d'un domaine, d'une adresse e-mail ou d'un Tenant ID, il retrouve le tenant Microsoft du client, contrôle l'hygiène DNS de sa messagerie, identifie l'hébergeur et le registrar, et ouvre en un clic les centres d'administration du client.</w:t>
      </w:r>
    </w:p>
    <w:p>
      <w:pPr>
        <w:spacing w:after="140"/>
      </w:pPr>
      <w:r>
        <w:t xml:space="preserve">L'application regroupe </w:t>
      </w:r>
      <w:r>
        <w:rPr>
          <w:b/>
          <w:bCs/>
        </w:rPr>
        <w:t xml:space="preserve">deux outils</w:t>
      </w:r>
      <w:r>
        <w:t xml:space="preserve"> dans une même interface, séparés par les onglets de la barre violette :</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340"/>
        <w:gridCol w:w="6686"/>
      </w:tblGrid>
      <w:tr>
        <w:trPr>
          <w:tblHeader/>
        </w:trPr>
        <w:tc>
          <w:tcPr>
            <w:tcW w:type="dxa" w:w="2340"/>
            <w:shd w:fill="EFEFEF" w:color="auto" w:val="clear"/>
            <w:tcMar>
              <w:top w:type="dxa" w:w="60"/>
              <w:left w:type="dxa" w:w="100"/>
              <w:bottom w:type="dxa" w:w="60"/>
              <w:right w:type="dxa" w:w="100"/>
            </w:tcMar>
          </w:tcPr>
          <w:p>
            <w:pPr>
              <w:spacing w:after="0" w:before="0"/>
            </w:pPr>
            <w:r>
              <w:rPr>
                <w:b/>
                <w:bCs/>
              </w:rPr>
              <w:t xml:space="preserve">Onglet</w:t>
            </w:r>
          </w:p>
        </w:tc>
        <w:tc>
          <w:tcPr>
            <w:tcW w:type="dxa" w:w="6686"/>
            <w:shd w:fill="EFEFEF" w:color="auto" w:val="clear"/>
            <w:tcMar>
              <w:top w:type="dxa" w:w="60"/>
              <w:left w:type="dxa" w:w="100"/>
              <w:bottom w:type="dxa" w:w="60"/>
              <w:right w:type="dxa" w:w="100"/>
            </w:tcMar>
          </w:tcPr>
          <w:p>
            <w:pPr>
              <w:spacing w:after="0" w:before="0"/>
            </w:pPr>
            <w:r>
              <w:rPr>
                <w:b/>
                <w:bCs/>
              </w:rPr>
              <w:t xml:space="preserve">Rôle</w:t>
            </w:r>
          </w:p>
        </w:tc>
      </w:tr>
      <w:tr>
        <w:trPr>
          <w:tblHeader w:val="false"/>
        </w:trPr>
        <w:tc>
          <w:tcPr>
            <w:tcW w:type="dxa" w:w="2340"/>
            <w:tcMar>
              <w:top w:type="dxa" w:w="60"/>
              <w:left w:type="dxa" w:w="100"/>
              <w:bottom w:type="dxa" w:w="60"/>
              <w:right w:type="dxa" w:w="100"/>
            </w:tcMar>
          </w:tcPr>
          <w:p>
            <w:pPr>
              <w:spacing w:after="0" w:before="0"/>
            </w:pPr>
            <w:r>
              <w:rPr>
                <w:b/>
                <w:bCs/>
              </w:rPr>
              <w:t xml:space="preserve">Diagnostic M365</w:t>
            </w:r>
          </w:p>
        </w:tc>
        <w:tc>
          <w:tcPr>
            <w:tcW w:type="dxa" w:w="6686"/>
            <w:tcMar>
              <w:top w:type="dxa" w:w="60"/>
              <w:left w:type="dxa" w:w="100"/>
              <w:bottom w:type="dxa" w:w="60"/>
              <w:right w:type="dxa" w:w="100"/>
            </w:tcMar>
          </w:tcPr>
          <w:p>
            <w:pPr>
              <w:spacing w:after="0" w:before="0"/>
            </w:pPr>
            <w:r>
              <w:t xml:space="preserve">Tenant ID, DNS, sécurité de la messagerie, WHOIS, hébergeur, classification des tenants. C'est l'outil principal.</w:t>
            </w:r>
          </w:p>
        </w:tc>
      </w:tr>
      <w:tr>
        <w:trPr>
          <w:tblHeader w:val="false"/>
        </w:trPr>
        <w:tc>
          <w:tcPr>
            <w:tcW w:type="dxa" w:w="2340"/>
            <w:tcMar>
              <w:top w:type="dxa" w:w="60"/>
              <w:left w:type="dxa" w:w="100"/>
              <w:bottom w:type="dxa" w:w="60"/>
              <w:right w:type="dxa" w:w="100"/>
            </w:tcMar>
          </w:tcPr>
          <w:p>
            <w:pPr>
              <w:spacing w:after="0" w:before="0"/>
            </w:pPr>
            <w:r>
              <w:rPr>
                <w:b/>
                <w:bCs/>
              </w:rPr>
              <w:t xml:space="preserve">Diagnostic Messagerie</w:t>
            </w:r>
          </w:p>
        </w:tc>
        <w:tc>
          <w:tcPr>
            <w:tcW w:type="dxa" w:w="6686"/>
            <w:tcMar>
              <w:top w:type="dxa" w:w="60"/>
              <w:left w:type="dxa" w:w="100"/>
              <w:bottom w:type="dxa" w:w="60"/>
              <w:right w:type="dxa" w:w="100"/>
            </w:tcMar>
          </w:tcPr>
          <w:p>
            <w:pPr>
              <w:spacing w:after="0" w:before="0"/>
            </w:pPr>
            <w:r>
              <w:t xml:space="preserve">Analyse d'en-têtes d'e-mail (SPF/DKIM/DMARC, EOP, chaîne SMTP, URLs). Marqué </w:t>
            </w:r>
            <w:r>
              <w:rPr>
                <w:rFonts w:ascii="Consolas" w:cs="Consolas" w:eastAsia="Consolas" w:hAnsi="Consolas"/>
                <w:sz w:val="19"/>
                <w:szCs w:val="19"/>
              </w:rPr>
              <w:t xml:space="preserve">dev</w:t>
            </w:r>
            <w:r>
              <w:t xml:space="preserve">. 100 % local.</w:t>
            </w:r>
          </w:p>
        </w:tc>
      </w:tr>
    </w:tbl>
    <w:p>
      <w:pPr>
        <w:spacing w:after="120"/>
      </w:pPr>
    </w:p>
    <w:p>
      <w:pPr>
        <w:spacing w:after="140"/>
      </w:pPr>
      <w:r>
        <w:t xml:space="preserve">Trois principes de fonctionnement à connaître, car ils expliquent beaucoup de comportements de l'outil :</w:t>
      </w:r>
    </w:p>
    <w:p>
      <w:pPr>
        <w:pStyle w:val="ListParagraph"/>
        <w:numPr>
          <w:ilvl w:val="0"/>
          <w:numId w:val="2"/>
        </w:numPr>
        <w:spacing w:after="80"/>
      </w:pPr>
      <w:r>
        <w:rPr>
          <w:b/>
          <w:bCs/>
        </w:rPr>
        <w:t xml:space="preserve">Tout part de votre navigateur.</w:t>
      </w:r>
      <w:r>
        <w:t xml:space="preserve"> Les analyses interrogent directement les APIs publiques (Microsoft, résolveurs DNS-over-HTTPS, RDAP). Aucun serveur intermédiaire ne reçoit les domaines analysés.</w:t>
      </w:r>
    </w:p>
    <w:p>
      <w:pPr>
        <w:pStyle w:val="ListParagraph"/>
        <w:numPr>
          <w:ilvl w:val="0"/>
          <w:numId w:val="2"/>
        </w:numPr>
        <w:spacing w:after="80"/>
      </w:pPr>
      <w:r>
        <w:rPr>
          <w:b/>
          <w:bCs/>
        </w:rPr>
        <w:t xml:space="preserve">Rien n'est conservé par défaut.</w:t>
      </w:r>
      <w:r>
        <w:t xml:space="preserve"> L'historique des Tenant ID est désactivé au départ, et quand il est activé il reste dans le navigateur.</w:t>
      </w:r>
    </w:p>
    <w:p>
      <w:pPr>
        <w:pStyle w:val="ListParagraph"/>
        <w:numPr>
          <w:ilvl w:val="0"/>
          <w:numId w:val="2"/>
        </w:numPr>
        <w:spacing w:after="80"/>
      </w:pPr>
      <w:r>
        <w:rPr>
          <w:b/>
          <w:bCs/>
        </w:rPr>
        <w:t xml:space="preserve">Seules les classifications sont partagées.</w:t>
      </w:r>
      <w:r>
        <w:t xml:space="preserve"> Les badges posés sur les tenants (Direct, Indirect, GDAP...) vivent côté serveur pour être visibles par toute l'équipe.</w:t>
      </w:r>
    </w:p>
    <w:p>
      <w:pPr>
        <w:spacing w:after="60"/>
      </w:pPr>
    </w:p>
    <w:p>
      <w:pPr>
        <w:pStyle w:val="Heading3"/>
        <w:spacing w:after="140" w:before="220"/>
      </w:pPr>
      <w:r>
        <w:t xml:space="preserve">Ce que TenantPulse ne fait pas</w:t>
      </w:r>
    </w:p>
    <w:p>
      <w:pPr>
        <w:pStyle w:val="ListParagraph"/>
        <w:numPr>
          <w:ilvl w:val="0"/>
          <w:numId w:val="1"/>
        </w:numPr>
        <w:spacing w:after="80"/>
      </w:pPr>
      <w:r>
        <w:t xml:space="preserve">Il </w:t>
      </w:r>
      <w:r>
        <w:rPr>
          <w:b/>
          <w:bCs/>
        </w:rPr>
        <w:t xml:space="preserve">ne modifie rien</w:t>
      </w:r>
      <w:r>
        <w:t xml:space="preserve"> chez le client : aucune écriture, aucune action d'administration.</w:t>
      </w:r>
    </w:p>
    <w:p>
      <w:pPr>
        <w:pStyle w:val="ListParagraph"/>
        <w:numPr>
          <w:ilvl w:val="0"/>
          <w:numId w:val="1"/>
        </w:numPr>
        <w:spacing w:after="80"/>
      </w:pPr>
      <w:r>
        <w:t xml:space="preserve">Il </w:t>
      </w:r>
      <w:r>
        <w:rPr>
          <w:b/>
          <w:bCs/>
        </w:rPr>
        <w:t xml:space="preserve">ne lit pas les boîtes aux lettres</w:t>
      </w:r>
      <w:r>
        <w:t xml:space="preserve"> ni les documents.</w:t>
      </w:r>
    </w:p>
    <w:p>
      <w:pPr>
        <w:pStyle w:val="ListParagraph"/>
        <w:numPr>
          <w:ilvl w:val="0"/>
          <w:numId w:val="1"/>
        </w:numPr>
        <w:spacing w:after="80"/>
      </w:pPr>
      <w:r>
        <w:t xml:space="preserve">Il </w:t>
      </w:r>
      <w:r>
        <w:rPr>
          <w:b/>
          <w:bCs/>
        </w:rPr>
        <w:t xml:space="preserve">ne remplace pas</w:t>
      </w:r>
      <w:r>
        <w:t xml:space="preserve"> les centres d'administration Microsoft : il y conduit.</w:t>
      </w:r>
    </w:p>
    <w:p>
      <w:pPr>
        <w:pStyle w:val="ListParagraph"/>
        <w:numPr>
          <w:ilvl w:val="0"/>
          <w:numId w:val="1"/>
        </w:numPr>
        <w:spacing w:after="80"/>
      </w:pPr>
      <w:r>
        <w:t xml:space="preserve">Il </w:t>
      </w:r>
      <w:r>
        <w:rPr>
          <w:b/>
          <w:bCs/>
        </w:rPr>
        <w:t xml:space="preserve">ne donne pas d'accès</w:t>
      </w:r>
      <w:r>
        <w:t xml:space="preserve"> à un tenant client. Les tuiles ouvrent les portails avec </w:t>
      </w:r>
      <w:r>
        <w:rPr>
          <w:b/>
          <w:bCs/>
        </w:rPr>
        <w:t xml:space="preserve">vos</w:t>
      </w:r>
      <w:r>
        <w:t xml:space="preserve"> droits existants (délégation CSP ou GDAP) ; sans droits, Microsoft refusera.</w:t>
      </w:r>
    </w:p>
    <w:p>
      <w:pPr>
        <w:spacing w:after="60"/>
      </w:pPr>
    </w:p>
    <w:p>
      <w:pPr>
        <w:pStyle w:val="Heading2"/>
        <w:spacing w:after="140" w:before="320"/>
      </w:pPr>
      <w:r>
        <w:t xml:space="preserve">2. Vocabulaire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72"/>
        <w:gridCol w:w="6154"/>
      </w:tblGrid>
      <w:tr>
        <w:trPr>
          <w:tblHeader/>
        </w:trPr>
        <w:tc>
          <w:tcPr>
            <w:tcW w:type="dxa" w:w="2872"/>
            <w:shd w:fill="EFEFEF" w:color="auto" w:val="clear"/>
            <w:tcMar>
              <w:top w:type="dxa" w:w="60"/>
              <w:left w:type="dxa" w:w="100"/>
              <w:bottom w:type="dxa" w:w="60"/>
              <w:right w:type="dxa" w:w="100"/>
            </w:tcMar>
          </w:tcPr>
          <w:p>
            <w:pPr>
              <w:spacing w:after="0" w:before="0"/>
            </w:pPr>
            <w:r>
              <w:rPr>
                <w:b/>
                <w:bCs/>
              </w:rPr>
              <w:t xml:space="preserve">Terme</w:t>
            </w:r>
          </w:p>
        </w:tc>
        <w:tc>
          <w:tcPr>
            <w:tcW w:type="dxa" w:w="6154"/>
            <w:shd w:fill="EFEFEF" w:color="auto" w:val="clear"/>
            <w:tcMar>
              <w:top w:type="dxa" w:w="60"/>
              <w:left w:type="dxa" w:w="100"/>
              <w:bottom w:type="dxa" w:w="60"/>
              <w:right w:type="dxa" w:w="100"/>
            </w:tcMar>
          </w:tcPr>
          <w:p>
            <w:pPr>
              <w:spacing w:after="0" w:before="0"/>
            </w:pPr>
            <w:r>
              <w:rPr>
                <w:b/>
                <w:bCs/>
              </w:rPr>
              <w:t xml:space="preserve">Signification dans TenantPulse</w:t>
            </w:r>
          </w:p>
        </w:tc>
      </w:tr>
      <w:tr>
        <w:trPr>
          <w:tblHeader w:val="false"/>
        </w:trPr>
        <w:tc>
          <w:tcPr>
            <w:tcW w:type="dxa" w:w="2872"/>
            <w:tcMar>
              <w:top w:type="dxa" w:w="60"/>
              <w:left w:type="dxa" w:w="100"/>
              <w:bottom w:type="dxa" w:w="60"/>
              <w:right w:type="dxa" w:w="100"/>
            </w:tcMar>
          </w:tcPr>
          <w:p>
            <w:pPr>
              <w:spacing w:after="0" w:before="0"/>
            </w:pPr>
            <w:r>
              <w:rPr>
                <w:b/>
                <w:bCs/>
              </w:rPr>
              <w:t xml:space="preserve">Tenant ID</w:t>
            </w:r>
          </w:p>
        </w:tc>
        <w:tc>
          <w:tcPr>
            <w:tcW w:type="dxa" w:w="6154"/>
            <w:tcMar>
              <w:top w:type="dxa" w:w="60"/>
              <w:left w:type="dxa" w:w="100"/>
              <w:bottom w:type="dxa" w:w="60"/>
              <w:right w:type="dxa" w:w="100"/>
            </w:tcMar>
          </w:tcPr>
          <w:p>
            <w:pPr>
              <w:spacing w:after="0" w:before="0"/>
            </w:pPr>
            <w:r>
              <w:t xml:space="preserve">Identifiant unique (GUID) de l'annuaire Microsoft 365 / Entra ID d'une organisation. C'est la donnée centrale de l'outil.</w:t>
            </w:r>
          </w:p>
        </w:tc>
      </w:tr>
      <w:tr>
        <w:trPr>
          <w:tblHeader w:val="false"/>
        </w:trPr>
        <w:tc>
          <w:tcPr>
            <w:tcW w:type="dxa" w:w="2872"/>
            <w:tcMar>
              <w:top w:type="dxa" w:w="60"/>
              <w:left w:type="dxa" w:w="100"/>
              <w:bottom w:type="dxa" w:w="60"/>
              <w:right w:type="dxa" w:w="100"/>
            </w:tcMar>
          </w:tcPr>
          <w:p>
            <w:pPr>
              <w:spacing w:after="0" w:before="0"/>
            </w:pPr>
            <w:r>
              <w:rPr>
                <w:b/>
                <w:bCs/>
              </w:rPr>
              <w:t xml:space="preserve">Analyse rapide</w:t>
            </w:r>
          </w:p>
        </w:tc>
        <w:tc>
          <w:tcPr>
            <w:tcW w:type="dxa" w:w="6154"/>
            <w:tcMar>
              <w:top w:type="dxa" w:w="60"/>
              <w:left w:type="dxa" w:w="100"/>
              <w:bottom w:type="dxa" w:w="60"/>
              <w:right w:type="dxa" w:w="100"/>
            </w:tcMar>
          </w:tcPr>
          <w:p>
            <w:pPr>
              <w:spacing w:after="0" w:before="0"/>
            </w:pPr>
            <w:r>
              <w:t xml:space="preserve">Bouton « Tenant ID » : identification du tenant + DNS de base. Quelques secondes.</w:t>
            </w:r>
          </w:p>
        </w:tc>
      </w:tr>
      <w:tr>
        <w:trPr>
          <w:tblHeader w:val="false"/>
        </w:trPr>
        <w:tc>
          <w:tcPr>
            <w:tcW w:type="dxa" w:w="2872"/>
            <w:tcMar>
              <w:top w:type="dxa" w:w="60"/>
              <w:left w:type="dxa" w:w="100"/>
              <w:bottom w:type="dxa" w:w="60"/>
              <w:right w:type="dxa" w:w="100"/>
            </w:tcMar>
          </w:tcPr>
          <w:p>
            <w:pPr>
              <w:spacing w:after="0" w:before="0"/>
            </w:pPr>
            <w:r>
              <w:rPr>
                <w:b/>
                <w:bCs/>
              </w:rPr>
              <w:t xml:space="preserve">Analyse complète</w:t>
            </w:r>
          </w:p>
        </w:tc>
        <w:tc>
          <w:tcPr>
            <w:tcW w:type="dxa" w:w="6154"/>
            <w:tcMar>
              <w:top w:type="dxa" w:w="60"/>
              <w:left w:type="dxa" w:w="100"/>
              <w:bottom w:type="dxa" w:w="60"/>
              <w:right w:type="dxa" w:w="100"/>
            </w:tcMar>
          </w:tcPr>
          <w:p>
            <w:pPr>
              <w:spacing w:after="0" w:before="0"/>
            </w:pPr>
            <w:r>
              <w:t xml:space="preserve">Bouton « Analyse » : ajoute l'audit de sécurité DNS avec un score, le WHOIS et la détection de l'hébergeur.</w:t>
            </w:r>
          </w:p>
        </w:tc>
      </w:tr>
      <w:tr>
        <w:trPr>
          <w:tblHeader w:val="false"/>
        </w:trPr>
        <w:tc>
          <w:tcPr>
            <w:tcW w:type="dxa" w:w="2872"/>
            <w:tcMar>
              <w:top w:type="dxa" w:w="60"/>
              <w:left w:type="dxa" w:w="100"/>
              <w:bottom w:type="dxa" w:w="60"/>
              <w:right w:type="dxa" w:w="100"/>
            </w:tcMar>
          </w:tcPr>
          <w:p>
            <w:pPr>
              <w:spacing w:after="0" w:before="0"/>
            </w:pPr>
            <w:r>
              <w:rPr>
                <w:b/>
                <w:bCs/>
              </w:rPr>
              <w:t xml:space="preserve">Indice de confiance</w:t>
            </w:r>
          </w:p>
        </w:tc>
        <w:tc>
          <w:tcPr>
            <w:tcW w:type="dxa" w:w="6154"/>
            <w:tcMar>
              <w:top w:type="dxa" w:w="60"/>
              <w:left w:type="dxa" w:w="100"/>
              <w:bottom w:type="dxa" w:w="60"/>
              <w:right w:type="dxa" w:w="100"/>
            </w:tcMar>
          </w:tcPr>
          <w:p>
            <w:pPr>
              <w:spacing w:after="0" w:before="0"/>
            </w:pPr>
            <w:r>
              <w:t xml:space="preserve">Note de 0 à 100 sur la fiabilité de l'identification du tenant (voir section 5).</w:t>
            </w:r>
          </w:p>
        </w:tc>
      </w:tr>
      <w:tr>
        <w:trPr>
          <w:tblHeader w:val="false"/>
        </w:trPr>
        <w:tc>
          <w:tcPr>
            <w:tcW w:type="dxa" w:w="2872"/>
            <w:tcMar>
              <w:top w:type="dxa" w:w="60"/>
              <w:left w:type="dxa" w:w="100"/>
              <w:bottom w:type="dxa" w:w="60"/>
              <w:right w:type="dxa" w:w="100"/>
            </w:tcMar>
          </w:tcPr>
          <w:p>
            <w:pPr>
              <w:spacing w:after="0" w:before="0"/>
            </w:pPr>
            <w:r>
              <w:rPr>
                <w:b/>
                <w:bCs/>
              </w:rPr>
              <w:t xml:space="preserve">Hero</w:t>
            </w:r>
          </w:p>
        </w:tc>
        <w:tc>
          <w:tcPr>
            <w:tcW w:type="dxa" w:w="6154"/>
            <w:tcMar>
              <w:top w:type="dxa" w:w="60"/>
              <w:left w:type="dxa" w:w="100"/>
              <w:bottom w:type="dxa" w:w="60"/>
              <w:right w:type="dxa" w:w="100"/>
            </w:tcMar>
          </w:tcPr>
          <w:p>
            <w:pPr>
              <w:spacing w:after="0" w:before="0"/>
            </w:pPr>
            <w:r>
              <w:t xml:space="preserve">Le grand bloc coloré en haut des résultats : Tenant ID, indice de confiance, badges, tuiles d'accès aux portails.</w:t>
            </w:r>
          </w:p>
        </w:tc>
      </w:tr>
      <w:tr>
        <w:trPr>
          <w:tblHeader w:val="false"/>
        </w:trPr>
        <w:tc>
          <w:tcPr>
            <w:tcW w:type="dxa" w:w="2872"/>
            <w:tcMar>
              <w:top w:type="dxa" w:w="60"/>
              <w:left w:type="dxa" w:w="100"/>
              <w:bottom w:type="dxa" w:w="60"/>
              <w:right w:type="dxa" w:w="100"/>
            </w:tcMar>
          </w:tcPr>
          <w:p>
            <w:pPr>
              <w:spacing w:after="0" w:before="0"/>
            </w:pPr>
            <w:r>
              <w:rPr>
                <w:b/>
                <w:bCs/>
              </w:rPr>
              <w:t xml:space="preserve">Panneau de détail</w:t>
            </w:r>
          </w:p>
        </w:tc>
        <w:tc>
          <w:tcPr>
            <w:tcW w:type="dxa" w:w="6154"/>
            <w:tcMar>
              <w:top w:type="dxa" w:w="60"/>
              <w:left w:type="dxa" w:w="100"/>
              <w:bottom w:type="dxa" w:w="60"/>
              <w:right w:type="dxa" w:w="100"/>
            </w:tcMar>
          </w:tcPr>
          <w:p>
            <w:pPr>
              <w:spacing w:after="0" w:before="0"/>
            </w:pPr>
            <w:r>
              <w:t xml:space="preserve">Le volet qui s'ouvre à droite quand on clique sur une carte de résultat.</w:t>
            </w:r>
          </w:p>
        </w:tc>
      </w:tr>
      <w:tr>
        <w:trPr>
          <w:tblHeader w:val="false"/>
        </w:trPr>
        <w:tc>
          <w:tcPr>
            <w:tcW w:type="dxa" w:w="2872"/>
            <w:tcMar>
              <w:top w:type="dxa" w:w="60"/>
              <w:left w:type="dxa" w:w="100"/>
              <w:bottom w:type="dxa" w:w="60"/>
              <w:right w:type="dxa" w:w="100"/>
            </w:tcMar>
          </w:tcPr>
          <w:p>
            <w:pPr>
              <w:spacing w:after="0" w:before="0"/>
            </w:pPr>
            <w:r>
              <w:rPr>
                <w:b/>
                <w:bCs/>
              </w:rPr>
              <w:t xml:space="preserve">Badge / tag / classification</w:t>
            </w:r>
          </w:p>
        </w:tc>
        <w:tc>
          <w:tcPr>
            <w:tcW w:type="dxa" w:w="6154"/>
            <w:tcMar>
              <w:top w:type="dxa" w:w="60"/>
              <w:left w:type="dxa" w:w="100"/>
              <w:bottom w:type="dxa" w:w="60"/>
              <w:right w:type="dxa" w:w="100"/>
            </w:tcMar>
          </w:tcPr>
          <w:p>
            <w:pPr>
              <w:spacing w:after="0" w:before="0"/>
            </w:pPr>
            <w:r>
              <w:t xml:space="preserve">Étiquette posée sur un tenant et partagée avec l'équipe (Direct, Indirect, GDAP actif...).</w:t>
            </w:r>
          </w:p>
        </w:tc>
      </w:tr>
      <w:tr>
        <w:trPr>
          <w:tblHeader w:val="false"/>
        </w:trPr>
        <w:tc>
          <w:tcPr>
            <w:tcW w:type="dxa" w:w="2872"/>
            <w:tcMar>
              <w:top w:type="dxa" w:w="60"/>
              <w:left w:type="dxa" w:w="100"/>
              <w:bottom w:type="dxa" w:w="60"/>
              <w:right w:type="dxa" w:w="100"/>
            </w:tcMar>
          </w:tcPr>
          <w:p>
            <w:pPr>
              <w:spacing w:after="0" w:before="0"/>
            </w:pPr>
            <w:r>
              <w:rPr>
                <w:b/>
                <w:bCs/>
              </w:rPr>
              <w:t xml:space="preserve">Annuaire des tenants</w:t>
            </w:r>
          </w:p>
        </w:tc>
        <w:tc>
          <w:tcPr>
            <w:tcW w:type="dxa" w:w="6154"/>
            <w:tcMar>
              <w:top w:type="dxa" w:w="60"/>
              <w:left w:type="dxa" w:w="100"/>
              <w:bottom w:type="dxa" w:w="60"/>
              <w:right w:type="dxa" w:w="100"/>
            </w:tcMar>
          </w:tcPr>
          <w:p>
            <w:pPr>
              <w:spacing w:after="0" w:before="0"/>
            </w:pPr>
            <w:r>
              <w:t xml:space="preserve">Répertoire partagé de tous les tenants déjà classés.</w:t>
            </w:r>
          </w:p>
        </w:tc>
      </w:tr>
      <w:tr>
        <w:trPr>
          <w:tblHeader w:val="false"/>
        </w:trPr>
        <w:tc>
          <w:tcPr>
            <w:tcW w:type="dxa" w:w="2872"/>
            <w:tcMar>
              <w:top w:type="dxa" w:w="60"/>
              <w:left w:type="dxa" w:w="100"/>
              <w:bottom w:type="dxa" w:w="60"/>
              <w:right w:type="dxa" w:w="100"/>
            </w:tcMar>
          </w:tcPr>
          <w:p>
            <w:pPr>
              <w:spacing w:after="0" w:before="0"/>
            </w:pPr>
            <w:r>
              <w:rPr>
                <w:b/>
                <w:bCs/>
              </w:rPr>
              <w:t xml:space="preserve">DoH (DNS-over-HTTPS)</w:t>
            </w:r>
          </w:p>
        </w:tc>
        <w:tc>
          <w:tcPr>
            <w:tcW w:type="dxa" w:w="6154"/>
            <w:tcMar>
              <w:top w:type="dxa" w:w="60"/>
              <w:left w:type="dxa" w:w="100"/>
              <w:bottom w:type="dxa" w:w="60"/>
              <w:right w:type="dxa" w:w="100"/>
            </w:tcMar>
          </w:tcPr>
          <w:p>
            <w:pPr>
              <w:spacing w:after="0" w:before="0"/>
            </w:pPr>
            <w:r>
              <w:t xml:space="preserve">Manière dont le navigateur interroge le DNS en HTTPS. TenantPulse utilise Cloudflare puis Google en secours.</w:t>
            </w:r>
          </w:p>
        </w:tc>
      </w:tr>
      <w:tr>
        <w:trPr>
          <w:tblHeader w:val="false"/>
        </w:trPr>
        <w:tc>
          <w:tcPr>
            <w:tcW w:type="dxa" w:w="2872"/>
            <w:tcMar>
              <w:top w:type="dxa" w:w="60"/>
              <w:left w:type="dxa" w:w="100"/>
              <w:bottom w:type="dxa" w:w="60"/>
              <w:right w:type="dxa" w:w="100"/>
            </w:tcMar>
          </w:tcPr>
          <w:p>
            <w:pPr>
              <w:spacing w:after="0" w:before="0"/>
            </w:pPr>
            <w:r>
              <w:rPr>
                <w:b/>
                <w:bCs/>
              </w:rPr>
              <w:t xml:space="preserve">Posture</w:t>
            </w:r>
          </w:p>
        </w:tc>
        <w:tc>
          <w:tcPr>
            <w:tcW w:type="dxa" w:w="6154"/>
            <w:tcMar>
              <w:top w:type="dxa" w:w="60"/>
              <w:left w:type="dxa" w:w="100"/>
              <w:bottom w:type="dxa" w:w="60"/>
              <w:right w:type="dxa" w:w="100"/>
            </w:tcMar>
          </w:tcPr>
          <w:p>
            <w:pPr>
              <w:spacing w:after="0" w:before="0"/>
            </w:pPr>
            <w:r>
              <w:t xml:space="preserve">Bloc de sécurité du tenant client (Secure Score, MFA, conformité des appareils...), disponible seulement avec Microsoft Graph.</w:t>
            </w:r>
          </w:p>
        </w:tc>
      </w:tr>
      <w:tr>
        <w:trPr>
          <w:tblHeader w:val="false"/>
        </w:trPr>
        <w:tc>
          <w:tcPr>
            <w:tcW w:type="dxa" w:w="2872"/>
            <w:tcMar>
              <w:top w:type="dxa" w:w="60"/>
              <w:left w:type="dxa" w:w="100"/>
              <w:bottom w:type="dxa" w:w="60"/>
              <w:right w:type="dxa" w:w="100"/>
            </w:tcMar>
          </w:tcPr>
          <w:p>
            <w:pPr>
              <w:spacing w:after="0" w:before="0"/>
            </w:pPr>
            <w:r>
              <w:rPr>
                <w:b/>
                <w:bCs/>
              </w:rPr>
              <w:t xml:space="preserve">GDAP</w:t>
            </w:r>
          </w:p>
        </w:tc>
        <w:tc>
          <w:tcPr>
            <w:tcW w:type="dxa" w:w="6154"/>
            <w:tcMar>
              <w:top w:type="dxa" w:w="60"/>
              <w:left w:type="dxa" w:w="100"/>
              <w:bottom w:type="dxa" w:w="60"/>
              <w:right w:type="dxa" w:w="100"/>
            </w:tcMar>
          </w:tcPr>
          <w:p>
            <w:pPr>
              <w:spacing w:after="0" w:before="0"/>
            </w:pPr>
            <w:r>
              <w:t xml:space="preserve">Relation d'administration déléguée granulaire entre le partenaire et le tenant client. Elle a une date de fin.</w:t>
            </w:r>
          </w:p>
        </w:tc>
      </w:tr>
      <w:tr>
        <w:trPr>
          <w:tblHeader w:val="false"/>
        </w:trPr>
        <w:tc>
          <w:tcPr>
            <w:tcW w:type="dxa" w:w="2872"/>
            <w:tcMar>
              <w:top w:type="dxa" w:w="60"/>
              <w:left w:type="dxa" w:w="100"/>
              <w:bottom w:type="dxa" w:w="60"/>
              <w:right w:type="dxa" w:w="100"/>
            </w:tcMar>
          </w:tcPr>
          <w:p>
            <w:pPr>
              <w:spacing w:after="0" w:before="0"/>
            </w:pPr>
            <w:r>
              <w:rPr>
                <w:b/>
                <w:bCs/>
              </w:rPr>
              <w:t xml:space="preserve">Attestation</w:t>
            </w:r>
          </w:p>
        </w:tc>
        <w:tc>
          <w:tcPr>
            <w:tcW w:type="dxa" w:w="6154"/>
            <w:tcMar>
              <w:top w:type="dxa" w:w="60"/>
              <w:left w:type="dxa" w:w="100"/>
              <w:bottom w:type="dxa" w:w="60"/>
              <w:right w:type="dxa" w:w="100"/>
            </w:tcMar>
          </w:tcPr>
          <w:p>
            <w:pPr>
              <w:spacing w:after="0" w:before="0"/>
            </w:pPr>
            <w:r>
              <w:t xml:space="preserve">Preuve, vérifiée par le serveur, que vous appartenez bien à l'organisation. Elle conditionne le fonctionnement de l'extension navigateur.</w:t>
            </w:r>
          </w:p>
        </w:tc>
      </w:tr>
    </w:tbl>
    <w:p>
      <w:pPr>
        <w:spacing w:after="120"/>
      </w:pPr>
    </w:p>
    <w:p>
      <w:pPr>
        <w:pStyle w:val="Heading2"/>
        <w:spacing w:after="140" w:before="320"/>
      </w:pPr>
      <w:r>
        <w:t xml:space="preserve">3. Se connecter, rôles et droits</w:t>
      </w:r>
    </w:p>
    <w:p>
      <w:pPr>
        <w:pStyle w:val="Heading3"/>
        <w:spacing w:after="140" w:before="220"/>
      </w:pPr>
      <w:r>
        <w:t xml:space="preserve">Connexion</w:t>
      </w:r>
    </w:p>
    <w:p>
      <w:pPr>
        <w:spacing w:after="140"/>
      </w:pPr>
      <w:r>
        <w:t xml:space="preserve">L'application est </w:t>
      </w:r>
      <w:r>
        <w:rPr>
          <w:b/>
          <w:bCs/>
        </w:rPr>
        <w:t xml:space="preserve">entièrement privée</w:t>
      </w:r>
      <w:r>
        <w:t xml:space="preserve">. L'accès passe par un compte Microsoft de l'organisation (Entra ID). Toute page ouverte sans session redirige vers la connexion Microsoft. Le bouton </w:t>
      </w:r>
      <w:r>
        <w:rPr>
          <w:b/>
          <w:bCs/>
        </w:rPr>
        <w:t xml:space="preserve">Déconnexion</w:t>
      </w:r>
      <w:r>
        <w:t xml:space="preserve"> est en haut à droite de la barre noire.</w:t>
      </w:r>
    </w:p>
    <w:p>
      <w:pPr>
        <w:spacing w:after="140"/>
      </w:pPr>
      <w:r>
        <w:t xml:space="preserve">Votre rôle est affiché </w:t>
      </w:r>
      <w:r>
        <w:rPr>
          <w:b/>
          <w:bCs/>
        </w:rPr>
        <w:t xml:space="preserve">en bas à gauche</w:t>
      </w:r>
      <w:r>
        <w:t xml:space="preserve"> de l'écran (</w:t>
      </w:r>
      <w:r>
        <w:rPr>
          <w:rFonts w:ascii="Consolas" w:cs="Consolas" w:eastAsia="Consolas" w:hAnsi="Consolas"/>
          <w:sz w:val="19"/>
          <w:szCs w:val="19"/>
        </w:rPr>
        <w:t xml:space="preserve">Rôle : ...</w:t>
      </w:r>
      <w:r>
        <w:t xml:space="preserve">). L'infobulle de cette mention rappelle le compte connecté.</w:t>
      </w:r>
    </w:p>
    <w:p>
      <w:pPr>
        <w:pStyle w:val="Heading3"/>
        <w:spacing w:after="140" w:before="220"/>
      </w:pPr>
      <w:r>
        <w:t xml:space="preserve">Les cinq rôles, du moins au plus large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398"/>
        <w:gridCol w:w="7628"/>
      </w:tblGrid>
      <w:tr>
        <w:trPr>
          <w:tblHeader/>
        </w:trPr>
        <w:tc>
          <w:tcPr>
            <w:tcW w:type="dxa" w:w="1398"/>
            <w:shd w:fill="EFEFEF" w:color="auto" w:val="clear"/>
            <w:tcMar>
              <w:top w:type="dxa" w:w="60"/>
              <w:left w:type="dxa" w:w="100"/>
              <w:bottom w:type="dxa" w:w="60"/>
              <w:right w:type="dxa" w:w="100"/>
            </w:tcMar>
          </w:tcPr>
          <w:p>
            <w:pPr>
              <w:spacing w:after="0" w:before="0"/>
            </w:pPr>
            <w:r>
              <w:rPr>
                <w:b/>
                <w:bCs/>
              </w:rPr>
              <w:t xml:space="preserve">Rôle</w:t>
            </w:r>
          </w:p>
        </w:tc>
        <w:tc>
          <w:tcPr>
            <w:tcW w:type="dxa" w:w="7628"/>
            <w:shd w:fill="EFEFEF" w:color="auto" w:val="clear"/>
            <w:tcMar>
              <w:top w:type="dxa" w:w="60"/>
              <w:left w:type="dxa" w:w="100"/>
              <w:bottom w:type="dxa" w:w="60"/>
              <w:right w:type="dxa" w:w="100"/>
            </w:tcMar>
          </w:tcPr>
          <w:p>
            <w:pPr>
              <w:spacing w:after="0" w:before="0"/>
            </w:pPr>
            <w:r>
              <w:rPr>
                <w:b/>
                <w:bCs/>
              </w:rPr>
              <w:t xml:space="preserve">Ce qu'il ajoute par rapport au précédent</w:t>
            </w:r>
          </w:p>
        </w:tc>
      </w:tr>
      <w:tr>
        <w:trPr>
          <w:tblHeader w:val="false"/>
        </w:trPr>
        <w:tc>
          <w:tcPr>
            <w:tcW w:type="dxa" w:w="1398"/>
            <w:tcMar>
              <w:top w:type="dxa" w:w="60"/>
              <w:left w:type="dxa" w:w="100"/>
              <w:bottom w:type="dxa" w:w="60"/>
              <w:right w:type="dxa" w:w="100"/>
            </w:tcMar>
          </w:tcPr>
          <w:p>
            <w:pPr>
              <w:spacing w:after="0" w:before="0"/>
            </w:pPr>
            <w:r>
              <w:rPr>
                <w:b/>
                <w:bCs/>
              </w:rPr>
              <w:t xml:space="preserve">Utilisateur</w:t>
            </w:r>
          </w:p>
        </w:tc>
        <w:tc>
          <w:tcPr>
            <w:tcW w:type="dxa" w:w="7628"/>
            <w:tcMar>
              <w:top w:type="dxa" w:w="60"/>
              <w:left w:type="dxa" w:w="100"/>
              <w:bottom w:type="dxa" w:w="60"/>
              <w:right w:type="dxa" w:w="100"/>
            </w:tcMar>
          </w:tcPr>
          <w:p>
            <w:pPr>
              <w:spacing w:after="0" w:before="0"/>
            </w:pPr>
            <w:r>
              <w:t xml:space="preserve">Analyser, consulter l'annuaire, proposer une classification, demander le retrait d'un badge.</w:t>
            </w:r>
          </w:p>
        </w:tc>
      </w:tr>
      <w:tr>
        <w:trPr>
          <w:tblHeader w:val="false"/>
        </w:trPr>
        <w:tc>
          <w:tcPr>
            <w:tcW w:type="dxa" w:w="1398"/>
            <w:tcMar>
              <w:top w:type="dxa" w:w="60"/>
              <w:left w:type="dxa" w:w="100"/>
              <w:bottom w:type="dxa" w:w="60"/>
              <w:right w:type="dxa" w:w="100"/>
            </w:tcMar>
          </w:tcPr>
          <w:p>
            <w:pPr>
              <w:spacing w:after="0" w:before="0"/>
            </w:pPr>
            <w:r>
              <w:rPr>
                <w:b/>
                <w:bCs/>
              </w:rPr>
              <w:t xml:space="preserve">Tech</w:t>
            </w:r>
          </w:p>
        </w:tc>
        <w:tc>
          <w:tcPr>
            <w:tcW w:type="dxa" w:w="7628"/>
            <w:tcMar>
              <w:top w:type="dxa" w:w="60"/>
              <w:left w:type="dxa" w:w="100"/>
              <w:bottom w:type="dxa" w:w="60"/>
              <w:right w:type="dxa" w:w="100"/>
            </w:tcMar>
          </w:tcPr>
          <w:p>
            <w:pPr>
              <w:spacing w:after="0" w:before="0"/>
            </w:pPr>
            <w:r>
              <w:t xml:space="preserve">Accès en écriture aux procédures internes. Aucun pouvoir de modération.</w:t>
            </w:r>
          </w:p>
        </w:tc>
      </w:tr>
      <w:tr>
        <w:trPr>
          <w:tblHeader w:val="false"/>
        </w:trPr>
        <w:tc>
          <w:tcPr>
            <w:tcW w:type="dxa" w:w="1398"/>
            <w:tcMar>
              <w:top w:type="dxa" w:w="60"/>
              <w:left w:type="dxa" w:w="100"/>
              <w:bottom w:type="dxa" w:w="60"/>
              <w:right w:type="dxa" w:w="100"/>
            </w:tcMar>
          </w:tcPr>
          <w:p>
            <w:pPr>
              <w:spacing w:after="0" w:before="0"/>
            </w:pPr>
            <w:r>
              <w:rPr>
                <w:b/>
                <w:bCs/>
              </w:rPr>
              <w:t xml:space="preserve">Modérateur</w:t>
            </w:r>
          </w:p>
        </w:tc>
        <w:tc>
          <w:tcPr>
            <w:tcW w:type="dxa" w:w="7628"/>
            <w:tcMar>
              <w:top w:type="dxa" w:w="60"/>
              <w:left w:type="dxa" w:w="100"/>
              <w:bottom w:type="dxa" w:w="60"/>
              <w:right w:type="dxa" w:w="100"/>
            </w:tcMar>
          </w:tcPr>
          <w:p>
            <w:pPr>
              <w:spacing w:after="0" w:before="0"/>
            </w:pPr>
            <w:r>
              <w:t xml:space="preserve">Valider ou rejeter les propositions de classification, supprimer un badge validé. Voit le sous-onglet « Demandes ».</w:t>
            </w:r>
          </w:p>
        </w:tc>
      </w:tr>
      <w:tr>
        <w:trPr>
          <w:tblHeader w:val="false"/>
        </w:trPr>
        <w:tc>
          <w:tcPr>
            <w:tcW w:type="dxa" w:w="1398"/>
            <w:tcMar>
              <w:top w:type="dxa" w:w="60"/>
              <w:left w:type="dxa" w:w="100"/>
              <w:bottom w:type="dxa" w:w="60"/>
              <w:right w:type="dxa" w:w="100"/>
            </w:tcMar>
          </w:tcPr>
          <w:p>
            <w:pPr>
              <w:spacing w:after="0" w:before="0"/>
            </w:pPr>
            <w:r>
              <w:rPr>
                <w:b/>
                <w:bCs/>
              </w:rPr>
              <w:t xml:space="preserve">Manager</w:t>
            </w:r>
          </w:p>
        </w:tc>
        <w:tc>
          <w:tcPr>
            <w:tcW w:type="dxa" w:w="7628"/>
            <w:tcMar>
              <w:top w:type="dxa" w:w="60"/>
              <w:left w:type="dxa" w:w="100"/>
              <w:bottom w:type="dxa" w:w="60"/>
              <w:right w:type="dxa" w:w="100"/>
            </w:tcMar>
          </w:tcPr>
          <w:p>
            <w:pPr>
              <w:spacing w:after="0" w:before="0"/>
            </w:pPr>
            <w:r>
              <w:t xml:space="preserve">Appliquer un badge directement (sans validation), créer et modifier les définitions de balises, verrouiller un tenant, gérer les rôles tech et modérateur, accès à Microsoft Graph.</w:t>
            </w:r>
          </w:p>
        </w:tc>
      </w:tr>
      <w:tr>
        <w:trPr>
          <w:tblHeader w:val="false"/>
        </w:trPr>
        <w:tc>
          <w:tcPr>
            <w:tcW w:type="dxa" w:w="1398"/>
            <w:tcMar>
              <w:top w:type="dxa" w:w="60"/>
              <w:left w:type="dxa" w:w="100"/>
              <w:bottom w:type="dxa" w:w="60"/>
              <w:right w:type="dxa" w:w="100"/>
            </w:tcMar>
          </w:tcPr>
          <w:p>
            <w:pPr>
              <w:spacing w:after="0" w:before="0"/>
            </w:pPr>
            <w:r>
              <w:rPr>
                <w:b/>
                <w:bCs/>
              </w:rPr>
              <w:t xml:space="preserve">Admin</w:t>
            </w:r>
          </w:p>
        </w:tc>
        <w:tc>
          <w:tcPr>
            <w:tcW w:type="dxa" w:w="7628"/>
            <w:tcMar>
              <w:top w:type="dxa" w:w="60"/>
              <w:left w:type="dxa" w:w="100"/>
              <w:bottom w:type="dxa" w:w="60"/>
              <w:right w:type="dxa" w:w="100"/>
            </w:tcMar>
          </w:tcPr>
          <w:p>
            <w:pPr>
              <w:spacing w:after="0" w:before="0"/>
            </w:pPr>
            <w:r>
              <w:t xml:space="preserve">Tout ce qui précède, plus : publier le bandeau d'information, activer le relais DNS, ouvrir l'accès Graph, gérer les rôles manager.</w:t>
            </w:r>
          </w:p>
        </w:tc>
      </w:tr>
    </w:tbl>
    <w:p>
      <w:pPr>
        <w:spacing w:after="120"/>
      </w:pPr>
    </w:p>
    <w:p>
      <w:pPr>
        <w:spacing w:after="140"/>
      </w:pPr>
      <w:r>
        <w:t xml:space="preserve">Les droits sont </w:t>
      </w:r>
      <w:r>
        <w:rPr>
          <w:b/>
          <w:bCs/>
        </w:rPr>
        <w:t xml:space="preserve">cumulatifs</w:t>
      </w:r>
      <w:r>
        <w:t xml:space="preserve"> : un admin possède tous les droits d'un manager, qui possède tous ceux d'un modérateur, etc.</w:t>
      </w:r>
    </w:p>
    <w:p>
      <w:pPr>
        <w:pStyle w:val="Heading3"/>
        <w:spacing w:after="140" w:before="220"/>
      </w:pPr>
      <w:r>
        <w:t xml:space="preserve">Compte bloqué</w:t>
      </w:r>
    </w:p>
    <w:p>
      <w:pPr>
        <w:spacing w:after="140"/>
      </w:pPr>
      <w:r>
        <w:t xml:space="preserve">Un compte peut être </w:t>
      </w:r>
      <w:r>
        <w:rPr>
          <w:b/>
          <w:bCs/>
        </w:rPr>
        <w:t xml:space="preserve">bloqué</w:t>
      </w:r>
      <w:r>
        <w:t xml:space="preserve"> par un manager ou un admin. Il conserve la lecture mais ses propositions de classification n'aboutissent plus : le bouton </w:t>
      </w:r>
      <w:r>
        <w:rPr>
          <w:rFonts w:ascii="Consolas" w:cs="Consolas" w:eastAsia="Consolas" w:hAnsi="Consolas"/>
          <w:sz w:val="19"/>
          <w:szCs w:val="19"/>
        </w:rPr>
        <w:t xml:space="preserve">+</w:t>
      </w:r>
      <w:r>
        <w:t xml:space="preserve"> du hero devient inerte. Si vos propositions ne partent plus sans message d'erreur, c'est la première piste.</w:t>
      </w:r>
    </w:p>
    <w:p>
      <w:pPr>
        <w:pStyle w:val="Heading2"/>
        <w:spacing w:after="140" w:before="320"/>
      </w:pPr>
      <w:r>
        <w:t xml:space="preserve">4. Lancer une analyse</w:t>
      </w:r>
    </w:p>
    <w:p>
      <w:pPr>
        <w:pStyle w:val="Heading3"/>
        <w:spacing w:after="140" w:before="220"/>
      </w:pPr>
      <w:r>
        <w:t xml:space="preserve">Ce que l'on peut saisir</w:t>
      </w:r>
    </w:p>
    <w:p>
      <w:pPr>
        <w:spacing w:after="140"/>
      </w:pPr>
      <w:r>
        <w:t xml:space="preserve">Le champ en haut de la colonne de gauche accepte </w:t>
      </w:r>
      <w:r>
        <w:rPr>
          <w:b/>
          <w:bCs/>
        </w:rPr>
        <w:t xml:space="preserve">trois formes</w:t>
      </w:r>
      <w:r>
        <w:t xml:space="preserve"> :</w:t>
      </w:r>
    </w:p>
    <w:p>
      <w:pPr>
        <w:pStyle w:val="ListParagraph"/>
        <w:numPr>
          <w:ilvl w:val="0"/>
          <w:numId w:val="1"/>
        </w:numPr>
        <w:spacing w:after="80"/>
      </w:pPr>
      <w:r>
        <w:t xml:space="preserve">un </w:t>
      </w:r>
      <w:r>
        <w:rPr>
          <w:b/>
          <w:bCs/>
        </w:rPr>
        <w:t xml:space="preserve">domaine</w:t>
      </w:r>
      <w:r>
        <w:t xml:space="preserve"> : </w:t>
      </w:r>
      <w:r>
        <w:rPr>
          <w:rFonts w:ascii="Consolas" w:cs="Consolas" w:eastAsia="Consolas" w:hAnsi="Consolas"/>
          <w:sz w:val="19"/>
          <w:szCs w:val="19"/>
        </w:rPr>
        <w:t xml:space="preserve">contoso.com</w:t>
      </w:r>
      <w:r>
        <w:t xml:space="preserve"> ;</w:t>
      </w:r>
    </w:p>
    <w:p>
      <w:pPr>
        <w:pStyle w:val="ListParagraph"/>
        <w:numPr>
          <w:ilvl w:val="0"/>
          <w:numId w:val="1"/>
        </w:numPr>
        <w:spacing w:after="80"/>
      </w:pPr>
      <w:r>
        <w:t xml:space="preserve">une </w:t>
      </w:r>
      <w:r>
        <w:rPr>
          <w:b/>
          <w:bCs/>
        </w:rPr>
        <w:t xml:space="preserve">adresse e-mail</w:t>
      </w:r>
      <w:r>
        <w:t xml:space="preserve"> : </w:t>
      </w:r>
      <w:r>
        <w:rPr>
          <w:rFonts w:ascii="Consolas" w:cs="Consolas" w:eastAsia="Consolas" w:hAnsi="Consolas"/>
          <w:sz w:val="19"/>
          <w:szCs w:val="19"/>
        </w:rPr>
        <w:t xml:space="preserve">prenom.nom@contoso.com</w:t>
      </w:r>
      <w:r>
        <w:t xml:space="preserve"> (le domaine est extrait automatiquement) ;</w:t>
      </w:r>
    </w:p>
    <w:p>
      <w:pPr>
        <w:pStyle w:val="ListParagraph"/>
        <w:numPr>
          <w:ilvl w:val="0"/>
          <w:numId w:val="1"/>
        </w:numPr>
        <w:spacing w:after="80"/>
      </w:pPr>
      <w:r>
        <w:t xml:space="preserve">un </w:t>
      </w:r>
      <w:r>
        <w:rPr>
          <w:b/>
          <w:bCs/>
        </w:rPr>
        <w:t xml:space="preserve">Tenant ID</w:t>
      </w:r>
      <w:r>
        <w:t xml:space="preserve"> (GUID) : l'outil part alors du tenant et retrouve ce qu'il peut.</w:t>
      </w:r>
    </w:p>
    <w:p>
      <w:pPr>
        <w:spacing w:after="60"/>
      </w:pPr>
    </w:p>
    <w:p>
      <w:pPr>
        <w:pStyle w:val="Heading3"/>
        <w:spacing w:after="140" w:before="220"/>
      </w:pPr>
      <w:r>
        <w:t xml:space="preserve">Les deux profondeurs d'analyse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78"/>
        <w:gridCol w:w="4103"/>
        <w:gridCol w:w="3145"/>
      </w:tblGrid>
      <w:tr>
        <w:trPr>
          <w:tblHeader/>
        </w:trPr>
        <w:tc>
          <w:tcPr>
            <w:tcW w:type="dxa" w:w="1778"/>
            <w:shd w:fill="EFEFEF" w:color="auto" w:val="clear"/>
            <w:tcMar>
              <w:top w:type="dxa" w:w="60"/>
              <w:left w:type="dxa" w:w="100"/>
              <w:bottom w:type="dxa" w:w="60"/>
              <w:right w:type="dxa" w:w="100"/>
            </w:tcMar>
          </w:tcPr>
          <w:p>
            <w:pPr>
              <w:spacing w:after="0" w:before="0"/>
            </w:pPr>
            <w:r>
              <w:rPr>
                <w:b/>
                <w:bCs/>
              </w:rPr>
              <w:t xml:space="preserve">Bouton</w:t>
            </w:r>
          </w:p>
        </w:tc>
        <w:tc>
          <w:tcPr>
            <w:tcW w:type="dxa" w:w="4103"/>
            <w:shd w:fill="EFEFEF" w:color="auto" w:val="clear"/>
            <w:tcMar>
              <w:top w:type="dxa" w:w="60"/>
              <w:left w:type="dxa" w:w="100"/>
              <w:bottom w:type="dxa" w:w="60"/>
              <w:right w:type="dxa" w:w="100"/>
            </w:tcMar>
          </w:tcPr>
          <w:p>
            <w:pPr>
              <w:spacing w:after="0" w:before="0"/>
            </w:pPr>
            <w:r>
              <w:rPr>
                <w:b/>
                <w:bCs/>
              </w:rPr>
              <w:t xml:space="preserve">Contenu</w:t>
            </w:r>
          </w:p>
        </w:tc>
        <w:tc>
          <w:tcPr>
            <w:tcW w:type="dxa" w:w="3145"/>
            <w:shd w:fill="EFEFEF" w:color="auto" w:val="clear"/>
            <w:tcMar>
              <w:top w:type="dxa" w:w="60"/>
              <w:left w:type="dxa" w:w="100"/>
              <w:bottom w:type="dxa" w:w="60"/>
              <w:right w:type="dxa" w:w="100"/>
            </w:tcMar>
          </w:tcPr>
          <w:p>
            <w:pPr>
              <w:spacing w:after="0" w:before="0"/>
            </w:pPr>
            <w:r>
              <w:rPr>
                <w:b/>
                <w:bCs/>
              </w:rPr>
              <w:t xml:space="preserve">Durée indicative</w:t>
            </w:r>
          </w:p>
        </w:tc>
      </w:tr>
      <w:tr>
        <w:trPr>
          <w:tblHeader w:val="false"/>
        </w:trPr>
        <w:tc>
          <w:tcPr>
            <w:tcW w:type="dxa" w:w="1778"/>
            <w:tcMar>
              <w:top w:type="dxa" w:w="60"/>
              <w:left w:type="dxa" w:w="100"/>
              <w:bottom w:type="dxa" w:w="60"/>
              <w:right w:type="dxa" w:w="100"/>
            </w:tcMar>
          </w:tcPr>
          <w:p>
            <w:pPr>
              <w:spacing w:after="0" w:before="0"/>
            </w:pPr>
            <w:r>
              <w:rPr>
                <w:b/>
                <w:bCs/>
              </w:rPr>
              <w:t xml:space="preserve">Tenant ID</w:t>
            </w:r>
            <w:r>
              <w:t xml:space="preserve"> (analyse rapide)</w:t>
            </w:r>
          </w:p>
        </w:tc>
        <w:tc>
          <w:tcPr>
            <w:tcW w:type="dxa" w:w="4103"/>
            <w:tcMar>
              <w:top w:type="dxa" w:w="60"/>
              <w:left w:type="dxa" w:w="100"/>
              <w:bottom w:type="dxa" w:w="60"/>
              <w:right w:type="dxa" w:w="100"/>
            </w:tcMar>
          </w:tcPr>
          <w:p>
            <w:pPr>
              <w:spacing w:after="0" w:before="0"/>
            </w:pPr>
            <w:r>
              <w:t xml:space="preserve">Tenant ID Microsoft, détection Google Workspace, MX/SPF/TXT de base</w:t>
            </w:r>
          </w:p>
        </w:tc>
        <w:tc>
          <w:tcPr>
            <w:tcW w:type="dxa" w:w="3145"/>
            <w:tcMar>
              <w:top w:type="dxa" w:w="60"/>
              <w:left w:type="dxa" w:w="100"/>
              <w:bottom w:type="dxa" w:w="60"/>
              <w:right w:type="dxa" w:w="100"/>
            </w:tcMar>
          </w:tcPr>
          <w:p>
            <w:pPr>
              <w:spacing w:after="0" w:before="0"/>
            </w:pPr>
            <w:r>
              <w:t xml:space="preserve">quelques secondes</w:t>
            </w:r>
          </w:p>
        </w:tc>
      </w:tr>
      <w:tr>
        <w:trPr>
          <w:tblHeader w:val="false"/>
        </w:trPr>
        <w:tc>
          <w:tcPr>
            <w:tcW w:type="dxa" w:w="1778"/>
            <w:tcMar>
              <w:top w:type="dxa" w:w="60"/>
              <w:left w:type="dxa" w:w="100"/>
              <w:bottom w:type="dxa" w:w="60"/>
              <w:right w:type="dxa" w:w="100"/>
            </w:tcMar>
          </w:tcPr>
          <w:p>
            <w:pPr>
              <w:spacing w:after="0" w:before="0"/>
            </w:pPr>
            <w:r>
              <w:rPr>
                <w:b/>
                <w:bCs/>
              </w:rPr>
              <w:t xml:space="preserve">Analyse</w:t>
            </w:r>
            <w:r>
              <w:t xml:space="preserve"> (analyse complète)</w:t>
            </w:r>
          </w:p>
        </w:tc>
        <w:tc>
          <w:tcPr>
            <w:tcW w:type="dxa" w:w="4103"/>
            <w:tcMar>
              <w:top w:type="dxa" w:w="60"/>
              <w:left w:type="dxa" w:w="100"/>
              <w:bottom w:type="dxa" w:w="60"/>
              <w:right w:type="dxa" w:w="100"/>
            </w:tcMar>
          </w:tcPr>
          <w:p>
            <w:pPr>
              <w:spacing w:after="0" w:before="0"/>
            </w:pPr>
            <w:r>
              <w:t xml:space="preserve">Ajoute l'audit de sécurité DNS scoré (SPF, DKIM, DMARC, DNSSEC, MTA-STS, BIMI), le WHOIS/RDAP et la détection de l'hébergeur</w:t>
            </w:r>
          </w:p>
        </w:tc>
        <w:tc>
          <w:tcPr>
            <w:tcW w:type="dxa" w:w="3145"/>
            <w:tcMar>
              <w:top w:type="dxa" w:w="60"/>
              <w:left w:type="dxa" w:w="100"/>
              <w:bottom w:type="dxa" w:w="60"/>
              <w:right w:type="dxa" w:w="100"/>
            </w:tcMar>
          </w:tcPr>
          <w:p>
            <w:pPr>
              <w:spacing w:after="0" w:before="0"/>
            </w:pPr>
            <w:r>
              <w:t xml:space="preserve">plus long, une cinquantaine de résolutions DNS</w:t>
            </w:r>
          </w:p>
        </w:tc>
      </w:tr>
    </w:tbl>
    <w:p>
      <w:pPr>
        <w:spacing w:after="120"/>
      </w:pPr>
    </w:p>
    <w:p>
      <w:pPr>
        <w:spacing w:after="140"/>
      </w:pPr>
      <w:r>
        <w:t xml:space="preserve">Raccourci : la touche </w:t>
      </w:r>
      <w:r>
        <w:rPr>
          <w:b/>
          <w:bCs/>
        </w:rPr>
        <w:t xml:space="preserve">Entrée</w:t>
      </w:r>
      <w:r>
        <w:t xml:space="preserve"> dans le champ lance l'analyse rapide.</w:t>
      </w:r>
    </w:p>
    <w:p>
      <w:pPr>
        <w:spacing w:after="140"/>
      </w:pPr>
      <w:r>
        <w:t xml:space="preserve">Après une analyse rapide, un bouton </w:t>
      </w:r>
      <w:r>
        <w:rPr>
          <w:b/>
          <w:bCs/>
        </w:rPr>
        <w:t xml:space="preserve">« Lancer l'analyse complète »</w:t>
      </w:r>
      <w:r>
        <w:t xml:space="preserve"> apparaît sous les résultats. Il n'y a jamais besoin de ressaisir le domaine.</w:t>
      </w:r>
    </w:p>
    <w:p>
      <w:pPr>
        <w:pStyle w:val="Heading3"/>
        <w:spacing w:after="140" w:before="220"/>
      </w:pPr>
      <w:r>
        <w:t xml:space="preserve">Mode automatique (un seul bouton)</w:t>
      </w:r>
    </w:p>
    <w:p>
      <w:pPr>
        <w:spacing w:after="140"/>
      </w:pPr>
      <w:r>
        <w:t xml:space="preserve">Dans </w:t>
      </w:r>
      <w:r>
        <w:rPr>
          <w:rFonts w:ascii="Consolas" w:cs="Consolas" w:eastAsia="Consolas" w:hAnsi="Consolas"/>
          <w:sz w:val="19"/>
          <w:szCs w:val="19"/>
        </w:rPr>
        <w:t xml:space="preserve">Profils &gt; TenantPulse &gt; Mode d'analyse</w:t>
      </w:r>
      <w:r>
        <w:t xml:space="preserve">, deux réglages :</w:t>
      </w:r>
    </w:p>
    <w:p>
      <w:pPr>
        <w:pStyle w:val="ListParagraph"/>
        <w:numPr>
          <w:ilvl w:val="0"/>
          <w:numId w:val="1"/>
        </w:numPr>
        <w:spacing w:after="80"/>
      </w:pPr>
      <w:r>
        <w:rPr>
          <w:b/>
          <w:bCs/>
        </w:rPr>
        <w:t xml:space="preserve">Automatique</w:t>
      </w:r>
      <w:r>
        <w:t xml:space="preserve"> : un seul bouton « Tenant ID ». Il affiche d'abord le hero, puis enchaîne l'analyse complète en arrière-plan. Le bouton « Analyse » est masqué.</w:t>
      </w:r>
    </w:p>
    <w:p>
      <w:pPr>
        <w:pStyle w:val="ListParagraph"/>
        <w:numPr>
          <w:ilvl w:val="0"/>
          <w:numId w:val="1"/>
        </w:numPr>
        <w:spacing w:after="80"/>
      </w:pPr>
      <w:r>
        <w:rPr>
          <w:b/>
          <w:bCs/>
        </w:rPr>
        <w:t xml:space="preserve">Manuel</w:t>
      </w:r>
      <w:r>
        <w:t xml:space="preserve"> : les deux boutons sont présents, chacun se lance au choix.</w:t>
      </w:r>
    </w:p>
    <w:p>
      <w:pPr>
        <w:spacing w:after="60"/>
      </w:pPr>
    </w:p>
    <w:p>
      <w:pPr>
        <w:pStyle w:val="Heading3"/>
        <w:spacing w:after="140" w:before="220"/>
      </w:pPr>
      <w:r>
        <w:t xml:space="preserve">Suivre, annuler ou relancer une étape</w:t>
      </w:r>
    </w:p>
    <w:p>
      <w:pPr>
        <w:spacing w:after="140"/>
      </w:pPr>
      <w:r>
        <w:t xml:space="preserve">Pendant l'analyse, une liste d'étapes s'affiche : </w:t>
      </w:r>
      <w:r>
        <w:rPr>
          <w:rFonts w:ascii="Consolas" w:cs="Consolas" w:eastAsia="Consolas" w:hAnsi="Consolas"/>
          <w:sz w:val="19"/>
          <w:szCs w:val="19"/>
        </w:rPr>
        <w:t xml:space="preserve">Microsoft 365</w:t>
      </w:r>
      <w:r>
        <w:t xml:space="preserve">, </w:t>
      </w:r>
      <w:r>
        <w:rPr>
          <w:rFonts w:ascii="Consolas" w:cs="Consolas" w:eastAsia="Consolas" w:hAnsi="Consolas"/>
          <w:sz w:val="19"/>
          <w:szCs w:val="19"/>
        </w:rPr>
        <w:t xml:space="preserve">Microsoft Graph</w:t>
      </w:r>
      <w:r>
        <w:t xml:space="preserve"> (si connecté), </w:t>
      </w:r>
      <w:r>
        <w:rPr>
          <w:rFonts w:ascii="Consolas" w:cs="Consolas" w:eastAsia="Consolas" w:hAnsi="Consolas"/>
          <w:sz w:val="19"/>
          <w:szCs w:val="19"/>
        </w:rPr>
        <w:t xml:space="preserve">DNS</w:t>
      </w:r>
      <w:r>
        <w:t xml:space="preserve">, </w:t>
      </w:r>
      <w:r>
        <w:rPr>
          <w:rFonts w:ascii="Consolas" w:cs="Consolas" w:eastAsia="Consolas" w:hAnsi="Consolas"/>
          <w:sz w:val="19"/>
          <w:szCs w:val="19"/>
        </w:rPr>
        <w:t xml:space="preserve">Sécurité</w:t>
      </w:r>
      <w:r>
        <w:t xml:space="preserve">, </w:t>
      </w:r>
      <w:r>
        <w:rPr>
          <w:rFonts w:ascii="Consolas" w:cs="Consolas" w:eastAsia="Consolas" w:hAnsi="Consolas"/>
          <w:sz w:val="19"/>
          <w:szCs w:val="19"/>
        </w:rPr>
        <w:t xml:space="preserve">Autres services</w:t>
      </w:r>
      <w:r>
        <w:t xml:space="preserve">, </w:t>
      </w:r>
      <w:r>
        <w:rPr>
          <w:rFonts w:ascii="Consolas" w:cs="Consolas" w:eastAsia="Consolas" w:hAnsi="Consolas"/>
          <w:sz w:val="19"/>
          <w:szCs w:val="19"/>
        </w:rPr>
        <w:t xml:space="preserve">Hébergeur</w:t>
      </w:r>
      <w:r>
        <w:t xml:space="preserve">. Chaque étape porte deux boutons :</w:t>
      </w:r>
    </w:p>
    <w:p>
      <w:pPr>
        <w:pStyle w:val="ListParagraph"/>
        <w:numPr>
          <w:ilvl w:val="0"/>
          <w:numId w:val="1"/>
        </w:numPr>
        <w:spacing w:after="80"/>
      </w:pPr>
      <w:r>
        <w:rPr>
          <w:b/>
          <w:bCs/>
        </w:rPr>
        <w:t xml:space="preserve">Annuler</w:t>
      </w:r>
      <w:r>
        <w:t xml:space="preserve"> : interrompt cette étape sans arrêter le reste de l'analyse ;</w:t>
      </w:r>
    </w:p>
    <w:p>
      <w:pPr>
        <w:pStyle w:val="ListParagraph"/>
        <w:numPr>
          <w:ilvl w:val="0"/>
          <w:numId w:val="1"/>
        </w:numPr>
        <w:spacing w:after="80"/>
      </w:pPr>
      <w:r>
        <w:rPr>
          <w:b/>
          <w:bCs/>
        </w:rPr>
        <w:t xml:space="preserve">Relancer</w:t>
      </w:r>
      <w:r>
        <w:t xml:space="preserve"> : rejoue uniquement cette étape, utile après un délai d'attente réseau.</w:t>
      </w:r>
    </w:p>
    <w:p>
      <w:pPr>
        <w:spacing w:after="60"/>
      </w:pPr>
    </w:p>
    <w:p>
      <w:pPr>
        <w:pStyle w:val="Heading3"/>
        <w:spacing w:after="140" w:before="220"/>
      </w:pPr>
      <w:r>
        <w:t xml:space="preserve">Cas particulier : les adresses personnelles</w:t>
      </w:r>
    </w:p>
    <w:p>
      <w:pPr>
        <w:spacing w:after="140"/>
      </w:pPr>
      <w:r>
        <w:t xml:space="preserve">Les domaines de comptes Microsoft personnels (</w:t>
      </w:r>
      <w:r>
        <w:rPr>
          <w:rFonts w:ascii="Consolas" w:cs="Consolas" w:eastAsia="Consolas" w:hAnsi="Consolas"/>
          <w:sz w:val="19"/>
          <w:szCs w:val="19"/>
        </w:rPr>
        <w:t xml:space="preserve">outlook.com</w:t>
      </w:r>
      <w:r>
        <w:t xml:space="preserve">, </w:t>
      </w:r>
      <w:r>
        <w:rPr>
          <w:rFonts w:ascii="Consolas" w:cs="Consolas" w:eastAsia="Consolas" w:hAnsi="Consolas"/>
          <w:sz w:val="19"/>
          <w:szCs w:val="19"/>
        </w:rPr>
        <w:t xml:space="preserve">outlook.fr</w:t>
      </w:r>
      <w:r>
        <w:t xml:space="preserve">, </w:t>
      </w:r>
      <w:r>
        <w:rPr>
          <w:rFonts w:ascii="Consolas" w:cs="Consolas" w:eastAsia="Consolas" w:hAnsi="Consolas"/>
          <w:sz w:val="19"/>
          <w:szCs w:val="19"/>
        </w:rPr>
        <w:t xml:space="preserve">hotmail.fr</w:t>
      </w:r>
      <w:r>
        <w:t xml:space="preserve">, </w:t>
      </w:r>
      <w:r>
        <w:rPr>
          <w:rFonts w:ascii="Consolas" w:cs="Consolas" w:eastAsia="Consolas" w:hAnsi="Consolas"/>
          <w:sz w:val="19"/>
          <w:szCs w:val="19"/>
        </w:rPr>
        <w:t xml:space="preserve">live.com</w:t>
      </w:r>
      <w:r>
        <w:t xml:space="preserve">, </w:t>
      </w:r>
      <w:r>
        <w:rPr>
          <w:rFonts w:ascii="Consolas" w:cs="Consolas" w:eastAsia="Consolas" w:hAnsi="Consolas"/>
          <w:sz w:val="19"/>
          <w:szCs w:val="19"/>
        </w:rPr>
        <w:t xml:space="preserve">msn.com</w:t>
      </w:r>
      <w:r>
        <w:t xml:space="preserve"> et leurs déclinaisons) ne sont </w:t>
      </w:r>
      <w:r>
        <w:rPr>
          <w:b/>
          <w:bCs/>
        </w:rPr>
        <w:t xml:space="preserve">pas</w:t>
      </w:r>
      <w:r>
        <w:t xml:space="preserve"> interrogés côté tenant : ce sont des comptes grand public, pas des organisations. L'absence de Tenant ID est le résultat attendu, pas une panne.</w:t>
      </w:r>
    </w:p>
    <w:p>
      <w:pPr>
        <w:pStyle w:val="Heading2"/>
        <w:spacing w:after="140" w:before="320"/>
      </w:pPr>
      <w:r>
        <w:t xml:space="preserve">5. Lire le résultat</w:t>
      </w:r>
    </w:p>
    <w:p>
      <w:pPr>
        <w:pStyle w:val="Heading3"/>
        <w:spacing w:after="140" w:before="220"/>
      </w:pPr>
      <w:r>
        <w:t xml:space="preserve">Le hero</w:t>
      </w:r>
    </w:p>
    <w:p>
      <w:pPr>
        <w:spacing w:after="140"/>
      </w:pPr>
      <w:r>
        <w:t xml:space="preserve">Le grand bloc en haut de la colonne centrale rassemble :</w:t>
      </w:r>
    </w:p>
    <w:p>
      <w:pPr>
        <w:pStyle w:val="ListParagraph"/>
        <w:numPr>
          <w:ilvl w:val="0"/>
          <w:numId w:val="1"/>
        </w:numPr>
        <w:spacing w:after="80"/>
      </w:pPr>
      <w:r>
        <w:t xml:space="preserve">le libellé </w:t>
      </w:r>
      <w:r>
        <w:rPr>
          <w:b/>
          <w:bCs/>
        </w:rPr>
        <w:t xml:space="preserve">Microsoft Tenant ID</w:t>
      </w:r>
      <w:r>
        <w:t xml:space="preserve"> et le </w:t>
      </w:r>
      <w:r>
        <w:rPr>
          <w:b/>
          <w:bCs/>
        </w:rPr>
        <w:t xml:space="preserve">GUID</w:t>
      </w:r>
      <w:r>
        <w:t xml:space="preserve">, avec un bouton </w:t>
      </w:r>
      <w:r>
        <w:rPr>
          <w:b/>
          <w:bCs/>
        </w:rPr>
        <w:t xml:space="preserve">Copier</w:t>
      </w:r>
      <w:r>
        <w:t xml:space="preserve"> ;</w:t>
      </w:r>
    </w:p>
    <w:p>
      <w:pPr>
        <w:pStyle w:val="ListParagraph"/>
        <w:numPr>
          <w:ilvl w:val="0"/>
          <w:numId w:val="1"/>
        </w:numPr>
        <w:spacing w:after="80"/>
      </w:pPr>
      <w:r>
        <w:t xml:space="preserve">le </w:t>
      </w:r>
      <w:r>
        <w:rPr>
          <w:b/>
          <w:bCs/>
        </w:rPr>
        <w:t xml:space="preserve">nom du tenant</w:t>
      </w:r>
      <w:r>
        <w:t xml:space="preserve"> et son domaine par défaut, si Microsoft Graph est connecté ;</w:t>
      </w:r>
    </w:p>
    <w:p>
      <w:pPr>
        <w:pStyle w:val="ListParagraph"/>
        <w:numPr>
          <w:ilvl w:val="0"/>
          <w:numId w:val="1"/>
        </w:numPr>
        <w:spacing w:after="80"/>
      </w:pPr>
      <w:r>
        <w:t xml:space="preserve">l'</w:t>
      </w:r>
      <w:r>
        <w:rPr>
          <w:b/>
          <w:bCs/>
        </w:rPr>
        <w:t xml:space="preserve">indice de confiance</w:t>
      </w:r>
      <w:r>
        <w:t xml:space="preserve"> avec un « i » qui détaille son calcul ;</w:t>
      </w:r>
    </w:p>
    <w:p>
      <w:pPr>
        <w:pStyle w:val="ListParagraph"/>
        <w:numPr>
          <w:ilvl w:val="0"/>
          <w:numId w:val="1"/>
        </w:numPr>
        <w:spacing w:after="80"/>
      </w:pPr>
      <w:r>
        <w:t xml:space="preserve">les </w:t>
      </w:r>
      <w:r>
        <w:rPr>
          <w:b/>
          <w:bCs/>
        </w:rPr>
        <w:t xml:space="preserve">badges de classification</w:t>
      </w:r>
      <w:r>
        <w:t xml:space="preserve"> du tenant et le bouton </w:t>
      </w:r>
      <w:r>
        <w:rPr>
          <w:rFonts w:ascii="Consolas" w:cs="Consolas" w:eastAsia="Consolas" w:hAnsi="Consolas"/>
          <w:sz w:val="19"/>
          <w:szCs w:val="19"/>
        </w:rPr>
        <w:t xml:space="preserve">+</w:t>
      </w:r>
      <w:r>
        <w:t xml:space="preserve"> pour en proposer un ;</w:t>
      </w:r>
    </w:p>
    <w:p>
      <w:pPr>
        <w:pStyle w:val="ListParagraph"/>
        <w:numPr>
          <w:ilvl w:val="0"/>
          <w:numId w:val="1"/>
        </w:numPr>
        <w:spacing w:after="80"/>
      </w:pPr>
      <w:r>
        <w:t xml:space="preserve">une </w:t>
      </w:r>
      <w:r>
        <w:rPr>
          <w:b/>
          <w:bCs/>
        </w:rPr>
        <w:t xml:space="preserve">pastille GDAP</w:t>
      </w:r>
      <w:r>
        <w:t xml:space="preserve"> (si Graph est connecté) indiquant l'état de la relation déléguée ;</w:t>
      </w:r>
    </w:p>
    <w:p>
      <w:pPr>
        <w:pStyle w:val="ListParagraph"/>
        <w:numPr>
          <w:ilvl w:val="0"/>
          <w:numId w:val="1"/>
        </w:numPr>
        <w:spacing w:after="80"/>
      </w:pPr>
      <w:r>
        <w:t xml:space="preserve">un </w:t>
      </w:r>
      <w:r>
        <w:rPr>
          <w:b/>
          <w:bCs/>
        </w:rPr>
        <w:t xml:space="preserve">marqueur « compte admin »</w:t>
      </w:r>
      <w:r>
        <w:t xml:space="preserve"> (icône personnage à côté du GUID) : un interrupteur local pour noter qu'un compte d'administration a été créé chez ce client. Il reste dans votre navigateur et réapparaît ensuite dans l'historique et dans l'annuaire ;</w:t>
      </w:r>
    </w:p>
    <w:p>
      <w:pPr>
        <w:pStyle w:val="ListParagraph"/>
        <w:numPr>
          <w:ilvl w:val="0"/>
          <w:numId w:val="1"/>
        </w:numPr>
        <w:spacing w:after="80"/>
      </w:pPr>
      <w:r>
        <w:t xml:space="preserve">les </w:t>
      </w:r>
      <w:r>
        <w:rPr>
          <w:b/>
          <w:bCs/>
        </w:rPr>
        <w:t xml:space="preserve">tuiles d'accès</w:t>
      </w:r>
      <w:r>
        <w:t xml:space="preserve"> aux centres d'administration du client.</w:t>
      </w:r>
    </w:p>
    <w:p>
      <w:pPr>
        <w:spacing w:after="60"/>
      </w:pPr>
    </w:p>
    <w:p>
      <w:pPr>
        <w:pStyle w:val="Heading3"/>
        <w:spacing w:after="140" w:before="220"/>
      </w:pPr>
      <w:r>
        <w:t xml:space="preserve">L'indice de confiance</w:t>
      </w:r>
    </w:p>
    <w:p>
      <w:pPr>
        <w:spacing w:after="140"/>
      </w:pPr>
      <w:r>
        <w:t xml:space="preserve">Note sur 100, calculée sur quatre critères d'identification :</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582"/>
        <w:gridCol w:w="1444"/>
      </w:tblGrid>
      <w:tr>
        <w:trPr>
          <w:tblHeader/>
        </w:trPr>
        <w:tc>
          <w:tcPr>
            <w:tcW w:type="dxa" w:w="7582"/>
            <w:shd w:fill="EFEFEF" w:color="auto" w:val="clear"/>
            <w:tcMar>
              <w:top w:type="dxa" w:w="60"/>
              <w:left w:type="dxa" w:w="100"/>
              <w:bottom w:type="dxa" w:w="60"/>
              <w:right w:type="dxa" w:w="100"/>
            </w:tcMar>
          </w:tcPr>
          <w:p>
            <w:pPr>
              <w:spacing w:after="0" w:before="0"/>
            </w:pPr>
            <w:r>
              <w:rPr>
                <w:b/>
                <w:bCs/>
              </w:rPr>
              <w:t xml:space="preserve">Critère</w:t>
            </w:r>
          </w:p>
        </w:tc>
        <w:tc>
          <w:tcPr>
            <w:tcW w:type="dxa" w:w="1444"/>
            <w:shd w:fill="EFEFEF" w:color="auto" w:val="clear"/>
            <w:tcMar>
              <w:top w:type="dxa" w:w="60"/>
              <w:left w:type="dxa" w:w="100"/>
              <w:bottom w:type="dxa" w:w="60"/>
              <w:right w:type="dxa" w:w="100"/>
            </w:tcMar>
          </w:tcPr>
          <w:p>
            <w:pPr>
              <w:spacing w:after="0" w:before="0"/>
            </w:pPr>
            <w:r>
              <w:rPr>
                <w:b/>
                <w:bCs/>
              </w:rPr>
              <w:t xml:space="preserve">Points</w:t>
            </w:r>
          </w:p>
        </w:tc>
      </w:tr>
      <w:tr>
        <w:trPr>
          <w:tblHeader w:val="false"/>
        </w:trPr>
        <w:tc>
          <w:tcPr>
            <w:tcW w:type="dxa" w:w="7582"/>
            <w:tcMar>
              <w:top w:type="dxa" w:w="60"/>
              <w:left w:type="dxa" w:w="100"/>
              <w:bottom w:type="dxa" w:w="60"/>
              <w:right w:type="dxa" w:w="100"/>
            </w:tcMar>
          </w:tcPr>
          <w:p>
            <w:pPr>
              <w:spacing w:after="0" w:before="0"/>
            </w:pPr>
            <w:r>
              <w:t xml:space="preserve">Un Tenant ID a été trouvé</w:t>
            </w:r>
          </w:p>
        </w:tc>
        <w:tc>
          <w:tcPr>
            <w:tcW w:type="dxa" w:w="1444"/>
            <w:tcMar>
              <w:top w:type="dxa" w:w="60"/>
              <w:left w:type="dxa" w:w="100"/>
              <w:bottom w:type="dxa" w:w="60"/>
              <w:right w:type="dxa" w:w="100"/>
            </w:tcMar>
          </w:tcPr>
          <w:p>
            <w:pPr>
              <w:spacing w:after="0" w:before="0"/>
            </w:pPr>
            <w:r>
              <w:t xml:space="preserve">45</w:t>
            </w:r>
          </w:p>
        </w:tc>
      </w:tr>
      <w:tr>
        <w:trPr>
          <w:tblHeader w:val="false"/>
        </w:trPr>
        <w:tc>
          <w:tcPr>
            <w:tcW w:type="dxa" w:w="7582"/>
            <w:tcMar>
              <w:top w:type="dxa" w:w="60"/>
              <w:left w:type="dxa" w:w="100"/>
              <w:bottom w:type="dxa" w:w="60"/>
              <w:right w:type="dxa" w:w="100"/>
            </w:tcMar>
          </w:tcPr>
          <w:p>
            <w:pPr>
              <w:spacing w:after="0" w:before="0"/>
            </w:pPr>
            <w:r>
              <w:t xml:space="preserve">Le GUID a été revalidé auprès de Microsoft</w:t>
            </w:r>
          </w:p>
        </w:tc>
        <w:tc>
          <w:tcPr>
            <w:tcW w:type="dxa" w:w="1444"/>
            <w:tcMar>
              <w:top w:type="dxa" w:w="60"/>
              <w:left w:type="dxa" w:w="100"/>
              <w:bottom w:type="dxa" w:w="60"/>
              <w:right w:type="dxa" w:w="100"/>
            </w:tcMar>
          </w:tcPr>
          <w:p>
            <w:pPr>
              <w:spacing w:after="0" w:before="0"/>
            </w:pPr>
            <w:r>
              <w:t xml:space="preserve">30</w:t>
            </w:r>
          </w:p>
        </w:tc>
      </w:tr>
      <w:tr>
        <w:trPr>
          <w:tblHeader w:val="false"/>
        </w:trPr>
        <w:tc>
          <w:tcPr>
            <w:tcW w:type="dxa" w:w="7582"/>
            <w:tcMar>
              <w:top w:type="dxa" w:w="60"/>
              <w:left w:type="dxa" w:w="100"/>
              <w:bottom w:type="dxa" w:w="60"/>
              <w:right w:type="dxa" w:w="100"/>
            </w:tcMar>
          </w:tcPr>
          <w:p>
            <w:pPr>
              <w:spacing w:after="0" w:before="0"/>
            </w:pPr>
            <w:r>
              <w:t xml:space="preserve">L'émetteur (issuer) est cohérent</w:t>
            </w:r>
          </w:p>
        </w:tc>
        <w:tc>
          <w:tcPr>
            <w:tcW w:type="dxa" w:w="1444"/>
            <w:tcMar>
              <w:top w:type="dxa" w:w="60"/>
              <w:left w:type="dxa" w:w="100"/>
              <w:bottom w:type="dxa" w:w="60"/>
              <w:right w:type="dxa" w:w="100"/>
            </w:tcMar>
          </w:tcPr>
          <w:p>
            <w:pPr>
              <w:spacing w:after="0" w:before="0"/>
            </w:pPr>
            <w:r>
              <w:t xml:space="preserve">15</w:t>
            </w:r>
          </w:p>
        </w:tc>
      </w:tr>
      <w:tr>
        <w:trPr>
          <w:tblHeader w:val="false"/>
        </w:trPr>
        <w:tc>
          <w:tcPr>
            <w:tcW w:type="dxa" w:w="7582"/>
            <w:tcMar>
              <w:top w:type="dxa" w:w="60"/>
              <w:left w:type="dxa" w:w="100"/>
              <w:bottom w:type="dxa" w:w="60"/>
              <w:right w:type="dxa" w:w="100"/>
            </w:tcMar>
          </w:tcPr>
          <w:p>
            <w:pPr>
              <w:spacing w:after="0" w:before="0"/>
            </w:pPr>
            <w:r>
              <w:t xml:space="preserve">Le point d'entrée de jetons répond</w:t>
            </w:r>
          </w:p>
        </w:tc>
        <w:tc>
          <w:tcPr>
            <w:tcW w:type="dxa" w:w="1444"/>
            <w:tcMar>
              <w:top w:type="dxa" w:w="60"/>
              <w:left w:type="dxa" w:w="100"/>
              <w:bottom w:type="dxa" w:w="60"/>
              <w:right w:type="dxa" w:w="100"/>
            </w:tcMar>
          </w:tcPr>
          <w:p>
            <w:pPr>
              <w:spacing w:after="0" w:before="0"/>
            </w:pPr>
            <w:r>
              <w:t xml:space="preserve">10</w:t>
            </w:r>
          </w:p>
        </w:tc>
      </w:tr>
    </w:tbl>
    <w:p>
      <w:pPr>
        <w:spacing w:after="120"/>
      </w:pPr>
    </w:p>
    <w:p>
      <w:pPr>
        <w:spacing w:after="140"/>
      </w:pPr>
      <w:r>
        <w:t xml:space="preserve">Un indice inférieur à 100 ne veut pas dire que le Tenant ID est faux : il dit que toutes les corroborations n'ont pas pu être obtenues. Cliquez sur le « i » à côté du score pour voir quel critère manque.</w:t>
      </w:r>
    </w:p>
    <w:p>
      <w:pPr>
        <w:pStyle w:val="Heading3"/>
        <w:spacing w:after="140" w:before="220"/>
      </w:pPr>
      <w:r>
        <w:t xml:space="preserve">Les cartes de résultat</w:t>
      </w:r>
    </w:p>
    <w:p>
      <w:pPr>
        <w:spacing w:after="140"/>
      </w:pPr>
      <w:r>
        <w:t xml:space="preserve">Sous le hero, une carte par famille d'informations. Un clic ouvre le </w:t>
      </w:r>
      <w:r>
        <w:rPr>
          <w:b/>
          <w:bCs/>
        </w:rPr>
        <w:t xml:space="preserve">panneau de détail</w:t>
      </w:r>
      <w:r>
        <w:t xml:space="preserve"> à droite :</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579"/>
        <w:gridCol w:w="6447"/>
      </w:tblGrid>
      <w:tr>
        <w:trPr>
          <w:tblHeader/>
        </w:trPr>
        <w:tc>
          <w:tcPr>
            <w:tcW w:type="dxa" w:w="2579"/>
            <w:shd w:fill="EFEFEF" w:color="auto" w:val="clear"/>
            <w:tcMar>
              <w:top w:type="dxa" w:w="60"/>
              <w:left w:type="dxa" w:w="100"/>
              <w:bottom w:type="dxa" w:w="60"/>
              <w:right w:type="dxa" w:w="100"/>
            </w:tcMar>
          </w:tcPr>
          <w:p>
            <w:pPr>
              <w:spacing w:after="0" w:before="0"/>
            </w:pPr>
            <w:r>
              <w:rPr>
                <w:b/>
                <w:bCs/>
              </w:rPr>
              <w:t xml:space="preserve">Carte</w:t>
            </w:r>
          </w:p>
        </w:tc>
        <w:tc>
          <w:tcPr>
            <w:tcW w:type="dxa" w:w="6447"/>
            <w:shd w:fill="EFEFEF" w:color="auto" w:val="clear"/>
            <w:tcMar>
              <w:top w:type="dxa" w:w="60"/>
              <w:left w:type="dxa" w:w="100"/>
              <w:bottom w:type="dxa" w:w="60"/>
              <w:right w:type="dxa" w:w="100"/>
            </w:tcMar>
          </w:tcPr>
          <w:p>
            <w:pPr>
              <w:spacing w:after="0" w:before="0"/>
            </w:pPr>
            <w:r>
              <w:rPr>
                <w:b/>
                <w:bCs/>
              </w:rPr>
              <w:t xml:space="preserve">Contenu</w:t>
            </w:r>
          </w:p>
        </w:tc>
      </w:tr>
      <w:tr>
        <w:trPr>
          <w:tblHeader w:val="false"/>
        </w:trPr>
        <w:tc>
          <w:tcPr>
            <w:tcW w:type="dxa" w:w="2579"/>
            <w:tcMar>
              <w:top w:type="dxa" w:w="60"/>
              <w:left w:type="dxa" w:w="100"/>
              <w:bottom w:type="dxa" w:w="60"/>
              <w:right w:type="dxa" w:w="100"/>
            </w:tcMar>
          </w:tcPr>
          <w:p>
            <w:pPr>
              <w:spacing w:after="0" w:before="0"/>
            </w:pPr>
            <w:r>
              <w:rPr>
                <w:b/>
                <w:bCs/>
              </w:rPr>
              <w:t xml:space="preserve">Microsoft 365 / Entra ID</w:t>
            </w:r>
          </w:p>
        </w:tc>
        <w:tc>
          <w:tcPr>
            <w:tcW w:type="dxa" w:w="6447"/>
            <w:tcMar>
              <w:top w:type="dxa" w:w="60"/>
              <w:left w:type="dxa" w:w="100"/>
              <w:bottom w:type="dxa" w:w="60"/>
              <w:right w:type="dxa" w:w="100"/>
            </w:tcMar>
          </w:tcPr>
          <w:p>
            <w:pPr>
              <w:spacing w:after="0" w:before="0"/>
            </w:pPr>
            <w:r>
              <w:t xml:space="preserve">Points d'entrée du tenant, issuer, domaine par défaut, champs techniques</w:t>
            </w:r>
          </w:p>
        </w:tc>
      </w:tr>
      <w:tr>
        <w:trPr>
          <w:tblHeader w:val="false"/>
        </w:trPr>
        <w:tc>
          <w:tcPr>
            <w:tcW w:type="dxa" w:w="2579"/>
            <w:tcMar>
              <w:top w:type="dxa" w:w="60"/>
              <w:left w:type="dxa" w:w="100"/>
              <w:bottom w:type="dxa" w:w="60"/>
              <w:right w:type="dxa" w:w="100"/>
            </w:tcMar>
          </w:tcPr>
          <w:p>
            <w:pPr>
              <w:spacing w:after="0" w:before="0"/>
            </w:pPr>
            <w:r>
              <w:rPr>
                <w:b/>
                <w:bCs/>
              </w:rPr>
              <w:t xml:space="preserve">Posture</w:t>
            </w:r>
          </w:p>
        </w:tc>
        <w:tc>
          <w:tcPr>
            <w:tcW w:type="dxa" w:w="6447"/>
            <w:tcMar>
              <w:top w:type="dxa" w:w="60"/>
              <w:left w:type="dxa" w:w="100"/>
              <w:bottom w:type="dxa" w:w="60"/>
              <w:right w:type="dxa" w:w="100"/>
            </w:tcMar>
          </w:tcPr>
          <w:p>
            <w:pPr>
              <w:spacing w:after="0" w:before="0"/>
            </w:pPr>
            <w:r>
              <w:t xml:space="preserve">Sécurité du tenant client via Microsoft Graph et Lighthouse (voir section 12)</w:t>
            </w:r>
          </w:p>
        </w:tc>
      </w:tr>
      <w:tr>
        <w:trPr>
          <w:tblHeader w:val="false"/>
        </w:trPr>
        <w:tc>
          <w:tcPr>
            <w:tcW w:type="dxa" w:w="2579"/>
            <w:tcMar>
              <w:top w:type="dxa" w:w="60"/>
              <w:left w:type="dxa" w:w="100"/>
              <w:bottom w:type="dxa" w:w="60"/>
              <w:right w:type="dxa" w:w="100"/>
            </w:tcMar>
          </w:tcPr>
          <w:p>
            <w:pPr>
              <w:spacing w:after="0" w:before="0"/>
            </w:pPr>
            <w:r>
              <w:rPr>
                <w:b/>
                <w:bCs/>
              </w:rPr>
              <w:t xml:space="preserve">Google Workspace</w:t>
            </w:r>
          </w:p>
        </w:tc>
        <w:tc>
          <w:tcPr>
            <w:tcW w:type="dxa" w:w="6447"/>
            <w:tcMar>
              <w:top w:type="dxa" w:w="60"/>
              <w:left w:type="dxa" w:w="100"/>
              <w:bottom w:type="dxa" w:w="60"/>
              <w:right w:type="dxa" w:w="100"/>
            </w:tcMar>
          </w:tcPr>
          <w:p>
            <w:pPr>
              <w:spacing w:after="0" w:before="0"/>
            </w:pPr>
            <w:r>
              <w:t xml:space="preserve">Affichée uniquement si le domaine est réellement chez Google</w:t>
            </w:r>
          </w:p>
        </w:tc>
      </w:tr>
      <w:tr>
        <w:trPr>
          <w:tblHeader w:val="false"/>
        </w:trPr>
        <w:tc>
          <w:tcPr>
            <w:tcW w:type="dxa" w:w="2579"/>
            <w:tcMar>
              <w:top w:type="dxa" w:w="60"/>
              <w:left w:type="dxa" w:w="100"/>
              <w:bottom w:type="dxa" w:w="60"/>
              <w:right w:type="dxa" w:w="100"/>
            </w:tcMar>
          </w:tcPr>
          <w:p>
            <w:pPr>
              <w:spacing w:after="0" w:before="0"/>
            </w:pPr>
            <w:r>
              <w:rPr>
                <w:b/>
                <w:bCs/>
              </w:rPr>
              <w:t xml:space="preserve">Enregistrements DNS</w:t>
            </w:r>
          </w:p>
        </w:tc>
        <w:tc>
          <w:tcPr>
            <w:tcW w:type="dxa" w:w="6447"/>
            <w:tcMar>
              <w:top w:type="dxa" w:w="60"/>
              <w:left w:type="dxa" w:w="100"/>
              <w:bottom w:type="dxa" w:w="60"/>
              <w:right w:type="dxa" w:w="100"/>
            </w:tcMar>
          </w:tcPr>
          <w:p>
            <w:pPr>
              <w:spacing w:after="0" w:before="0"/>
            </w:pPr>
            <w:r>
              <w:t xml:space="preserve">MX, SPF, TXT, providers e-mail détectés</w:t>
            </w:r>
          </w:p>
        </w:tc>
      </w:tr>
      <w:tr>
        <w:trPr>
          <w:tblHeader w:val="false"/>
        </w:trPr>
        <w:tc>
          <w:tcPr>
            <w:tcW w:type="dxa" w:w="2579"/>
            <w:tcMar>
              <w:top w:type="dxa" w:w="60"/>
              <w:left w:type="dxa" w:w="100"/>
              <w:bottom w:type="dxa" w:w="60"/>
              <w:right w:type="dxa" w:w="100"/>
            </w:tcMar>
          </w:tcPr>
          <w:p>
            <w:pPr>
              <w:spacing w:after="0" w:before="0"/>
            </w:pPr>
            <w:r>
              <w:rPr>
                <w:b/>
                <w:bCs/>
              </w:rPr>
              <w:t xml:space="preserve">Santé / Sécurité</w:t>
            </w:r>
          </w:p>
        </w:tc>
        <w:tc>
          <w:tcPr>
            <w:tcW w:type="dxa" w:w="6447"/>
            <w:tcMar>
              <w:top w:type="dxa" w:w="60"/>
              <w:left w:type="dxa" w:w="100"/>
              <w:bottom w:type="dxa" w:w="60"/>
              <w:right w:type="dxa" w:w="100"/>
            </w:tcMar>
          </w:tcPr>
          <w:p>
            <w:pPr>
              <w:spacing w:after="0" w:before="0"/>
            </w:pPr>
            <w:r>
              <w:t xml:space="preserve">Score d'hygiène DNS détaillé (analyse complète, voir section 6)</w:t>
            </w:r>
          </w:p>
        </w:tc>
      </w:tr>
      <w:tr>
        <w:trPr>
          <w:tblHeader w:val="false"/>
        </w:trPr>
        <w:tc>
          <w:tcPr>
            <w:tcW w:type="dxa" w:w="2579"/>
            <w:tcMar>
              <w:top w:type="dxa" w:w="60"/>
              <w:left w:type="dxa" w:w="100"/>
              <w:bottom w:type="dxa" w:w="60"/>
              <w:right w:type="dxa" w:w="100"/>
            </w:tcMar>
          </w:tcPr>
          <w:p>
            <w:pPr>
              <w:spacing w:after="0" w:before="0"/>
            </w:pPr>
            <w:r>
              <w:rPr>
                <w:b/>
                <w:bCs/>
              </w:rPr>
              <w:t xml:space="preserve">Hébergeur</w:t>
            </w:r>
          </w:p>
        </w:tc>
        <w:tc>
          <w:tcPr>
            <w:tcW w:type="dxa" w:w="6447"/>
            <w:tcMar>
              <w:top w:type="dxa" w:w="60"/>
              <w:left w:type="dxa" w:w="100"/>
              <w:bottom w:type="dxa" w:w="60"/>
              <w:right w:type="dxa" w:w="100"/>
            </w:tcMar>
          </w:tcPr>
          <w:p>
            <w:pPr>
              <w:spacing w:after="0" w:before="0"/>
            </w:pPr>
            <w:r>
              <w:t xml:space="preserve">Registrar, serveurs de noms, dates de création/expiration, hébergeur déduit (analyse complète)</w:t>
            </w:r>
          </w:p>
        </w:tc>
      </w:tr>
    </w:tbl>
    <w:p>
      <w:pPr>
        <w:spacing w:after="120"/>
      </w:pPr>
    </w:p>
    <w:p>
      <w:pPr>
        <w:pStyle w:val="Heading3"/>
        <w:spacing w:after="140" w:before="220"/>
      </w:pPr>
      <w:r>
        <w:t xml:space="preserve">Redimensionner le panneau de détail</w:t>
      </w:r>
    </w:p>
    <w:p>
      <w:pPr>
        <w:spacing w:after="140"/>
      </w:pPr>
      <w:r>
        <w:t xml:space="preserve">La poignée verticale entre la colonne centrale et le panneau se </w:t>
      </w:r>
      <w:r>
        <w:rPr>
          <w:b/>
          <w:bCs/>
        </w:rPr>
        <w:t xml:space="preserve">glisse à la souris</w:t>
      </w:r>
      <w:r>
        <w:t xml:space="preserve">. Un </w:t>
      </w:r>
      <w:r>
        <w:rPr>
          <w:b/>
          <w:bCs/>
        </w:rPr>
        <w:t xml:space="preserve">double-clic</w:t>
      </w:r>
      <w:r>
        <w:t xml:space="preserve"> dessus rétablit la largeur par défaut. La largeur choisie est mémorisée dans le navigateur ; une fenêtre plus étroite la réduit à l'affichage sans effacer la préférence.</w:t>
      </w:r>
    </w:p>
    <w:p>
      <w:pPr>
        <w:pStyle w:val="Heading2"/>
        <w:spacing w:after="140" w:before="320"/>
      </w:pPr>
      <w:r>
        <w:t xml:space="preserve">6. Le score de sécurité DNS</w:t>
      </w:r>
    </w:p>
    <w:p>
      <w:pPr>
        <w:spacing w:after="140"/>
      </w:pPr>
      <w:r>
        <w:t xml:space="preserve">Disponible avec l'</w:t>
      </w:r>
      <w:r>
        <w:rPr>
          <w:b/>
          <w:bCs/>
        </w:rPr>
        <w:t xml:space="preserve">analyse complète</w:t>
      </w:r>
      <w:r>
        <w:t xml:space="preserve">, dans la carte « Santé / Sécurité ». Il note l'hygiène d'authentification e-mail du domaine, pas la sécurité du tenant.</w:t>
      </w:r>
    </w:p>
    <w:p>
      <w:pPr>
        <w:spacing w:after="140"/>
      </w:pPr>
      <w:r>
        <w:t xml:space="preserve">C'est ici que le </w:t>
      </w:r>
      <w:r>
        <w:rPr>
          <w:b/>
          <w:bCs/>
        </w:rPr>
        <w:t xml:space="preserve">SPF, le DKIM et le DMARC d'un domaine</w:t>
      </w:r>
      <w:r>
        <w:t xml:space="preserve"> sont contrôlés, par des requêtes DNS. Si ces contrôles ne remontent rien alors que le Tenant ID est bien trouvé, il ne s'agit pas d'un domaine mal configuré mais d'un blocage réseau : voir la section 22.</w:t>
      </w:r>
    </w:p>
    <w:p>
      <w:pPr>
        <w:pStyle w:val="Heading3"/>
        <w:spacing w:after="140" w:before="220"/>
      </w:pPr>
      <w:r>
        <w:t xml:space="preserve">Score de base, sur 100</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50"/>
        <w:gridCol w:w="7126"/>
        <w:gridCol w:w="950"/>
      </w:tblGrid>
      <w:tr>
        <w:trPr>
          <w:tblHeader/>
        </w:trPr>
        <w:tc>
          <w:tcPr>
            <w:tcW w:type="dxa" w:w="950"/>
            <w:shd w:fill="EFEFEF" w:color="auto" w:val="clear"/>
            <w:tcMar>
              <w:top w:type="dxa" w:w="60"/>
              <w:left w:type="dxa" w:w="100"/>
              <w:bottom w:type="dxa" w:w="60"/>
              <w:right w:type="dxa" w:w="100"/>
            </w:tcMar>
          </w:tcPr>
          <w:p>
            <w:pPr>
              <w:spacing w:after="0" w:before="0"/>
            </w:pPr>
            <w:r>
              <w:rPr>
                <w:b/>
                <w:bCs/>
              </w:rPr>
              <w:t xml:space="preserve">Contrôle</w:t>
            </w:r>
          </w:p>
        </w:tc>
        <w:tc>
          <w:tcPr>
            <w:tcW w:type="dxa" w:w="7126"/>
            <w:shd w:fill="EFEFEF" w:color="auto" w:val="clear"/>
            <w:tcMar>
              <w:top w:type="dxa" w:w="60"/>
              <w:left w:type="dxa" w:w="100"/>
              <w:bottom w:type="dxa" w:w="60"/>
              <w:right w:type="dxa" w:w="100"/>
            </w:tcMar>
          </w:tcPr>
          <w:p>
            <w:pPr>
              <w:spacing w:after="0" w:before="0"/>
            </w:pPr>
            <w:r>
              <w:rPr>
                <w:b/>
                <w:bCs/>
              </w:rPr>
              <w:t xml:space="preserve">Résultat</w:t>
            </w:r>
          </w:p>
        </w:tc>
        <w:tc>
          <w:tcPr>
            <w:tcW w:type="dxa" w:w="950"/>
            <w:shd w:fill="EFEFEF" w:color="auto" w:val="clear"/>
            <w:tcMar>
              <w:top w:type="dxa" w:w="60"/>
              <w:left w:type="dxa" w:w="100"/>
              <w:bottom w:type="dxa" w:w="60"/>
              <w:right w:type="dxa" w:w="100"/>
            </w:tcMar>
          </w:tcPr>
          <w:p>
            <w:pPr>
              <w:spacing w:after="0" w:before="0"/>
            </w:pPr>
            <w:r>
              <w:rPr>
                <w:b/>
                <w:bCs/>
              </w:rPr>
              <w:t xml:space="preserve">Points</w:t>
            </w:r>
          </w:p>
        </w:tc>
      </w:tr>
      <w:tr>
        <w:trPr>
          <w:tblHeader w:val="false"/>
        </w:trPr>
        <w:tc>
          <w:tcPr>
            <w:tcW w:type="dxa" w:w="950"/>
            <w:tcMar>
              <w:top w:type="dxa" w:w="60"/>
              <w:left w:type="dxa" w:w="100"/>
              <w:bottom w:type="dxa" w:w="60"/>
              <w:right w:type="dxa" w:w="100"/>
            </w:tcMar>
          </w:tcPr>
          <w:p>
            <w:pPr>
              <w:spacing w:after="0" w:before="0"/>
            </w:pPr>
            <w:r>
              <w:rPr>
                <w:b/>
                <w:bCs/>
              </w:rPr>
              <w:t xml:space="preserve">MX</w:t>
            </w:r>
          </w:p>
        </w:tc>
        <w:tc>
          <w:tcPr>
            <w:tcW w:type="dxa" w:w="7126"/>
            <w:tcMar>
              <w:top w:type="dxa" w:w="60"/>
              <w:left w:type="dxa" w:w="100"/>
              <w:bottom w:type="dxa" w:w="60"/>
              <w:right w:type="dxa" w:w="100"/>
            </w:tcMar>
          </w:tcPr>
          <w:p>
            <w:pPr>
              <w:spacing w:after="0" w:before="0"/>
            </w:pPr>
            <w:r>
              <w:t xml:space="preserve">Au moins un enregistrement MX</w:t>
            </w:r>
          </w:p>
        </w:tc>
        <w:tc>
          <w:tcPr>
            <w:tcW w:type="dxa" w:w="950"/>
            <w:tcMar>
              <w:top w:type="dxa" w:w="60"/>
              <w:left w:type="dxa" w:w="100"/>
              <w:bottom w:type="dxa" w:w="60"/>
              <w:right w:type="dxa" w:w="100"/>
            </w:tcMar>
          </w:tcPr>
          <w:p>
            <w:pPr>
              <w:spacing w:after="0" w:before="0"/>
            </w:pPr>
            <w:r>
              <w:t xml:space="preserve">+10</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Se termine par </w:t>
            </w:r>
            <w:r>
              <w:rPr>
                <w:rFonts w:ascii="Consolas" w:cs="Consolas" w:eastAsia="Consolas" w:hAnsi="Consolas"/>
                <w:sz w:val="19"/>
                <w:szCs w:val="19"/>
              </w:rPr>
              <w:t xml:space="preserve">-all</w:t>
            </w:r>
            <w:r>
              <w:t xml:space="preserve"> (strict)</w:t>
            </w:r>
          </w:p>
        </w:tc>
        <w:tc>
          <w:tcPr>
            <w:tcW w:type="dxa" w:w="950"/>
            <w:tcMar>
              <w:top w:type="dxa" w:w="60"/>
              <w:left w:type="dxa" w:w="100"/>
              <w:bottom w:type="dxa" w:w="60"/>
              <w:right w:type="dxa" w:w="100"/>
            </w:tcMar>
          </w:tcPr>
          <w:p>
            <w:pPr>
              <w:spacing w:after="0" w:before="0"/>
            </w:pPr>
            <w:r>
              <w:t xml:space="preserve">+25</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Se termine par </w:t>
            </w:r>
            <w:r>
              <w:rPr>
                <w:rFonts w:ascii="Consolas" w:cs="Consolas" w:eastAsia="Consolas" w:hAnsi="Consolas"/>
                <w:sz w:val="19"/>
                <w:szCs w:val="19"/>
              </w:rPr>
              <w:t xml:space="preserve">~all</w:t>
            </w:r>
            <w:r>
              <w:t xml:space="preserve"> (softfail)</w:t>
            </w:r>
          </w:p>
        </w:tc>
        <w:tc>
          <w:tcPr>
            <w:tcW w:type="dxa" w:w="950"/>
            <w:tcMar>
              <w:top w:type="dxa" w:w="60"/>
              <w:left w:type="dxa" w:w="100"/>
              <w:bottom w:type="dxa" w:w="60"/>
              <w:right w:type="dxa" w:w="100"/>
            </w:tcMar>
          </w:tcPr>
          <w:p>
            <w:pPr>
              <w:spacing w:after="0" w:before="0"/>
            </w:pPr>
            <w:r>
              <w:t xml:space="preserve">+15</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Ni </w:t>
            </w:r>
            <w:r>
              <w:rPr>
                <w:rFonts w:ascii="Consolas" w:cs="Consolas" w:eastAsia="Consolas" w:hAnsi="Consolas"/>
                <w:sz w:val="19"/>
                <w:szCs w:val="19"/>
              </w:rPr>
              <w:t xml:space="preserve">-all</w:t>
            </w:r>
            <w:r>
              <w:t xml:space="preserve"> ni </w:t>
            </w:r>
            <w:r>
              <w:rPr>
                <w:rFonts w:ascii="Consolas" w:cs="Consolas" w:eastAsia="Consolas" w:hAnsi="Consolas"/>
                <w:sz w:val="19"/>
                <w:szCs w:val="19"/>
              </w:rPr>
              <w:t xml:space="preserve">~all</w:t>
            </w:r>
            <w:r>
              <w:t xml:space="preserve"> (permissif)</w:t>
            </w:r>
          </w:p>
        </w:tc>
        <w:tc>
          <w:tcPr>
            <w:tcW w:type="dxa" w:w="950"/>
            <w:tcMar>
              <w:top w:type="dxa" w:w="60"/>
              <w:left w:type="dxa" w:w="100"/>
              <w:bottom w:type="dxa" w:w="60"/>
              <w:right w:type="dxa" w:w="100"/>
            </w:tcMar>
          </w:tcPr>
          <w:p>
            <w:pPr>
              <w:spacing w:after="0" w:before="0"/>
            </w:pPr>
            <w:r>
              <w:t xml:space="preserve">+8</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MX Microsoft 365 mais pas d'</w:t>
            </w:r>
            <w:r>
              <w:rPr>
                <w:rFonts w:ascii="Consolas" w:cs="Consolas" w:eastAsia="Consolas" w:hAnsi="Consolas"/>
                <w:sz w:val="19"/>
                <w:szCs w:val="19"/>
              </w:rPr>
              <w:t xml:space="preserve">include:spf.protection.outlook.com</w:t>
            </w:r>
          </w:p>
        </w:tc>
        <w:tc>
          <w:tcPr>
            <w:tcW w:type="dxa" w:w="950"/>
            <w:tcMar>
              <w:top w:type="dxa" w:w="60"/>
              <w:left w:type="dxa" w:w="100"/>
              <w:bottom w:type="dxa" w:w="60"/>
              <w:right w:type="dxa" w:w="100"/>
            </w:tcMar>
          </w:tcPr>
          <w:p>
            <w:pPr>
              <w:spacing w:after="0" w:before="0"/>
            </w:pPr>
            <w:r>
              <w:t xml:space="preserve">+12</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Plus de 10 résolutions DNS dans le SPF (permerror)</w:t>
            </w:r>
          </w:p>
        </w:tc>
        <w:tc>
          <w:tcPr>
            <w:tcW w:type="dxa" w:w="950"/>
            <w:tcMar>
              <w:top w:type="dxa" w:w="60"/>
              <w:left w:type="dxa" w:w="100"/>
              <w:bottom w:type="dxa" w:w="60"/>
              <w:right w:type="dxa" w:w="100"/>
            </w:tcMar>
          </w:tcPr>
          <w:p>
            <w:pPr>
              <w:spacing w:after="0" w:before="0"/>
            </w:pPr>
            <w:r>
              <w:t xml:space="preserve">+5</w:t>
            </w:r>
          </w:p>
        </w:tc>
      </w:tr>
      <w:tr>
        <w:trPr>
          <w:tblHeader w:val="false"/>
        </w:trPr>
        <w:tc>
          <w:tcPr>
            <w:tcW w:type="dxa" w:w="950"/>
            <w:tcMar>
              <w:top w:type="dxa" w:w="60"/>
              <w:left w:type="dxa" w:w="100"/>
              <w:bottom w:type="dxa" w:w="60"/>
              <w:right w:type="dxa" w:w="100"/>
            </w:tcMar>
          </w:tcPr>
          <w:p>
            <w:pPr>
              <w:spacing w:after="0" w:before="0"/>
            </w:pPr>
            <w:r>
              <w:rPr>
                <w:b/>
                <w:bCs/>
              </w:rPr>
              <w:t xml:space="preserve">SPF</w:t>
            </w:r>
          </w:p>
        </w:tc>
        <w:tc>
          <w:tcPr>
            <w:tcW w:type="dxa" w:w="7126"/>
            <w:tcMar>
              <w:top w:type="dxa" w:w="60"/>
              <w:left w:type="dxa" w:w="100"/>
              <w:bottom w:type="dxa" w:w="60"/>
              <w:right w:type="dxa" w:w="100"/>
            </w:tcMar>
          </w:tcPr>
          <w:p>
            <w:pPr>
              <w:spacing w:after="0" w:before="0"/>
            </w:pPr>
            <w:r>
              <w:t xml:space="preserve">Absent</w:t>
            </w:r>
          </w:p>
        </w:tc>
        <w:tc>
          <w:tcPr>
            <w:tcW w:type="dxa" w:w="950"/>
            <w:tcMar>
              <w:top w:type="dxa" w:w="60"/>
              <w:left w:type="dxa" w:w="100"/>
              <w:bottom w:type="dxa" w:w="60"/>
              <w:right w:type="dxa" w:w="100"/>
            </w:tcMar>
          </w:tcPr>
          <w:p>
            <w:pPr>
              <w:spacing w:after="0" w:before="0"/>
            </w:pPr>
            <w:r>
              <w:t xml:space="preserve">0</w:t>
            </w:r>
          </w:p>
        </w:tc>
      </w:tr>
      <w:tr>
        <w:trPr>
          <w:tblHeader w:val="false"/>
        </w:trPr>
        <w:tc>
          <w:tcPr>
            <w:tcW w:type="dxa" w:w="950"/>
            <w:tcMar>
              <w:top w:type="dxa" w:w="60"/>
              <w:left w:type="dxa" w:w="100"/>
              <w:bottom w:type="dxa" w:w="60"/>
              <w:right w:type="dxa" w:w="100"/>
            </w:tcMar>
          </w:tcPr>
          <w:p>
            <w:pPr>
              <w:spacing w:after="0" w:before="0"/>
            </w:pPr>
            <w:r>
              <w:rPr>
                <w:b/>
                <w:bCs/>
              </w:rPr>
              <w:t xml:space="preserve">DMARC</w:t>
            </w:r>
          </w:p>
        </w:tc>
        <w:tc>
          <w:tcPr>
            <w:tcW w:type="dxa" w:w="7126"/>
            <w:tcMar>
              <w:top w:type="dxa" w:w="60"/>
              <w:left w:type="dxa" w:w="100"/>
              <w:bottom w:type="dxa" w:w="60"/>
              <w:right w:type="dxa" w:w="100"/>
            </w:tcMar>
          </w:tcPr>
          <w:p>
            <w:pPr>
              <w:spacing w:after="0" w:before="0"/>
            </w:pPr>
            <w:r>
              <w:rPr>
                <w:rFonts w:ascii="Consolas" w:cs="Consolas" w:eastAsia="Consolas" w:hAnsi="Consolas"/>
                <w:sz w:val="19"/>
                <w:szCs w:val="19"/>
              </w:rPr>
              <w:t xml:space="preserve">p=reject</w:t>
            </w:r>
          </w:p>
        </w:tc>
        <w:tc>
          <w:tcPr>
            <w:tcW w:type="dxa" w:w="950"/>
            <w:tcMar>
              <w:top w:type="dxa" w:w="60"/>
              <w:left w:type="dxa" w:w="100"/>
              <w:bottom w:type="dxa" w:w="60"/>
              <w:right w:type="dxa" w:w="100"/>
            </w:tcMar>
          </w:tcPr>
          <w:p>
            <w:pPr>
              <w:spacing w:after="0" w:before="0"/>
            </w:pPr>
            <w:r>
              <w:t xml:space="preserve">+35</w:t>
            </w:r>
          </w:p>
        </w:tc>
      </w:tr>
      <w:tr>
        <w:trPr>
          <w:tblHeader w:val="false"/>
        </w:trPr>
        <w:tc>
          <w:tcPr>
            <w:tcW w:type="dxa" w:w="950"/>
            <w:tcMar>
              <w:top w:type="dxa" w:w="60"/>
              <w:left w:type="dxa" w:w="100"/>
              <w:bottom w:type="dxa" w:w="60"/>
              <w:right w:type="dxa" w:w="100"/>
            </w:tcMar>
          </w:tcPr>
          <w:p>
            <w:pPr>
              <w:spacing w:after="0" w:before="0"/>
            </w:pPr>
            <w:r>
              <w:rPr>
                <w:b/>
                <w:bCs/>
              </w:rPr>
              <w:t xml:space="preserve">DMARC</w:t>
            </w:r>
          </w:p>
        </w:tc>
        <w:tc>
          <w:tcPr>
            <w:tcW w:type="dxa" w:w="7126"/>
            <w:tcMar>
              <w:top w:type="dxa" w:w="60"/>
              <w:left w:type="dxa" w:w="100"/>
              <w:bottom w:type="dxa" w:w="60"/>
              <w:right w:type="dxa" w:w="100"/>
            </w:tcMar>
          </w:tcPr>
          <w:p>
            <w:pPr>
              <w:spacing w:after="0" w:before="0"/>
            </w:pPr>
            <w:r>
              <w:rPr>
                <w:rFonts w:ascii="Consolas" w:cs="Consolas" w:eastAsia="Consolas" w:hAnsi="Consolas"/>
                <w:sz w:val="19"/>
                <w:szCs w:val="19"/>
              </w:rPr>
              <w:t xml:space="preserve">p=quarantine</w:t>
            </w:r>
          </w:p>
        </w:tc>
        <w:tc>
          <w:tcPr>
            <w:tcW w:type="dxa" w:w="950"/>
            <w:tcMar>
              <w:top w:type="dxa" w:w="60"/>
              <w:left w:type="dxa" w:w="100"/>
              <w:bottom w:type="dxa" w:w="60"/>
              <w:right w:type="dxa" w:w="100"/>
            </w:tcMar>
          </w:tcPr>
          <w:p>
            <w:pPr>
              <w:spacing w:after="0" w:before="0"/>
            </w:pPr>
            <w:r>
              <w:t xml:space="preserve">+35</w:t>
            </w:r>
          </w:p>
        </w:tc>
      </w:tr>
      <w:tr>
        <w:trPr>
          <w:tblHeader w:val="false"/>
        </w:trPr>
        <w:tc>
          <w:tcPr>
            <w:tcW w:type="dxa" w:w="950"/>
            <w:tcMar>
              <w:top w:type="dxa" w:w="60"/>
              <w:left w:type="dxa" w:w="100"/>
              <w:bottom w:type="dxa" w:w="60"/>
              <w:right w:type="dxa" w:w="100"/>
            </w:tcMar>
          </w:tcPr>
          <w:p>
            <w:pPr>
              <w:spacing w:after="0" w:before="0"/>
            </w:pPr>
            <w:r>
              <w:rPr>
                <w:b/>
                <w:bCs/>
              </w:rPr>
              <w:t xml:space="preserve">DMARC</w:t>
            </w:r>
          </w:p>
        </w:tc>
        <w:tc>
          <w:tcPr>
            <w:tcW w:type="dxa" w:w="7126"/>
            <w:tcMar>
              <w:top w:type="dxa" w:w="60"/>
              <w:left w:type="dxa" w:w="100"/>
              <w:bottom w:type="dxa" w:w="60"/>
              <w:right w:type="dxa" w:w="100"/>
            </w:tcMar>
          </w:tcPr>
          <w:p>
            <w:pPr>
              <w:spacing w:after="0" w:before="0"/>
            </w:pPr>
            <w:r>
              <w:rPr>
                <w:rFonts w:ascii="Consolas" w:cs="Consolas" w:eastAsia="Consolas" w:hAnsi="Consolas"/>
                <w:sz w:val="19"/>
                <w:szCs w:val="19"/>
              </w:rPr>
              <w:t xml:space="preserve">p=none</w:t>
            </w:r>
            <w:r>
              <w:t xml:space="preserve"> (surveillance seule)</w:t>
            </w:r>
          </w:p>
        </w:tc>
        <w:tc>
          <w:tcPr>
            <w:tcW w:type="dxa" w:w="950"/>
            <w:tcMar>
              <w:top w:type="dxa" w:w="60"/>
              <w:left w:type="dxa" w:w="100"/>
              <w:bottom w:type="dxa" w:w="60"/>
              <w:right w:type="dxa" w:w="100"/>
            </w:tcMar>
          </w:tcPr>
          <w:p>
            <w:pPr>
              <w:spacing w:after="0" w:before="0"/>
            </w:pPr>
            <w:r>
              <w:t xml:space="preserve">+12</w:t>
            </w:r>
          </w:p>
        </w:tc>
      </w:tr>
      <w:tr>
        <w:trPr>
          <w:tblHeader w:val="false"/>
        </w:trPr>
        <w:tc>
          <w:tcPr>
            <w:tcW w:type="dxa" w:w="950"/>
            <w:tcMar>
              <w:top w:type="dxa" w:w="60"/>
              <w:left w:type="dxa" w:w="100"/>
              <w:bottom w:type="dxa" w:w="60"/>
              <w:right w:type="dxa" w:w="100"/>
            </w:tcMar>
          </w:tcPr>
          <w:p>
            <w:pPr>
              <w:spacing w:after="0" w:before="0"/>
            </w:pPr>
            <w:r>
              <w:rPr>
                <w:b/>
                <w:bCs/>
              </w:rPr>
              <w:t xml:space="preserve">DMARC</w:t>
            </w:r>
          </w:p>
        </w:tc>
        <w:tc>
          <w:tcPr>
            <w:tcW w:type="dxa" w:w="7126"/>
            <w:tcMar>
              <w:top w:type="dxa" w:w="60"/>
              <w:left w:type="dxa" w:w="100"/>
              <w:bottom w:type="dxa" w:w="60"/>
              <w:right w:type="dxa" w:w="100"/>
            </w:tcMar>
          </w:tcPr>
          <w:p>
            <w:pPr>
              <w:spacing w:after="0" w:before="0"/>
            </w:pPr>
            <w:r>
              <w:t xml:space="preserve">Absent</w:t>
            </w:r>
          </w:p>
        </w:tc>
        <w:tc>
          <w:tcPr>
            <w:tcW w:type="dxa" w:w="950"/>
            <w:tcMar>
              <w:top w:type="dxa" w:w="60"/>
              <w:left w:type="dxa" w:w="100"/>
              <w:bottom w:type="dxa" w:w="60"/>
              <w:right w:type="dxa" w:w="100"/>
            </w:tcMar>
          </w:tcPr>
          <w:p>
            <w:pPr>
              <w:spacing w:after="0" w:before="0"/>
            </w:pPr>
            <w:r>
              <w:t xml:space="preserve">0</w:t>
            </w:r>
          </w:p>
        </w:tc>
      </w:tr>
      <w:tr>
        <w:trPr>
          <w:tblHeader w:val="false"/>
        </w:trPr>
        <w:tc>
          <w:tcPr>
            <w:tcW w:type="dxa" w:w="950"/>
            <w:tcMar>
              <w:top w:type="dxa" w:w="60"/>
              <w:left w:type="dxa" w:w="100"/>
              <w:bottom w:type="dxa" w:w="60"/>
              <w:right w:type="dxa" w:w="100"/>
            </w:tcMar>
          </w:tcPr>
          <w:p>
            <w:pPr>
              <w:spacing w:after="0" w:before="0"/>
            </w:pPr>
            <w:r>
              <w:rPr>
                <w:b/>
                <w:bCs/>
              </w:rPr>
              <w:t xml:space="preserve">DKIM</w:t>
            </w:r>
          </w:p>
        </w:tc>
        <w:tc>
          <w:tcPr>
            <w:tcW w:type="dxa" w:w="7126"/>
            <w:tcMar>
              <w:top w:type="dxa" w:w="60"/>
              <w:left w:type="dxa" w:w="100"/>
              <w:bottom w:type="dxa" w:w="60"/>
              <w:right w:type="dxa" w:w="100"/>
            </w:tcMar>
          </w:tcPr>
          <w:p>
            <w:pPr>
              <w:spacing w:after="0" w:before="0"/>
            </w:pPr>
            <w:r>
              <w:rPr>
                <w:rFonts w:ascii="Consolas" w:cs="Consolas" w:eastAsia="Consolas" w:hAnsi="Consolas"/>
                <w:sz w:val="19"/>
                <w:szCs w:val="19"/>
              </w:rPr>
              <w:t xml:space="preserve">selector1</w:t>
            </w:r>
            <w:r>
              <w:t xml:space="preserve"> </w:t>
            </w:r>
            <w:r>
              <w:rPr>
                <w:b/>
                <w:bCs/>
              </w:rPr>
              <w:t xml:space="preserve">et</w:t>
            </w:r>
            <w:r>
              <w:t xml:space="preserve"> </w:t>
            </w:r>
            <w:r>
              <w:rPr>
                <w:rFonts w:ascii="Consolas" w:cs="Consolas" w:eastAsia="Consolas" w:hAnsi="Consolas"/>
                <w:sz w:val="19"/>
                <w:szCs w:val="19"/>
              </w:rPr>
              <w:t xml:space="preserve">selector2</w:t>
            </w:r>
            <w:r>
              <w:t xml:space="preserve"> présents (rotation M365)</w:t>
            </w:r>
          </w:p>
        </w:tc>
        <w:tc>
          <w:tcPr>
            <w:tcW w:type="dxa" w:w="950"/>
            <w:tcMar>
              <w:top w:type="dxa" w:w="60"/>
              <w:left w:type="dxa" w:w="100"/>
              <w:bottom w:type="dxa" w:w="60"/>
              <w:right w:type="dxa" w:w="100"/>
            </w:tcMar>
          </w:tcPr>
          <w:p>
            <w:pPr>
              <w:spacing w:after="0" w:before="0"/>
            </w:pPr>
            <w:r>
              <w:t xml:space="preserve">+30</w:t>
            </w:r>
          </w:p>
        </w:tc>
      </w:tr>
      <w:tr>
        <w:trPr>
          <w:tblHeader w:val="false"/>
        </w:trPr>
        <w:tc>
          <w:tcPr>
            <w:tcW w:type="dxa" w:w="950"/>
            <w:tcMar>
              <w:top w:type="dxa" w:w="60"/>
              <w:left w:type="dxa" w:w="100"/>
              <w:bottom w:type="dxa" w:w="60"/>
              <w:right w:type="dxa" w:w="100"/>
            </w:tcMar>
          </w:tcPr>
          <w:p>
            <w:pPr>
              <w:spacing w:after="0" w:before="0"/>
            </w:pPr>
            <w:r>
              <w:rPr>
                <w:b/>
                <w:bCs/>
              </w:rPr>
              <w:t xml:space="preserve">DKIM</w:t>
            </w:r>
          </w:p>
        </w:tc>
        <w:tc>
          <w:tcPr>
            <w:tcW w:type="dxa" w:w="7126"/>
            <w:tcMar>
              <w:top w:type="dxa" w:w="60"/>
              <w:left w:type="dxa" w:w="100"/>
              <w:bottom w:type="dxa" w:w="60"/>
              <w:right w:type="dxa" w:w="100"/>
            </w:tcMar>
          </w:tcPr>
          <w:p>
            <w:pPr>
              <w:spacing w:after="0" w:before="0"/>
            </w:pPr>
            <w:r>
              <w:t xml:space="preserve">Un seul des deux</w:t>
            </w:r>
          </w:p>
        </w:tc>
        <w:tc>
          <w:tcPr>
            <w:tcW w:type="dxa" w:w="950"/>
            <w:tcMar>
              <w:top w:type="dxa" w:w="60"/>
              <w:left w:type="dxa" w:w="100"/>
              <w:bottom w:type="dxa" w:w="60"/>
              <w:right w:type="dxa" w:w="100"/>
            </w:tcMar>
          </w:tcPr>
          <w:p>
            <w:pPr>
              <w:spacing w:after="0" w:before="0"/>
            </w:pPr>
            <w:r>
              <w:t xml:space="preserve">+22</w:t>
            </w:r>
          </w:p>
        </w:tc>
      </w:tr>
      <w:tr>
        <w:trPr>
          <w:tblHeader w:val="false"/>
        </w:trPr>
        <w:tc>
          <w:tcPr>
            <w:tcW w:type="dxa" w:w="950"/>
            <w:tcMar>
              <w:top w:type="dxa" w:w="60"/>
              <w:left w:type="dxa" w:w="100"/>
              <w:bottom w:type="dxa" w:w="60"/>
              <w:right w:type="dxa" w:w="100"/>
            </w:tcMar>
          </w:tcPr>
          <w:p>
            <w:pPr>
              <w:spacing w:after="0" w:before="0"/>
            </w:pPr>
            <w:r>
              <w:rPr>
                <w:b/>
                <w:bCs/>
              </w:rPr>
              <w:t xml:space="preserve">DKIM</w:t>
            </w:r>
          </w:p>
        </w:tc>
        <w:tc>
          <w:tcPr>
            <w:tcW w:type="dxa" w:w="7126"/>
            <w:tcMar>
              <w:top w:type="dxa" w:w="60"/>
              <w:left w:type="dxa" w:w="100"/>
              <w:bottom w:type="dxa" w:w="60"/>
              <w:right w:type="dxa" w:w="100"/>
            </w:tcMar>
          </w:tcPr>
          <w:p>
            <w:pPr>
              <w:spacing w:after="0" w:before="0"/>
            </w:pPr>
            <w:r>
              <w:t xml:space="preserve">D'autres sélecteurs, hors M365</w:t>
            </w:r>
          </w:p>
        </w:tc>
        <w:tc>
          <w:tcPr>
            <w:tcW w:type="dxa" w:w="950"/>
            <w:tcMar>
              <w:top w:type="dxa" w:w="60"/>
              <w:left w:type="dxa" w:w="100"/>
              <w:bottom w:type="dxa" w:w="60"/>
              <w:right w:type="dxa" w:w="100"/>
            </w:tcMar>
          </w:tcPr>
          <w:p>
            <w:pPr>
              <w:spacing w:after="0" w:before="0"/>
            </w:pPr>
            <w:r>
              <w:t xml:space="preserve">+17</w:t>
            </w:r>
          </w:p>
        </w:tc>
      </w:tr>
      <w:tr>
        <w:trPr>
          <w:tblHeader w:val="false"/>
        </w:trPr>
        <w:tc>
          <w:tcPr>
            <w:tcW w:type="dxa" w:w="950"/>
            <w:tcMar>
              <w:top w:type="dxa" w:w="60"/>
              <w:left w:type="dxa" w:w="100"/>
              <w:bottom w:type="dxa" w:w="60"/>
              <w:right w:type="dxa" w:w="100"/>
            </w:tcMar>
          </w:tcPr>
          <w:p>
            <w:pPr>
              <w:spacing w:after="0" w:before="0"/>
            </w:pPr>
            <w:r>
              <w:rPr>
                <w:b/>
                <w:bCs/>
              </w:rPr>
              <w:t xml:space="preserve">DKIM</w:t>
            </w:r>
          </w:p>
        </w:tc>
        <w:tc>
          <w:tcPr>
            <w:tcW w:type="dxa" w:w="7126"/>
            <w:tcMar>
              <w:top w:type="dxa" w:w="60"/>
              <w:left w:type="dxa" w:w="100"/>
              <w:bottom w:type="dxa" w:w="60"/>
              <w:right w:type="dxa" w:w="100"/>
            </w:tcMar>
          </w:tcPr>
          <w:p>
            <w:pPr>
              <w:spacing w:after="0" w:before="0"/>
            </w:pPr>
            <w:r>
              <w:t xml:space="preserve">Aucun sélecteur détecté</w:t>
            </w:r>
          </w:p>
        </w:tc>
        <w:tc>
          <w:tcPr>
            <w:tcW w:type="dxa" w:w="950"/>
            <w:tcMar>
              <w:top w:type="dxa" w:w="60"/>
              <w:left w:type="dxa" w:w="100"/>
              <w:bottom w:type="dxa" w:w="60"/>
              <w:right w:type="dxa" w:w="100"/>
            </w:tcMar>
          </w:tcPr>
          <w:p>
            <w:pPr>
              <w:spacing w:after="0" w:before="0"/>
            </w:pPr>
            <w:r>
              <w:t xml:space="preserve">0</w:t>
            </w:r>
          </w:p>
        </w:tc>
      </w:tr>
    </w:tbl>
    <w:p>
      <w:pPr>
        <w:spacing w:after="120"/>
      </w:pPr>
    </w:p>
    <w:p>
      <w:pPr>
        <w:pStyle w:val="Heading3"/>
        <w:spacing w:after="140" w:before="220"/>
      </w:pPr>
      <w:r>
        <w:t xml:space="preserve">Bonus de durcissement, au-dessus de 100</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138"/>
        <w:gridCol w:w="2888"/>
      </w:tblGrid>
      <w:tr>
        <w:trPr>
          <w:tblHeader/>
        </w:trPr>
        <w:tc>
          <w:tcPr>
            <w:tcW w:type="dxa" w:w="6138"/>
            <w:shd w:fill="EFEFEF" w:color="auto" w:val="clear"/>
            <w:tcMar>
              <w:top w:type="dxa" w:w="60"/>
              <w:left w:type="dxa" w:w="100"/>
              <w:bottom w:type="dxa" w:w="60"/>
              <w:right w:type="dxa" w:w="100"/>
            </w:tcMar>
          </w:tcPr>
          <w:p>
            <w:pPr>
              <w:spacing w:after="0" w:before="0"/>
            </w:pPr>
            <w:r>
              <w:rPr>
                <w:b/>
                <w:bCs/>
              </w:rPr>
              <w:t xml:space="preserve">Contrôle</w:t>
            </w:r>
          </w:p>
        </w:tc>
        <w:tc>
          <w:tcPr>
            <w:tcW w:type="dxa" w:w="2888"/>
            <w:shd w:fill="EFEFEF" w:color="auto" w:val="clear"/>
            <w:tcMar>
              <w:top w:type="dxa" w:w="60"/>
              <w:left w:type="dxa" w:w="100"/>
              <w:bottom w:type="dxa" w:w="60"/>
              <w:right w:type="dxa" w:w="100"/>
            </w:tcMar>
          </w:tcPr>
          <w:p>
            <w:pPr>
              <w:spacing w:after="0" w:before="0"/>
            </w:pPr>
            <w:r>
              <w:rPr>
                <w:b/>
                <w:bCs/>
              </w:rPr>
              <w:t xml:space="preserve">Bonus</w:t>
            </w:r>
          </w:p>
        </w:tc>
      </w:tr>
      <w:tr>
        <w:trPr>
          <w:tblHeader w:val="false"/>
        </w:trPr>
        <w:tc>
          <w:tcPr>
            <w:tcW w:type="dxa" w:w="6138"/>
            <w:tcMar>
              <w:top w:type="dxa" w:w="60"/>
              <w:left w:type="dxa" w:w="100"/>
              <w:bottom w:type="dxa" w:w="60"/>
              <w:right w:type="dxa" w:w="100"/>
            </w:tcMar>
          </w:tcPr>
          <w:p>
            <w:pPr>
              <w:spacing w:after="0" w:before="0"/>
            </w:pPr>
            <w:r>
              <w:rPr>
                <w:b/>
                <w:bCs/>
              </w:rPr>
              <w:t xml:space="preserve">MTA-STS</w:t>
            </w:r>
            <w:r>
              <w:t xml:space="preserve"> configuré</w:t>
            </w:r>
          </w:p>
        </w:tc>
        <w:tc>
          <w:tcPr>
            <w:tcW w:type="dxa" w:w="2888"/>
            <w:tcMar>
              <w:top w:type="dxa" w:w="60"/>
              <w:left w:type="dxa" w:w="100"/>
              <w:bottom w:type="dxa" w:w="60"/>
              <w:right w:type="dxa" w:w="100"/>
            </w:tcMar>
          </w:tcPr>
          <w:p>
            <w:pPr>
              <w:spacing w:after="0" w:before="0"/>
            </w:pPr>
            <w:r>
              <w:t xml:space="preserve">+6</w:t>
            </w:r>
          </w:p>
        </w:tc>
      </w:tr>
      <w:tr>
        <w:trPr>
          <w:tblHeader w:val="false"/>
        </w:trPr>
        <w:tc>
          <w:tcPr>
            <w:tcW w:type="dxa" w:w="6138"/>
            <w:tcMar>
              <w:top w:type="dxa" w:w="60"/>
              <w:left w:type="dxa" w:w="100"/>
              <w:bottom w:type="dxa" w:w="60"/>
              <w:right w:type="dxa" w:w="100"/>
            </w:tcMar>
          </w:tcPr>
          <w:p>
            <w:pPr>
              <w:spacing w:after="0" w:before="0"/>
            </w:pPr>
            <w:r>
              <w:rPr>
                <w:b/>
                <w:bCs/>
              </w:rPr>
              <w:t xml:space="preserve">DNSSEC</w:t>
            </w:r>
            <w:r>
              <w:t xml:space="preserve"> activé</w:t>
            </w:r>
          </w:p>
        </w:tc>
        <w:tc>
          <w:tcPr>
            <w:tcW w:type="dxa" w:w="2888"/>
            <w:tcMar>
              <w:top w:type="dxa" w:w="60"/>
              <w:left w:type="dxa" w:w="100"/>
              <w:bottom w:type="dxa" w:w="60"/>
              <w:right w:type="dxa" w:w="100"/>
            </w:tcMar>
          </w:tcPr>
          <w:p>
            <w:pPr>
              <w:spacing w:after="0" w:before="0"/>
            </w:pPr>
            <w:r>
              <w:t xml:space="preserve">+4</w:t>
            </w:r>
          </w:p>
        </w:tc>
      </w:tr>
      <w:tr>
        <w:trPr>
          <w:tblHeader w:val="false"/>
        </w:trPr>
        <w:tc>
          <w:tcPr>
            <w:tcW w:type="dxa" w:w="6138"/>
            <w:tcMar>
              <w:top w:type="dxa" w:w="60"/>
              <w:left w:type="dxa" w:w="100"/>
              <w:bottom w:type="dxa" w:w="60"/>
              <w:right w:type="dxa" w:w="100"/>
            </w:tcMar>
          </w:tcPr>
          <w:p>
            <w:pPr>
              <w:spacing w:after="0" w:before="0"/>
            </w:pPr>
            <w:r>
              <w:rPr>
                <w:b/>
                <w:bCs/>
              </w:rPr>
              <w:t xml:space="preserve">BIMI</w:t>
            </w:r>
            <w:r>
              <w:t xml:space="preserve"> configuré</w:t>
            </w:r>
          </w:p>
        </w:tc>
        <w:tc>
          <w:tcPr>
            <w:tcW w:type="dxa" w:w="2888"/>
            <w:tcMar>
              <w:top w:type="dxa" w:w="60"/>
              <w:left w:type="dxa" w:w="100"/>
              <w:bottom w:type="dxa" w:w="60"/>
              <w:right w:type="dxa" w:w="100"/>
            </w:tcMar>
          </w:tcPr>
          <w:p>
            <w:pPr>
              <w:spacing w:after="0" w:before="0"/>
            </w:pPr>
            <w:r>
              <w:t xml:space="preserve">+3</w:t>
            </w:r>
          </w:p>
        </w:tc>
      </w:tr>
    </w:tbl>
    <w:p>
      <w:pPr>
        <w:spacing w:after="120"/>
      </w:pPr>
    </w:p>
    <w:p>
      <w:pPr>
        <w:pStyle w:val="Heading3"/>
        <w:spacing w:after="140" w:before="220"/>
      </w:pPr>
      <w:r>
        <w:t xml:space="preserve">Hors score, affiché à titre de diagnostic</w:t>
      </w:r>
    </w:p>
    <w:p>
      <w:pPr>
        <w:spacing w:after="140"/>
      </w:pPr>
      <w:r>
        <w:t xml:space="preserve">Ces points n'entrent pas dans la note, mais figurent dans le panneau :</w:t>
      </w:r>
    </w:p>
    <w:p>
      <w:pPr>
        <w:pStyle w:val="ListParagraph"/>
        <w:numPr>
          <w:ilvl w:val="0"/>
          <w:numId w:val="1"/>
        </w:numPr>
        <w:spacing w:after="80"/>
      </w:pPr>
      <w:r>
        <w:rPr>
          <w:b/>
          <w:bCs/>
        </w:rPr>
        <w:t xml:space="preserve">www</w:t>
      </w:r>
      <w:r>
        <w:t xml:space="preserve"> (CNAME ou A) : c'est du web, pas de l'hygiène e-mail ;</w:t>
      </w:r>
    </w:p>
    <w:p>
      <w:pPr>
        <w:pStyle w:val="ListParagraph"/>
        <w:numPr>
          <w:ilvl w:val="0"/>
          <w:numId w:val="1"/>
        </w:numPr>
        <w:spacing w:after="80"/>
      </w:pPr>
      <w:r>
        <w:rPr>
          <w:b/>
          <w:bCs/>
        </w:rPr>
        <w:t xml:space="preserve">Autodiscover</w:t>
      </w:r>
      <w:r>
        <w:t xml:space="preserve"> : doit pointer vers </w:t>
      </w:r>
      <w:r>
        <w:rPr>
          <w:rFonts w:ascii="Consolas" w:cs="Consolas" w:eastAsia="Consolas" w:hAnsi="Consolas"/>
          <w:sz w:val="19"/>
          <w:szCs w:val="19"/>
        </w:rPr>
        <w:t xml:space="preserve">autodiscover.outlook.com</w:t>
      </w:r>
      <w:r>
        <w:t xml:space="preserve">, sinon la configuration Outlook peut échouer ;</w:t>
      </w:r>
    </w:p>
    <w:p>
      <w:pPr>
        <w:pStyle w:val="ListParagraph"/>
        <w:numPr>
          <w:ilvl w:val="0"/>
          <w:numId w:val="1"/>
        </w:numPr>
        <w:spacing w:after="80"/>
      </w:pPr>
      <w:r>
        <w:rPr>
          <w:b/>
          <w:bCs/>
        </w:rPr>
        <w:t xml:space="preserve">Enrôlement Intune</w:t>
      </w:r>
      <w:r>
        <w:t xml:space="preserve"> : </w:t>
      </w:r>
      <w:r>
        <w:rPr>
          <w:rFonts w:ascii="Consolas" w:cs="Consolas" w:eastAsia="Consolas" w:hAnsi="Consolas"/>
          <w:sz w:val="19"/>
          <w:szCs w:val="19"/>
        </w:rPr>
        <w:t xml:space="preserve">enterpriseregistration</w:t>
      </w:r>
      <w:r>
        <w:t xml:space="preserve"> et </w:t>
      </w:r>
      <w:r>
        <w:rPr>
          <w:rFonts w:ascii="Consolas" w:cs="Consolas" w:eastAsia="Consolas" w:hAnsi="Consolas"/>
          <w:sz w:val="19"/>
          <w:szCs w:val="19"/>
        </w:rPr>
        <w:t xml:space="preserve">enterpriseenrollment</w:t>
      </w:r>
      <w:r>
        <w:t xml:space="preserve"> sont requis pour l'enrôlement automatique des appareils ;</w:t>
      </w:r>
    </w:p>
    <w:p>
      <w:pPr>
        <w:pStyle w:val="ListParagraph"/>
        <w:numPr>
          <w:ilvl w:val="0"/>
          <w:numId w:val="1"/>
        </w:numPr>
        <w:spacing w:after="80"/>
      </w:pPr>
      <w:r>
        <w:rPr>
          <w:b/>
          <w:bCs/>
        </w:rPr>
        <w:t xml:space="preserve">Teams / Skype</w:t>
      </w:r>
      <w:r>
        <w:t xml:space="preserve"> : </w:t>
      </w:r>
      <w:r>
        <w:rPr>
          <w:rFonts w:ascii="Consolas" w:cs="Consolas" w:eastAsia="Consolas" w:hAnsi="Consolas"/>
          <w:sz w:val="19"/>
          <w:szCs w:val="19"/>
        </w:rPr>
        <w:t xml:space="preserve">lyncdiscover</w:t>
      </w:r>
      <w:r>
        <w:t xml:space="preserve"> et l'enregistrement SRV de fédération sont hérités de Skype Entreprise. Leur absence est normale sur un tenant Teams-only.</w:t>
      </w:r>
    </w:p>
    <w:p>
      <w:pPr>
        <w:spacing w:after="60"/>
      </w:pPr>
    </w:p>
    <w:p>
      <w:pPr>
        <w:pStyle w:val="Heading3"/>
        <w:spacing w:after="140" w:before="220"/>
      </w:pPr>
      <w:r>
        <w:t xml:space="preserve">Comment l'expliquer à un client</w:t>
      </w:r>
    </w:p>
    <w:p>
      <w:pPr>
        <w:spacing w:after="140"/>
      </w:pPr>
      <w:r>
        <w:t xml:space="preserve">Le score répond à la question : « ce domaine est-il protégé contre l'usurpation d'identité par e-mail ? ». Les trois leviers, dans l'ordre où Microsoft recommande de les traiter : </w:t>
      </w:r>
      <w:r>
        <w:rPr>
          <w:b/>
          <w:bCs/>
        </w:rPr>
        <w:t xml:space="preserve">SPF</w:t>
      </w:r>
      <w:r>
        <w:t xml:space="preserve">, puis </w:t>
      </w:r>
      <w:r>
        <w:rPr>
          <w:b/>
          <w:bCs/>
        </w:rPr>
        <w:t xml:space="preserve">DKIM</w:t>
      </w:r>
      <w:r>
        <w:t xml:space="preserve">, puis </w:t>
      </w:r>
      <w:r>
        <w:rPr>
          <w:b/>
          <w:bCs/>
        </w:rPr>
        <w:t xml:space="preserve">DMARC</w:t>
      </w:r>
      <w:r>
        <w:t xml:space="preserve">. Un DMARC en </w:t>
      </w:r>
      <w:r>
        <w:rPr>
          <w:rFonts w:ascii="Consolas" w:cs="Consolas" w:eastAsia="Consolas" w:hAnsi="Consolas"/>
          <w:sz w:val="19"/>
          <w:szCs w:val="19"/>
        </w:rPr>
        <w:t xml:space="preserve">p=none</w:t>
      </w:r>
      <w:r>
        <w:t xml:space="preserve"> ne protège personne, il ne fait qu'observer.</w:t>
      </w:r>
    </w:p>
    <w:p>
      <w:pPr>
        <w:pStyle w:val="Heading2"/>
        <w:spacing w:after="140" w:before="320"/>
      </w:pPr>
      <w:r>
        <w:t xml:space="preserve">7. Ouvrir les centres d'administration du client</w:t>
      </w:r>
    </w:p>
    <w:p>
      <w:pPr>
        <w:spacing w:after="140"/>
      </w:pPr>
      <w:r>
        <w:t xml:space="preserve">Sous un tenant identifié, une tuile par portail. Un clic ouvre le portail </w:t>
      </w:r>
      <w:r>
        <w:rPr>
          <w:b/>
          <w:bCs/>
        </w:rPr>
        <w:t xml:space="preserve">dans un nouvel onglet</w:t>
      </w:r>
      <w:r>
        <w:t xml:space="preserve">, positionné sur le tenant analysé.</w:t>
      </w:r>
    </w:p>
    <w:p>
      <w:pPr>
        <w:spacing w:after="140"/>
      </w:pPr>
      <w:r>
        <w:t xml:space="preserve">Portails disponibles : </w:t>
      </w:r>
      <w:r>
        <w:rPr>
          <w:b/>
          <w:bCs/>
        </w:rPr>
        <w:t xml:space="preserve">Partner Center, Entra ID, M365 Admin, Exchange, Intune, Teams, SharePoint, Azure, Defender, Purview</w:t>
      </w:r>
      <w:r>
        <w:t xml:space="preserve">.</w:t>
      </w:r>
    </w:p>
    <w:p>
      <w:pPr>
        <w:pStyle w:val="Heading3"/>
        <w:spacing w:after="140" w:before="220"/>
      </w:pPr>
      <w:r>
        <w:t xml:space="preserve">Les sous-raccourcis</w:t>
      </w:r>
    </w:p>
    <w:p>
      <w:pPr>
        <w:spacing w:after="140"/>
      </w:pPr>
      <w:r>
        <w:t xml:space="preserve">Chaque tuile porte un </w:t>
      </w:r>
      <w:r>
        <w:rPr>
          <w:b/>
          <w:bCs/>
        </w:rPr>
        <w:t xml:space="preserve">chevron</w:t>
      </w:r>
      <w:r>
        <w:t xml:space="preserve"> qui déplie un menu de destinations précises :</w:t>
      </w:r>
    </w:p>
    <w:p>
      <w:pPr>
        <w:pStyle w:val="ListParagraph"/>
        <w:numPr>
          <w:ilvl w:val="0"/>
          <w:numId w:val="1"/>
        </w:numPr>
        <w:spacing w:after="80"/>
      </w:pPr>
      <w:r>
        <w:rPr>
          <w:b/>
          <w:bCs/>
        </w:rPr>
        <w:t xml:space="preserve">Partner Center</w:t>
      </w:r>
      <w:r>
        <w:t xml:space="preserve"> : Abonnements, Utilisateurs &amp; licences, Relations de l'administrateur</w:t>
      </w:r>
    </w:p>
    <w:p>
      <w:pPr>
        <w:pStyle w:val="ListParagraph"/>
        <w:numPr>
          <w:ilvl w:val="0"/>
          <w:numId w:val="1"/>
        </w:numPr>
        <w:spacing w:after="80"/>
      </w:pPr>
      <w:r>
        <w:rPr>
          <w:b/>
          <w:bCs/>
        </w:rPr>
        <w:t xml:space="preserve">Entra ID</w:t>
      </w:r>
      <w:r>
        <w:t xml:space="preserve"> : Utilisateurs, Groupes, Accès conditionnel, Journaux de connexion, Applications d'entreprise</w:t>
      </w:r>
    </w:p>
    <w:p>
      <w:pPr>
        <w:pStyle w:val="ListParagraph"/>
        <w:numPr>
          <w:ilvl w:val="0"/>
          <w:numId w:val="1"/>
        </w:numPr>
        <w:spacing w:after="80"/>
      </w:pPr>
      <w:r>
        <w:rPr>
          <w:b/>
          <w:bCs/>
        </w:rPr>
        <w:t xml:space="preserve">M365 Admin</w:t>
      </w:r>
      <w:r>
        <w:t xml:space="preserve"> : Utilisateurs actifs, Licences, Domaines, Groupes, Santé des services</w:t>
      </w:r>
    </w:p>
    <w:p>
      <w:pPr>
        <w:pStyle w:val="ListParagraph"/>
        <w:numPr>
          <w:ilvl w:val="0"/>
          <w:numId w:val="1"/>
        </w:numPr>
        <w:spacing w:after="80"/>
      </w:pPr>
      <w:r>
        <w:rPr>
          <w:b/>
          <w:bCs/>
        </w:rPr>
        <w:t xml:space="preserve">Exchange</w:t>
      </w:r>
      <w:r>
        <w:t xml:space="preserve"> : Boîtes aux lettres, Groupes de distribution, Règles de flux, Connecteurs, Suivi des messages</w:t>
      </w:r>
    </w:p>
    <w:p>
      <w:pPr>
        <w:pStyle w:val="ListParagraph"/>
        <w:numPr>
          <w:ilvl w:val="0"/>
          <w:numId w:val="1"/>
        </w:numPr>
        <w:spacing w:after="80"/>
      </w:pPr>
      <w:r>
        <w:rPr>
          <w:b/>
          <w:bCs/>
        </w:rPr>
        <w:t xml:space="preserve">Intune</w:t>
      </w:r>
      <w:r>
        <w:t xml:space="preserve"> : Appareils, Stratégie de conformité, Applications, ASR</w:t>
      </w:r>
    </w:p>
    <w:p>
      <w:pPr>
        <w:pStyle w:val="ListParagraph"/>
        <w:numPr>
          <w:ilvl w:val="0"/>
          <w:numId w:val="1"/>
        </w:numPr>
        <w:spacing w:after="80"/>
      </w:pPr>
      <w:r>
        <w:rPr>
          <w:b/>
          <w:bCs/>
        </w:rPr>
        <w:t xml:space="preserve">Teams</w:t>
      </w:r>
      <w:r>
        <w:t xml:space="preserve"> : Utilisateurs, Stratégies de réunion, Channels, Politique de messages</w:t>
      </w:r>
    </w:p>
    <w:p>
      <w:pPr>
        <w:pStyle w:val="ListParagraph"/>
        <w:numPr>
          <w:ilvl w:val="0"/>
          <w:numId w:val="1"/>
        </w:numPr>
        <w:spacing w:after="80"/>
      </w:pPr>
      <w:r>
        <w:rPr>
          <w:b/>
          <w:bCs/>
        </w:rPr>
        <w:t xml:space="preserve">SharePoint</w:t>
      </w:r>
      <w:r>
        <w:t xml:space="preserve"> : Sites actifs, Politiques de partage</w:t>
      </w:r>
    </w:p>
    <w:p>
      <w:pPr>
        <w:pStyle w:val="ListParagraph"/>
        <w:numPr>
          <w:ilvl w:val="0"/>
          <w:numId w:val="1"/>
        </w:numPr>
        <w:spacing w:after="80"/>
      </w:pPr>
      <w:r>
        <w:rPr>
          <w:b/>
          <w:bCs/>
        </w:rPr>
        <w:t xml:space="preserve">Azure</w:t>
      </w:r>
      <w:r>
        <w:t xml:space="preserve"> : Abonnements, Groupes de ressources, Machines virtuelles</w:t>
      </w:r>
    </w:p>
    <w:p>
      <w:pPr>
        <w:pStyle w:val="ListParagraph"/>
        <w:numPr>
          <w:ilvl w:val="0"/>
          <w:numId w:val="1"/>
        </w:numPr>
        <w:spacing w:after="80"/>
      </w:pPr>
      <w:r>
        <w:rPr>
          <w:b/>
          <w:bCs/>
        </w:rPr>
        <w:t xml:space="preserve">Defender</w:t>
      </w:r>
      <w:r>
        <w:t xml:space="preserve"> : Stratégie de menace, Entités restreintes, Quarantaine, Liens fiables, Alertes, Incidents, Analyse des menaces</w:t>
      </w:r>
    </w:p>
    <w:p>
      <w:pPr>
        <w:pStyle w:val="ListParagraph"/>
        <w:numPr>
          <w:ilvl w:val="0"/>
          <w:numId w:val="1"/>
        </w:numPr>
        <w:spacing w:after="80"/>
      </w:pPr>
      <w:r>
        <w:rPr>
          <w:b/>
          <w:bCs/>
        </w:rPr>
        <w:t xml:space="preserve">Purview</w:t>
      </w:r>
      <w:r>
        <w:t xml:space="preserve"> : Gestion du cycle de vie des données, eDiscovery</w:t>
      </w:r>
    </w:p>
    <w:p>
      <w:pPr>
        <w:spacing w:after="60"/>
      </w:pPr>
    </w:p>
    <w:p>
      <w:pPr>
        <w:spacing w:after="140"/>
      </w:pPr>
      <w:r>
        <w:t xml:space="preserve">Un raccourci </w:t>
      </w:r>
      <w:r>
        <w:rPr>
          <w:b/>
          <w:bCs/>
        </w:rPr>
        <w:t xml:space="preserve">grisé</w:t>
      </w:r>
      <w:r>
        <w:t xml:space="preserve"> signifie qu'une information lui manque. Cas le plus fréquent : les raccourcis SharePoint ont besoin du nom de tenant SharePoint, déduit du CNAME DKIM </w:t>
      </w:r>
      <w:r>
        <w:rPr>
          <w:rFonts w:ascii="Consolas" w:cs="Consolas" w:eastAsia="Consolas" w:hAnsi="Consolas"/>
          <w:sz w:val="19"/>
          <w:szCs w:val="19"/>
        </w:rPr>
        <w:t xml:space="preserve">selector1</w:t>
      </w:r>
      <w:r>
        <w:t xml:space="preserve">. Si ce CNAME n'existe pas ou ne pointe pas vers Microsoft, la destination ne peut pas être construite.</w:t>
      </w:r>
    </w:p>
    <w:p>
      <w:pPr>
        <w:pStyle w:val="Heading3"/>
        <w:spacing w:after="140" w:before="220"/>
      </w:pPr>
      <w:r>
        <w:t xml:space="preserve">Astuce : ouvrir dans un autre profil Edge</w:t>
      </w:r>
    </w:p>
    <w:p>
      <w:pPr>
        <w:spacing w:after="140"/>
      </w:pPr>
      <w:r>
        <w:rPr>
          <w:b/>
          <w:bCs/>
        </w:rPr>
        <w:t xml:space="preserve">Clic droit</w:t>
      </w:r>
      <w:r>
        <w:t xml:space="preserve"> sur une tuile, puis </w:t>
      </w:r>
      <w:r>
        <w:rPr>
          <w:b/>
          <w:bCs/>
        </w:rPr>
        <w:t xml:space="preserve">« Ouvrir le lien en tant que »</w:t>
      </w:r>
      <w:r>
        <w:t xml:space="preserve">, puis choisir un </w:t>
      </w:r>
      <w:r>
        <w:rPr>
          <w:b/>
          <w:bCs/>
        </w:rPr>
        <w:t xml:space="preserve">autre profil Edge</w:t>
      </w:r>
      <w:r>
        <w:t xml:space="preserve">. Le portail du client s'ouvre dans le profil dédié à ce client, sans déconnecter votre session courante.</w:t>
      </w:r>
    </w:p>
    <w:p>
      <w:pPr>
        <w:pStyle w:val="Heading2"/>
        <w:spacing w:after="140" w:before="320"/>
      </w:pPr>
      <w:r>
        <w:t xml:space="preserve">8. Copier le rapport</w:t>
      </w:r>
    </w:p>
    <w:p>
      <w:pPr>
        <w:spacing w:after="140"/>
      </w:pPr>
      <w:r>
        <w:t xml:space="preserve">Le bouton </w:t>
      </w:r>
      <w:r>
        <w:rPr>
          <w:b/>
          <w:bCs/>
        </w:rPr>
        <w:t xml:space="preserve">« Copier le rapport »</w:t>
      </w:r>
      <w:r>
        <w:t xml:space="preserve">, dans la colonne de gauche, place dans le presse-papiers un résumé texte prêt à coller dans un ticket ou un e-mail : tenant, indice de confiance, DNS, sécurité, services détectés, hébergeur.</w:t>
      </w:r>
    </w:p>
    <w:p>
      <w:pPr>
        <w:spacing w:after="140"/>
      </w:pPr>
      <w:r>
        <w:t xml:space="preserve">Il apparaît </w:t>
      </w:r>
      <w:r>
        <w:rPr>
          <w:b/>
          <w:bCs/>
        </w:rPr>
        <w:t xml:space="preserve">dès l'analyse rapide</w:t>
      </w:r>
      <w:r>
        <w:t xml:space="preserve">. Le rapport est alors partiel : il ne contient ni la partie sécurité ni le WHOIS tant que l'analyse complète n'a pas été lancée.</w:t>
      </w:r>
    </w:p>
    <w:p>
      <w:pPr>
        <w:pStyle w:val="Heading2"/>
        <w:spacing w:after="140" w:before="320"/>
      </w:pPr>
      <w:r>
        <w:t xml:space="preserve">9. Classer un tenant : badges et propositions</w:t>
      </w:r>
    </w:p>
    <w:p>
      <w:pPr>
        <w:spacing w:after="140"/>
      </w:pPr>
      <w:r>
        <w:t xml:space="preserve">Les badges servent à qualifier le portefeuille de clients : relation commerciale, état de la délégation, ou toute catégorie créée par un manager. Ils sont </w:t>
      </w:r>
      <w:r>
        <w:rPr>
          <w:b/>
          <w:bCs/>
        </w:rPr>
        <w:t xml:space="preserve">partagés</w:t>
      </w:r>
      <w:r>
        <w:t xml:space="preserve"> : ce que vous posez est vu par toute l'équipe.</w:t>
      </w:r>
    </w:p>
    <w:p>
      <w:pPr>
        <w:pStyle w:val="Heading3"/>
        <w:spacing w:after="140" w:before="220"/>
      </w:pPr>
      <w:r>
        <w:t xml:space="preserve">Balises par défaut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41"/>
        <w:gridCol w:w="7385"/>
      </w:tblGrid>
      <w:tr>
        <w:trPr>
          <w:tblHeader/>
        </w:trPr>
        <w:tc>
          <w:tcPr>
            <w:tcW w:type="dxa" w:w="1641"/>
            <w:shd w:fill="EFEFEF" w:color="auto" w:val="clear"/>
            <w:tcMar>
              <w:top w:type="dxa" w:w="60"/>
              <w:left w:type="dxa" w:w="100"/>
              <w:bottom w:type="dxa" w:w="60"/>
              <w:right w:type="dxa" w:w="100"/>
            </w:tcMar>
          </w:tcPr>
          <w:p>
            <w:pPr>
              <w:spacing w:after="0" w:before="0"/>
            </w:pPr>
            <w:r>
              <w:rPr>
                <w:b/>
                <w:bCs/>
              </w:rPr>
              <w:t xml:space="preserve">Balise</w:t>
            </w:r>
          </w:p>
        </w:tc>
        <w:tc>
          <w:tcPr>
            <w:tcW w:type="dxa" w:w="7385"/>
            <w:shd w:fill="EFEFEF" w:color="auto" w:val="clear"/>
            <w:tcMar>
              <w:top w:type="dxa" w:w="60"/>
              <w:left w:type="dxa" w:w="100"/>
              <w:bottom w:type="dxa" w:w="60"/>
              <w:right w:type="dxa" w:w="100"/>
            </w:tcMar>
          </w:tcPr>
          <w:p>
            <w:pPr>
              <w:spacing w:after="0" w:before="0"/>
            </w:pPr>
            <w:r>
              <w:rPr>
                <w:b/>
                <w:bCs/>
              </w:rPr>
              <w:t xml:space="preserve">Sens</w:t>
            </w:r>
          </w:p>
        </w:tc>
      </w:tr>
      <w:tr>
        <w:trPr>
          <w:tblHeader w:val="false"/>
        </w:trPr>
        <w:tc>
          <w:tcPr>
            <w:tcW w:type="dxa" w:w="1641"/>
            <w:tcMar>
              <w:top w:type="dxa" w:w="60"/>
              <w:left w:type="dxa" w:w="100"/>
              <w:bottom w:type="dxa" w:w="60"/>
              <w:right w:type="dxa" w:w="100"/>
            </w:tcMar>
          </w:tcPr>
          <w:p>
            <w:pPr>
              <w:spacing w:after="0" w:before="0"/>
            </w:pPr>
            <w:r>
              <w:rPr>
                <w:b/>
                <w:bCs/>
              </w:rPr>
              <w:t xml:space="preserve">Direct</w:t>
            </w:r>
          </w:p>
        </w:tc>
        <w:tc>
          <w:tcPr>
            <w:tcW w:type="dxa" w:w="7385"/>
            <w:tcMar>
              <w:top w:type="dxa" w:w="60"/>
              <w:left w:type="dxa" w:w="100"/>
              <w:bottom w:type="dxa" w:w="60"/>
              <w:right w:type="dxa" w:w="100"/>
            </w:tcMar>
          </w:tcPr>
          <w:p>
            <w:pPr>
              <w:spacing w:after="0" w:before="0"/>
            </w:pPr>
            <w:r>
              <w:t xml:space="preserve">Relation commerciale directe</w:t>
            </w:r>
          </w:p>
        </w:tc>
      </w:tr>
      <w:tr>
        <w:trPr>
          <w:tblHeader w:val="false"/>
        </w:trPr>
        <w:tc>
          <w:tcPr>
            <w:tcW w:type="dxa" w:w="1641"/>
            <w:tcMar>
              <w:top w:type="dxa" w:w="60"/>
              <w:left w:type="dxa" w:w="100"/>
              <w:bottom w:type="dxa" w:w="60"/>
              <w:right w:type="dxa" w:w="100"/>
            </w:tcMar>
          </w:tcPr>
          <w:p>
            <w:pPr>
              <w:spacing w:after="0" w:before="0"/>
            </w:pPr>
            <w:r>
              <w:rPr>
                <w:b/>
                <w:bCs/>
              </w:rPr>
              <w:t xml:space="preserve">Indirect</w:t>
            </w:r>
          </w:p>
        </w:tc>
        <w:tc>
          <w:tcPr>
            <w:tcW w:type="dxa" w:w="7385"/>
            <w:tcMar>
              <w:top w:type="dxa" w:w="60"/>
              <w:left w:type="dxa" w:w="100"/>
              <w:bottom w:type="dxa" w:w="60"/>
              <w:right w:type="dxa" w:w="100"/>
            </w:tcMar>
          </w:tcPr>
          <w:p>
            <w:pPr>
              <w:spacing w:after="0" w:before="0"/>
            </w:pPr>
            <w:r>
              <w:t xml:space="preserve">Relation via un intermédiaire</w:t>
            </w:r>
          </w:p>
        </w:tc>
      </w:tr>
      <w:tr>
        <w:trPr>
          <w:tblHeader w:val="false"/>
        </w:trPr>
        <w:tc>
          <w:tcPr>
            <w:tcW w:type="dxa" w:w="1641"/>
            <w:tcMar>
              <w:top w:type="dxa" w:w="60"/>
              <w:left w:type="dxa" w:w="100"/>
              <w:bottom w:type="dxa" w:w="60"/>
              <w:right w:type="dxa" w:w="100"/>
            </w:tcMar>
          </w:tcPr>
          <w:p>
            <w:pPr>
              <w:spacing w:after="0" w:before="0"/>
            </w:pPr>
            <w:r>
              <w:rPr>
                <w:b/>
                <w:bCs/>
              </w:rPr>
              <w:t xml:space="preserve">GDAP actif</w:t>
            </w:r>
          </w:p>
        </w:tc>
        <w:tc>
          <w:tcPr>
            <w:tcW w:type="dxa" w:w="7385"/>
            <w:tcMar>
              <w:top w:type="dxa" w:w="60"/>
              <w:left w:type="dxa" w:w="100"/>
              <w:bottom w:type="dxa" w:w="60"/>
              <w:right w:type="dxa" w:w="100"/>
            </w:tcMar>
          </w:tcPr>
          <w:p>
            <w:pPr>
              <w:spacing w:after="0" w:before="0"/>
            </w:pPr>
            <w:r>
              <w:t xml:space="preserve">Une relation d'administration déléguée existe</w:t>
            </w:r>
          </w:p>
        </w:tc>
      </w:tr>
      <w:tr>
        <w:trPr>
          <w:tblHeader w:val="false"/>
        </w:trPr>
        <w:tc>
          <w:tcPr>
            <w:tcW w:type="dxa" w:w="1641"/>
            <w:tcMar>
              <w:top w:type="dxa" w:w="60"/>
              <w:left w:type="dxa" w:w="100"/>
              <w:bottom w:type="dxa" w:w="60"/>
              <w:right w:type="dxa" w:w="100"/>
            </w:tcMar>
          </w:tcPr>
          <w:p>
            <w:pPr>
              <w:spacing w:after="0" w:before="0"/>
            </w:pPr>
            <w:r>
              <w:rPr>
                <w:b/>
                <w:bCs/>
              </w:rPr>
              <w:t xml:space="preserve">GDAP : non</w:t>
            </w:r>
          </w:p>
        </w:tc>
        <w:tc>
          <w:tcPr>
            <w:tcW w:type="dxa" w:w="7385"/>
            <w:tcMar>
              <w:top w:type="dxa" w:w="60"/>
              <w:left w:type="dxa" w:w="100"/>
              <w:bottom w:type="dxa" w:w="60"/>
              <w:right w:type="dxa" w:w="100"/>
            </w:tcMar>
          </w:tcPr>
          <w:p>
            <w:pPr>
              <w:spacing w:after="0" w:before="0"/>
            </w:pPr>
            <w:r>
              <w:t xml:space="preserve">Pas de relation déléguée</w:t>
            </w:r>
          </w:p>
        </w:tc>
      </w:tr>
    </w:tbl>
    <w:p>
      <w:pPr>
        <w:spacing w:after="120"/>
      </w:pPr>
    </w:p>
    <w:p>
      <w:pPr>
        <w:spacing w:after="140"/>
      </w:pPr>
      <w:r>
        <w:t xml:space="preserve">Un manager ou un admin peut créer d'autres balises, avec leur libellé et leur couleur. Elles apparaissent alors dans le menu au même titre que les balises par défaut.</w:t>
      </w:r>
    </w:p>
    <w:p>
      <w:pPr>
        <w:pStyle w:val="Heading3"/>
        <w:spacing w:after="140" w:before="220"/>
      </w:pPr>
      <w:r>
        <w:t xml:space="preserve">Poser ou proposer un badge</w:t>
      </w:r>
    </w:p>
    <w:p>
      <w:pPr>
        <w:pStyle w:val="ListParagraph"/>
        <w:numPr>
          <w:ilvl w:val="0"/>
          <w:numId w:val="2"/>
        </w:numPr>
        <w:spacing w:after="80"/>
      </w:pPr>
      <w:r>
        <w:t xml:space="preserve">Lancer une analyse sur le domaine du client.</w:t>
      </w:r>
    </w:p>
    <w:p>
      <w:pPr>
        <w:pStyle w:val="ListParagraph"/>
        <w:numPr>
          <w:ilvl w:val="0"/>
          <w:numId w:val="2"/>
        </w:numPr>
        <w:spacing w:after="80"/>
      </w:pPr>
      <w:r>
        <w:t xml:space="preserve">Sur le hero, cliquer le bouton </w:t>
      </w:r>
      <w:r>
        <w:rPr>
          <w:b/>
          <w:bCs/>
        </w:rPr>
        <w:t xml:space="preserve">`+`</w:t>
      </w:r>
      <w:r>
        <w:t xml:space="preserve"> à côté des badges.</w:t>
      </w:r>
    </w:p>
    <w:p>
      <w:pPr>
        <w:pStyle w:val="ListParagraph"/>
        <w:numPr>
          <w:ilvl w:val="0"/>
          <w:numId w:val="2"/>
        </w:numPr>
        <w:spacing w:after="80"/>
      </w:pPr>
      <w:r>
        <w:t xml:space="preserve">Choisir la balise dans le menu.</w:t>
      </w:r>
    </w:p>
    <w:p>
      <w:pPr>
        <w:spacing w:after="60"/>
      </w:pPr>
    </w:p>
    <w:p>
      <w:pPr>
        <w:spacing w:after="140"/>
      </w:pPr>
      <w:r>
        <w:t xml:space="preserve">Le comportement dépend du rôle :</w:t>
      </w:r>
    </w:p>
    <w:p>
      <w:pPr>
        <w:pStyle w:val="ListParagraph"/>
        <w:numPr>
          <w:ilvl w:val="0"/>
          <w:numId w:val="1"/>
        </w:numPr>
        <w:spacing w:after="80"/>
      </w:pPr>
      <w:r>
        <w:rPr>
          <w:b/>
          <w:bCs/>
        </w:rPr>
        <w:t xml:space="preserve">Utilisateur, tech, modérateur</w:t>
      </w:r>
      <w:r>
        <w:t xml:space="preserve"> : le menu s'intitule « Proposer une classification ». La proposition part en attente et un modérateur la valide avant qu'elle n'apparaisse pour tout le monde.</w:t>
      </w:r>
    </w:p>
    <w:p>
      <w:pPr>
        <w:pStyle w:val="ListParagraph"/>
        <w:numPr>
          <w:ilvl w:val="0"/>
          <w:numId w:val="1"/>
        </w:numPr>
        <w:spacing w:after="80"/>
      </w:pPr>
      <w:r>
        <w:rPr>
          <w:b/>
          <w:bCs/>
        </w:rPr>
        <w:t xml:space="preserve">Manager, admin</w:t>
      </w:r>
      <w:r>
        <w:t xml:space="preserve"> : le menu s'intitule « Appliquer un tag ». Le badge est posé immédiatement.</w:t>
      </w:r>
    </w:p>
    <w:p>
      <w:pPr>
        <w:spacing w:after="60"/>
      </w:pPr>
    </w:p>
    <w:p>
      <w:pPr>
        <w:spacing w:after="140"/>
      </w:pPr>
      <w:r>
        <w:t xml:space="preserve">Un badge </w:t>
      </w:r>
      <w:r>
        <w:rPr>
          <w:b/>
          <w:bCs/>
        </w:rPr>
        <w:t xml:space="preserve">en attente</w:t>
      </w:r>
      <w:r>
        <w:t xml:space="preserve"> s'affiche en pointillé sur le hero jusqu'à la décision.</w:t>
      </w:r>
    </w:p>
    <w:p>
      <w:pPr>
        <w:pStyle w:val="Heading3"/>
        <w:spacing w:after="140" w:before="220"/>
      </w:pPr>
      <w:r>
        <w:t xml:space="preserve">Demander le retrait d'un badge</w:t>
      </w:r>
    </w:p>
    <w:p>
      <w:pPr>
        <w:pStyle w:val="ListParagraph"/>
        <w:numPr>
          <w:ilvl w:val="0"/>
          <w:numId w:val="1"/>
        </w:numPr>
        <w:spacing w:after="80"/>
      </w:pPr>
      <w:r>
        <w:rPr>
          <w:b/>
          <w:bCs/>
        </w:rPr>
        <w:t xml:space="preserve">Utilisateur, tech</w:t>
      </w:r>
      <w:r>
        <w:t xml:space="preserve"> : un bouton </w:t>
      </w:r>
      <w:r>
        <w:rPr>
          <w:b/>
          <w:bCs/>
        </w:rPr>
        <w:t xml:space="preserve">`−`</w:t>
      </w:r>
      <w:r>
        <w:t xml:space="preserve"> sur le badge crée une </w:t>
      </w:r>
      <w:r>
        <w:rPr>
          <w:b/>
          <w:bCs/>
        </w:rPr>
        <w:t xml:space="preserve">demande de retrait</w:t>
      </w:r>
      <w:r>
        <w:t xml:space="preserve">, validée ensuite par un modérateur.</w:t>
      </w:r>
    </w:p>
    <w:p>
      <w:pPr>
        <w:pStyle w:val="ListParagraph"/>
        <w:numPr>
          <w:ilvl w:val="0"/>
          <w:numId w:val="1"/>
        </w:numPr>
        <w:spacing w:after="80"/>
      </w:pPr>
      <w:r>
        <w:rPr>
          <w:b/>
          <w:bCs/>
        </w:rPr>
        <w:t xml:space="preserve">Modérateur et au-dessus</w:t>
      </w:r>
      <w:r>
        <w:t xml:space="preserve"> : un bouton </w:t>
      </w:r>
      <w:r>
        <w:rPr>
          <w:b/>
          <w:bCs/>
        </w:rPr>
        <w:t xml:space="preserve">`×`</w:t>
      </w:r>
      <w:r>
        <w:t xml:space="preserve"> supprime directement le badge.</w:t>
      </w:r>
    </w:p>
    <w:p>
      <w:pPr>
        <w:spacing w:after="60"/>
      </w:pPr>
    </w:p>
    <w:p>
      <w:pPr>
        <w:spacing w:after="140"/>
      </w:pPr>
      <w:r>
        <w:rPr>
          <w:b/>
          <w:bCs/>
        </w:rPr>
        <w:t xml:space="preserve">Délai de carence de 24 h</w:t>
      </w:r>
      <w:r>
        <w:t xml:space="preserve"> : si une demande de retrait a été </w:t>
      </w:r>
      <w:r>
        <w:rPr>
          <w:b/>
          <w:bCs/>
        </w:rPr>
        <w:t xml:space="preserve">refusée</w:t>
      </w:r>
      <w:r>
        <w:t xml:space="preserve">, une nouvelle demande sur le même tenant et la même balise est bloquée pendant 24 heures. Le bouton </w:t>
      </w:r>
      <w:r>
        <w:rPr>
          <w:rFonts w:ascii="Consolas" w:cs="Consolas" w:eastAsia="Consolas" w:hAnsi="Consolas"/>
          <w:sz w:val="19"/>
          <w:szCs w:val="19"/>
        </w:rPr>
        <w:t xml:space="preserve">−</w:t>
      </w:r>
      <w:r>
        <w:t xml:space="preserve"> est alors désactivé, avec l'infobulle « Suppression refusée récemment ».</w:t>
      </w:r>
    </w:p>
    <w:p>
      <w:pPr>
        <w:pStyle w:val="Heading3"/>
        <w:spacing w:after="140" w:before="220"/>
      </w:pPr>
      <w:r>
        <w:t xml:space="preserve">Tenant verrouillé</w:t>
      </w:r>
    </w:p>
    <w:p>
      <w:pPr>
        <w:spacing w:after="140"/>
      </w:pPr>
      <w:r>
        <w:t xml:space="preserve">Un manager peut </w:t>
      </w:r>
      <w:r>
        <w:rPr>
          <w:b/>
          <w:bCs/>
        </w:rPr>
        <w:t xml:space="preserve">verrouiller</w:t>
      </w:r>
      <w:r>
        <w:t xml:space="preserve"> un tenant, ou activer un </w:t>
      </w:r>
      <w:r>
        <w:rPr>
          <w:b/>
          <w:bCs/>
        </w:rPr>
        <w:t xml:space="preserve">verrouillage global</w:t>
      </w:r>
      <w:r>
        <w:t xml:space="preserve">. Dans ce cas :</w:t>
      </w:r>
    </w:p>
    <w:p>
      <w:pPr>
        <w:pStyle w:val="ListParagraph"/>
        <w:numPr>
          <w:ilvl w:val="0"/>
          <w:numId w:val="1"/>
        </w:numPr>
        <w:spacing w:after="80"/>
      </w:pPr>
      <w:r>
        <w:t xml:space="preserve">les boutons </w:t>
      </w:r>
      <w:r>
        <w:rPr>
          <w:rFonts w:ascii="Consolas" w:cs="Consolas" w:eastAsia="Consolas" w:hAnsi="Consolas"/>
          <w:sz w:val="19"/>
          <w:szCs w:val="19"/>
        </w:rPr>
        <w:t xml:space="preserve">+</w:t>
      </w:r>
      <w:r>
        <w:t xml:space="preserve"> et </w:t>
      </w:r>
      <w:r>
        <w:rPr>
          <w:rFonts w:ascii="Consolas" w:cs="Consolas" w:eastAsia="Consolas" w:hAnsi="Consolas"/>
          <w:sz w:val="19"/>
          <w:szCs w:val="19"/>
        </w:rPr>
        <w:t xml:space="preserve">−</w:t>
      </w:r>
      <w:r>
        <w:t xml:space="preserve"> ne répondent plus pour les rôles inférieurs à manager ;</w:t>
      </w:r>
    </w:p>
    <w:p>
      <w:pPr>
        <w:pStyle w:val="ListParagraph"/>
        <w:numPr>
          <w:ilvl w:val="0"/>
          <w:numId w:val="1"/>
        </w:numPr>
        <w:spacing w:after="80"/>
      </w:pPr>
      <w:r>
        <w:t xml:space="preserve">seuls les managers et les admins peuvent encore modifier la classification ;</w:t>
      </w:r>
    </w:p>
    <w:p>
      <w:pPr>
        <w:pStyle w:val="ListParagraph"/>
        <w:numPr>
          <w:ilvl w:val="0"/>
          <w:numId w:val="1"/>
        </w:numPr>
        <w:spacing w:after="80"/>
      </w:pPr>
      <w:r>
        <w:t xml:space="preserve">les modérateurs voient un badge « Verrouillé » à titre d'information.</w:t>
      </w:r>
    </w:p>
    <w:p>
      <w:pPr>
        <w:spacing w:after="60"/>
      </w:pPr>
    </w:p>
    <w:p>
      <w:pPr>
        <w:pStyle w:val="Heading3"/>
        <w:spacing w:after="140" w:before="220"/>
      </w:pPr>
      <w:r>
        <w:t xml:space="preserve">Pourquoi GDAP n'est pas posé automatiquement</w:t>
      </w:r>
    </w:p>
    <w:p>
      <w:pPr>
        <w:spacing w:after="140"/>
      </w:pPr>
      <w:r>
        <w:t xml:space="preserve">La pastille GDAP du hero est lue </w:t>
      </w:r>
      <w:r>
        <w:rPr>
          <w:b/>
          <w:bCs/>
        </w:rPr>
        <w:t xml:space="preserve">en direct</w:t>
      </w:r>
      <w:r>
        <w:t xml:space="preserve"> via Microsoft Graph à chaque analyse : elle reflète l'état réel, avec sa date de fin. Les badges </w:t>
      </w:r>
      <w:r>
        <w:rPr>
          <w:rFonts w:ascii="Consolas" w:cs="Consolas" w:eastAsia="Consolas" w:hAnsi="Consolas"/>
          <w:sz w:val="19"/>
          <w:szCs w:val="19"/>
        </w:rPr>
        <w:t xml:space="preserve">GDAP actif</w:t>
      </w:r>
      <w:r>
        <w:t xml:space="preserve"> / </w:t>
      </w:r>
      <w:r>
        <w:rPr>
          <w:rFonts w:ascii="Consolas" w:cs="Consolas" w:eastAsia="Consolas" w:hAnsi="Consolas"/>
          <w:sz w:val="19"/>
          <w:szCs w:val="19"/>
        </w:rPr>
        <w:t xml:space="preserve">GDAP : non</w:t>
      </w:r>
      <w:r>
        <w:t xml:space="preserve">, eux, sont posés à la main et ne s'expirent pas tout seuls. Quand les deux se contredisent, une pastille </w:t>
      </w:r>
      <w:r>
        <w:rPr>
          <w:b/>
          <w:bCs/>
        </w:rPr>
        <w:t xml:space="preserve">« Tag GDAP à revoir »</w:t>
      </w:r>
      <w:r>
        <w:t xml:space="preserve"> le signale sans rien corriger : la décision reste humaine.</w:t>
      </w:r>
    </w:p>
    <w:p>
      <w:pPr>
        <w:pStyle w:val="Heading2"/>
        <w:spacing w:after="140" w:before="320"/>
      </w:pPr>
      <w:r>
        <w:t xml:space="preserve">10. L'annuaire des tenants</w:t>
      </w:r>
    </w:p>
    <w:p>
      <w:pPr>
        <w:spacing w:after="140"/>
      </w:pPr>
      <w:r>
        <w:t xml:space="preserve">Le bouton en haut à droite de la barre noire ouvre le répertoire partagé des tenants déjà classés. Son libellé dépend du rôle :</w:t>
      </w:r>
    </w:p>
    <w:p>
      <w:pPr>
        <w:pStyle w:val="ListParagraph"/>
        <w:numPr>
          <w:ilvl w:val="0"/>
          <w:numId w:val="1"/>
        </w:numPr>
        <w:spacing w:after="80"/>
      </w:pPr>
      <w:r>
        <w:rPr>
          <w:b/>
          <w:bCs/>
        </w:rPr>
        <w:t xml:space="preserve">« Annuaire des tenants »</w:t>
      </w:r>
      <w:r>
        <w:t xml:space="preserve"> pour un utilisateur ou un tech ;</w:t>
      </w:r>
    </w:p>
    <w:p>
      <w:pPr>
        <w:pStyle w:val="ListParagraph"/>
        <w:numPr>
          <w:ilvl w:val="0"/>
          <w:numId w:val="1"/>
        </w:numPr>
        <w:spacing w:after="80"/>
      </w:pPr>
      <w:r>
        <w:rPr>
          <w:b/>
          <w:bCs/>
        </w:rPr>
        <w:t xml:space="preserve">« Administration »</w:t>
      </w:r>
      <w:r>
        <w:t xml:space="preserve"> pour un modérateur et au-dessus, l'annuaire devenant alors l'un des sous-onglets.</w:t>
      </w:r>
    </w:p>
    <w:p>
      <w:pPr>
        <w:spacing w:after="60"/>
      </w:pPr>
    </w:p>
    <w:p>
      <w:pPr>
        <w:spacing w:after="140"/>
      </w:pPr>
      <w:r>
        <w:t xml:space="preserve">L'annuaire se remplit </w:t>
      </w:r>
      <w:r>
        <w:rPr>
          <w:b/>
          <w:bCs/>
        </w:rPr>
        <w:t xml:space="preserve">automatiquement</w:t>
      </w:r>
      <w:r>
        <w:t xml:space="preserve"> à partir des classifications validées. On y trouve, par tenant : le domaine, le Tenant ID, les badges, et le marqueur « compte admin » s'il a été posé.</w:t>
      </w:r>
    </w:p>
    <w:p>
      <w:pPr>
        <w:spacing w:after="140"/>
      </w:pPr>
      <w:r>
        <w:t xml:space="preserve">Actions disponibles :</w:t>
      </w:r>
    </w:p>
    <w:p>
      <w:pPr>
        <w:pStyle w:val="ListParagraph"/>
        <w:numPr>
          <w:ilvl w:val="0"/>
          <w:numId w:val="1"/>
        </w:numPr>
        <w:spacing w:after="80"/>
      </w:pPr>
      <w:r>
        <w:rPr>
          <w:b/>
          <w:bCs/>
        </w:rPr>
        <w:t xml:space="preserve">filtrer</w:t>
      </w:r>
      <w:r>
        <w:t xml:space="preserve"> par type de balise avec les puces en haut ;</w:t>
      </w:r>
    </w:p>
    <w:p>
      <w:pPr>
        <w:pStyle w:val="ListParagraph"/>
        <w:numPr>
          <w:ilvl w:val="0"/>
          <w:numId w:val="1"/>
        </w:numPr>
        <w:spacing w:after="80"/>
      </w:pPr>
      <w:r>
        <w:rPr>
          <w:b/>
          <w:bCs/>
        </w:rPr>
        <w:t xml:space="preserve">rechercher</w:t>
      </w:r>
      <w:r>
        <w:t xml:space="preserve"> par domaine, par Tenant ID ou par nom de tag ;</w:t>
      </w:r>
    </w:p>
    <w:p>
      <w:pPr>
        <w:pStyle w:val="ListParagraph"/>
        <w:numPr>
          <w:ilvl w:val="0"/>
          <w:numId w:val="1"/>
        </w:numPr>
        <w:spacing w:after="80"/>
      </w:pPr>
      <w:r>
        <w:rPr>
          <w:b/>
          <w:bCs/>
        </w:rPr>
        <w:t xml:space="preserve">copier</w:t>
      </w:r>
      <w:r>
        <w:t xml:space="preserve"> le domaine ou le Tenant ID d'une ligne.</w:t>
      </w:r>
    </w:p>
    <w:p>
      <w:pPr>
        <w:spacing w:after="60"/>
      </w:pPr>
    </w:p>
    <w:p>
      <w:pPr>
        <w:spacing w:after="140"/>
      </w:pPr>
      <w:r>
        <w:t xml:space="preserve">Le compteur à côté du titre donne le nombre total de tenants référencés.</w:t>
      </w:r>
    </w:p>
    <w:p>
      <w:pPr>
        <w:pStyle w:val="Heading2"/>
        <w:spacing w:after="140" w:before="320"/>
      </w:pPr>
      <w:r>
        <w:t xml:space="preserve">11. L'historique des Tenant ID</w:t>
      </w:r>
    </w:p>
    <w:p>
      <w:pPr>
        <w:pStyle w:val="Heading3"/>
        <w:spacing w:after="140" w:before="220"/>
      </w:pPr>
      <w:r>
        <w:t xml:space="preserve">État par défaut : désactivé</w:t>
      </w:r>
    </w:p>
    <w:p>
      <w:pPr>
        <w:spacing w:after="140"/>
      </w:pPr>
      <w:r>
        <w:t xml:space="preserve">Rien n'est conservé d'une analyse à l'autre tant que l'historique n'est pas activé. C'est un choix délibéré : une liste de Tenant ID est une liste de clients.</w:t>
      </w:r>
    </w:p>
    <w:p>
      <w:pPr>
        <w:pStyle w:val="Heading3"/>
        <w:spacing w:after="140" w:before="220"/>
      </w:pPr>
      <w:r>
        <w:t xml:space="preserve">Activer et régler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325"/>
        <w:gridCol w:w="5701"/>
      </w:tblGrid>
      <w:tr>
        <w:trPr>
          <w:tblHeader/>
        </w:trPr>
        <w:tc>
          <w:tcPr>
            <w:tcW w:type="dxa" w:w="3325"/>
            <w:shd w:fill="EFEFEF" w:color="auto" w:val="clear"/>
            <w:tcMar>
              <w:top w:type="dxa" w:w="60"/>
              <w:left w:type="dxa" w:w="100"/>
              <w:bottom w:type="dxa" w:w="60"/>
              <w:right w:type="dxa" w:w="100"/>
            </w:tcMar>
          </w:tcPr>
          <w:p>
            <w:pPr>
              <w:spacing w:after="0" w:before="0"/>
            </w:pPr>
            <w:r>
              <w:rPr>
                <w:b/>
                <w:bCs/>
              </w:rPr>
              <w:t xml:space="preserve">Action</w:t>
            </w:r>
          </w:p>
        </w:tc>
        <w:tc>
          <w:tcPr>
            <w:tcW w:type="dxa" w:w="5701"/>
            <w:shd w:fill="EFEFEF" w:color="auto" w:val="clear"/>
            <w:tcMar>
              <w:top w:type="dxa" w:w="60"/>
              <w:left w:type="dxa" w:w="100"/>
              <w:bottom w:type="dxa" w:w="60"/>
              <w:right w:type="dxa" w:w="100"/>
            </w:tcMar>
          </w:tcPr>
          <w:p>
            <w:pPr>
              <w:spacing w:after="0" w:before="0"/>
            </w:pPr>
            <w:r>
              <w:rPr>
                <w:b/>
                <w:bCs/>
              </w:rPr>
              <w:t xml:space="preserve">Chemin</w:t>
            </w:r>
          </w:p>
        </w:tc>
      </w:tr>
      <w:tr>
        <w:trPr>
          <w:tblHeader w:val="false"/>
        </w:trPr>
        <w:tc>
          <w:tcPr>
            <w:tcW w:type="dxa" w:w="3325"/>
            <w:tcMar>
              <w:top w:type="dxa" w:w="60"/>
              <w:left w:type="dxa" w:w="100"/>
              <w:bottom w:type="dxa" w:w="60"/>
              <w:right w:type="dxa" w:w="100"/>
            </w:tcMar>
          </w:tcPr>
          <w:p>
            <w:pPr>
              <w:spacing w:after="0" w:before="0"/>
            </w:pPr>
            <w:r>
              <w:t xml:space="preserve">Activer ou désactiver</w:t>
            </w:r>
          </w:p>
        </w:tc>
        <w:tc>
          <w:tcPr>
            <w:tcW w:type="dxa" w:w="5701"/>
            <w:tcMar>
              <w:top w:type="dxa" w:w="60"/>
              <w:left w:type="dxa" w:w="100"/>
              <w:bottom w:type="dxa" w:w="60"/>
              <w:right w:type="dxa" w:w="100"/>
            </w:tcMar>
          </w:tcPr>
          <w:p>
            <w:pPr>
              <w:spacing w:after="0" w:before="0"/>
            </w:pPr>
            <w:r>
              <w:rPr>
                <w:rFonts w:ascii="Consolas" w:cs="Consolas" w:eastAsia="Consolas" w:hAnsi="Consolas"/>
                <w:sz w:val="19"/>
                <w:szCs w:val="19"/>
              </w:rPr>
              <w:t xml:space="preserve">Paramètres &amp; Confidentialité &gt; Gestion d'historique</w:t>
            </w:r>
            <w:r>
              <w:t xml:space="preserve"> (interrupteur)</w:t>
            </w:r>
          </w:p>
        </w:tc>
      </w:tr>
      <w:tr>
        <w:trPr>
          <w:tblHeader w:val="false"/>
        </w:trPr>
        <w:tc>
          <w:tcPr>
            <w:tcW w:type="dxa" w:w="3325"/>
            <w:tcMar>
              <w:top w:type="dxa" w:w="60"/>
              <w:left w:type="dxa" w:w="100"/>
              <w:bottom w:type="dxa" w:w="60"/>
              <w:right w:type="dxa" w:w="100"/>
            </w:tcMar>
          </w:tcPr>
          <w:p>
            <w:pPr>
              <w:spacing w:after="0" w:before="0"/>
            </w:pPr>
            <w:r>
              <w:t xml:space="preserve">Nombre maximum de tenants conservés</w:t>
            </w:r>
          </w:p>
        </w:tc>
        <w:tc>
          <w:tcPr>
            <w:tcW w:type="dxa" w:w="5701"/>
            <w:tcMar>
              <w:top w:type="dxa" w:w="60"/>
              <w:left w:type="dxa" w:w="100"/>
              <w:bottom w:type="dxa" w:w="60"/>
              <w:right w:type="dxa" w:w="100"/>
            </w:tcMar>
          </w:tcPr>
          <w:p>
            <w:pPr>
              <w:spacing w:after="0" w:before="0"/>
            </w:pPr>
            <w:r>
              <w:rPr>
                <w:rFonts w:ascii="Consolas" w:cs="Consolas" w:eastAsia="Consolas" w:hAnsi="Consolas"/>
                <w:sz w:val="19"/>
                <w:szCs w:val="19"/>
              </w:rPr>
              <w:t xml:space="preserve">Profils &gt; TenantPulse &gt; Rétention de l'historique</w:t>
            </w:r>
            <w:r>
              <w:t xml:space="preserve"> (curseur, 0 à 40, défaut 20)</w:t>
            </w:r>
          </w:p>
        </w:tc>
      </w:tr>
      <w:tr>
        <w:trPr>
          <w:tblHeader w:val="false"/>
        </w:trPr>
        <w:tc>
          <w:tcPr>
            <w:tcW w:type="dxa" w:w="3325"/>
            <w:tcMar>
              <w:top w:type="dxa" w:w="60"/>
              <w:left w:type="dxa" w:w="100"/>
              <w:bottom w:type="dxa" w:w="60"/>
              <w:right w:type="dxa" w:w="100"/>
            </w:tcMar>
          </w:tcPr>
          <w:p>
            <w:pPr>
              <w:spacing w:after="0" w:before="0"/>
            </w:pPr>
            <w:r>
              <w:t xml:space="preserve">Durée de conservation</w:t>
            </w:r>
          </w:p>
        </w:tc>
        <w:tc>
          <w:tcPr>
            <w:tcW w:type="dxa" w:w="5701"/>
            <w:tcMar>
              <w:top w:type="dxa" w:w="60"/>
              <w:left w:type="dxa" w:w="100"/>
              <w:bottom w:type="dxa" w:w="60"/>
              <w:right w:type="dxa" w:w="100"/>
            </w:tcMar>
          </w:tcPr>
          <w:p>
            <w:pPr>
              <w:spacing w:after="0" w:before="0"/>
            </w:pPr>
            <w:r>
              <w:rPr>
                <w:rFonts w:ascii="Consolas" w:cs="Consolas" w:eastAsia="Consolas" w:hAnsi="Consolas"/>
                <w:sz w:val="19"/>
                <w:szCs w:val="19"/>
              </w:rPr>
              <w:t xml:space="preserve">Profils &gt; TenantPulse &gt; Rétention de l'historique</w:t>
            </w:r>
            <w:r>
              <w:t xml:space="preserve"> (curseur)</w:t>
            </w:r>
          </w:p>
        </w:tc>
      </w:tr>
    </w:tbl>
    <w:p>
      <w:pPr>
        <w:spacing w:after="120"/>
      </w:pPr>
    </w:p>
    <w:p>
      <w:pPr>
        <w:spacing w:after="140"/>
      </w:pPr>
      <w:r>
        <w:t xml:space="preserve">Les durées disponibles, dans l'ordre du curseur : 5 min, 15 min, 30 min, 1 h, 3 h, 6 h, 12 h, </w:t>
      </w:r>
      <w:r>
        <w:rPr>
          <w:b/>
          <w:bCs/>
        </w:rPr>
        <w:t xml:space="preserve">24 h (défaut)</w:t>
      </w:r>
      <w:r>
        <w:t xml:space="preserve">, 3 jours, 7 jours, 14 jours, 30 jours, 90 jours, </w:t>
      </w:r>
      <w:r>
        <w:rPr>
          <w:b/>
          <w:bCs/>
        </w:rPr>
        <w:t xml:space="preserve">Illimité</w:t>
      </w:r>
      <w:r>
        <w:t xml:space="preserve">.</w:t>
      </w:r>
    </w:p>
    <w:p>
      <w:pPr>
        <w:spacing w:after="140"/>
      </w:pPr>
      <w:r>
        <w:t xml:space="preserve">L'option « Illimité » affiche un avertissement. La raison : en cas de compromission du navigateur (extension malveillante, vol du profil sur un poste compromis), les Tenant ID conservés révèlent le portefeuille de clients.</w:t>
      </w:r>
    </w:p>
    <w:p>
      <w:pPr>
        <w:pStyle w:val="Heading3"/>
        <w:spacing w:after="140" w:before="220"/>
      </w:pPr>
      <w:r>
        <w:t xml:space="preserve">Quand le nettoyage a lieu</w:t>
      </w:r>
    </w:p>
    <w:p>
      <w:pPr>
        <w:spacing w:after="140"/>
      </w:pPr>
      <w:r>
        <w:t xml:space="preserve">Les entrées expirées sont purgées </w:t>
      </w:r>
      <w:r>
        <w:rPr>
          <w:b/>
          <w:bCs/>
        </w:rPr>
        <w:t xml:space="preserve">à l'ouverture de l'application</w:t>
      </w:r>
      <w:r>
        <w:t xml:space="preserve">, </w:t>
      </w:r>
      <w:r>
        <w:rPr>
          <w:b/>
          <w:bCs/>
        </w:rPr>
        <w:t xml:space="preserve">à chaque analyse enregistrée</w:t>
      </w:r>
      <w:r>
        <w:t xml:space="preserve"> et </w:t>
      </w:r>
      <w:r>
        <w:rPr>
          <w:b/>
          <w:bCs/>
        </w:rPr>
        <w:t xml:space="preserve">au changement de durée de conservation</w:t>
      </w:r>
      <w:r>
        <w:t xml:space="preserve">. Rien n'est nettoyé pendant que l'application est fermée : une purge attendue peut donc n'être visible qu'au prochain lancement.</w:t>
      </w:r>
    </w:p>
    <w:p>
      <w:pPr>
        <w:pStyle w:val="Heading3"/>
        <w:spacing w:after="140" w:before="220"/>
      </w:pPr>
      <w:r>
        <w:t xml:space="preserve">Désactiver l'historique</w:t>
      </w:r>
    </w:p>
    <w:p>
      <w:pPr>
        <w:spacing w:after="140"/>
      </w:pPr>
      <w:r>
        <w:t xml:space="preserve">À la désactivation, trois choix sont proposés :</w:t>
      </w:r>
    </w:p>
    <w:p>
      <w:pPr>
        <w:pStyle w:val="ListParagraph"/>
        <w:numPr>
          <w:ilvl w:val="0"/>
          <w:numId w:val="1"/>
        </w:numPr>
        <w:spacing w:after="80"/>
      </w:pPr>
      <w:r>
        <w:rPr>
          <w:b/>
          <w:bCs/>
        </w:rPr>
        <w:t xml:space="preserve">Désactiver et supprimer les données</w:t>
      </w:r>
      <w:r>
        <w:t xml:space="preserve"> : l'historique existant est effacé ;</w:t>
      </w:r>
    </w:p>
    <w:p>
      <w:pPr>
        <w:pStyle w:val="ListParagraph"/>
        <w:numPr>
          <w:ilvl w:val="0"/>
          <w:numId w:val="1"/>
        </w:numPr>
        <w:spacing w:after="80"/>
      </w:pPr>
      <w:r>
        <w:rPr>
          <w:b/>
          <w:bCs/>
        </w:rPr>
        <w:t xml:space="preserve">Désactiver sans supprimer</w:t>
      </w:r>
      <w:r>
        <w:t xml:space="preserve"> : les données restent, mais plus rien n'est ajouté ;</w:t>
      </w:r>
    </w:p>
    <w:p>
      <w:pPr>
        <w:pStyle w:val="ListParagraph"/>
        <w:numPr>
          <w:ilvl w:val="0"/>
          <w:numId w:val="1"/>
        </w:numPr>
        <w:spacing w:after="80"/>
      </w:pPr>
      <w:r>
        <w:rPr>
          <w:b/>
          <w:bCs/>
        </w:rPr>
        <w:t xml:space="preserve">Annuler</w:t>
      </w:r>
      <w:r>
        <w:t xml:space="preserve">.</w:t>
      </w:r>
    </w:p>
    <w:p>
      <w:pPr>
        <w:spacing w:after="60"/>
      </w:pPr>
    </w:p>
    <w:p>
      <w:pPr>
        <w:pStyle w:val="Heading3"/>
        <w:spacing w:after="140" w:before="220"/>
      </w:pPr>
      <w:r>
        <w:t xml:space="preserve">L'indicateur de cache</w:t>
      </w:r>
    </w:p>
    <w:p>
      <w:pPr>
        <w:spacing w:after="140"/>
      </w:pPr>
      <w:r>
        <w:t xml:space="preserve">La pastille en haut de la barre noire résume l'état :</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112"/>
        <w:gridCol w:w="5914"/>
      </w:tblGrid>
      <w:tr>
        <w:trPr>
          <w:tblHeader/>
        </w:trPr>
        <w:tc>
          <w:tcPr>
            <w:tcW w:type="dxa" w:w="3112"/>
            <w:shd w:fill="EFEFEF" w:color="auto" w:val="clear"/>
            <w:tcMar>
              <w:top w:type="dxa" w:w="60"/>
              <w:left w:type="dxa" w:w="100"/>
              <w:bottom w:type="dxa" w:w="60"/>
              <w:right w:type="dxa" w:w="100"/>
            </w:tcMar>
          </w:tcPr>
          <w:p>
            <w:pPr>
              <w:spacing w:after="0" w:before="0"/>
            </w:pPr>
            <w:r>
              <w:rPr>
                <w:b/>
                <w:bCs/>
              </w:rPr>
              <w:t xml:space="preserve">Affichage</w:t>
            </w:r>
          </w:p>
        </w:tc>
        <w:tc>
          <w:tcPr>
            <w:tcW w:type="dxa" w:w="5914"/>
            <w:shd w:fill="EFEFEF" w:color="auto" w:val="clear"/>
            <w:tcMar>
              <w:top w:type="dxa" w:w="60"/>
              <w:left w:type="dxa" w:w="100"/>
              <w:bottom w:type="dxa" w:w="60"/>
              <w:right w:type="dxa" w:w="100"/>
            </w:tcMar>
          </w:tcPr>
          <w:p>
            <w:pPr>
              <w:spacing w:after="0" w:before="0"/>
            </w:pPr>
            <w:r>
              <w:rPr>
                <w:b/>
                <w:bCs/>
              </w:rPr>
              <w:t xml:space="preserve">Signification</w:t>
            </w:r>
          </w:p>
        </w:tc>
      </w:tr>
      <w:tr>
        <w:trPr>
          <w:tblHeader w:val="false"/>
        </w:trPr>
        <w:tc>
          <w:tcPr>
            <w:tcW w:type="dxa" w:w="3112"/>
            <w:tcMar>
              <w:top w:type="dxa" w:w="60"/>
              <w:left w:type="dxa" w:w="100"/>
              <w:bottom w:type="dxa" w:w="60"/>
              <w:right w:type="dxa" w:w="100"/>
            </w:tcMar>
          </w:tcPr>
          <w:p>
            <w:pPr>
              <w:spacing w:after="0" w:before="0"/>
            </w:pPr>
            <w:r>
              <w:rPr>
                <w:b/>
                <w:bCs/>
              </w:rPr>
              <w:t xml:space="preserve">X entrée(s) en cache</w:t>
            </w:r>
          </w:p>
        </w:tc>
        <w:tc>
          <w:tcPr>
            <w:tcW w:type="dxa" w:w="5914"/>
            <w:tcMar>
              <w:top w:type="dxa" w:w="60"/>
              <w:left w:type="dxa" w:w="100"/>
              <w:bottom w:type="dxa" w:w="60"/>
              <w:right w:type="dxa" w:w="100"/>
            </w:tcMar>
          </w:tcPr>
          <w:p>
            <w:pPr>
              <w:spacing w:after="0" w:before="0"/>
            </w:pPr>
            <w:r>
              <w:t xml:space="preserve">Historique activé, données présentes</w:t>
            </w:r>
          </w:p>
        </w:tc>
      </w:tr>
      <w:tr>
        <w:trPr>
          <w:tblHeader w:val="false"/>
        </w:trPr>
        <w:tc>
          <w:tcPr>
            <w:tcW w:type="dxa" w:w="3112"/>
            <w:tcMar>
              <w:top w:type="dxa" w:w="60"/>
              <w:left w:type="dxa" w:w="100"/>
              <w:bottom w:type="dxa" w:w="60"/>
              <w:right w:type="dxa" w:w="100"/>
            </w:tcMar>
          </w:tcPr>
          <w:p>
            <w:pPr>
              <w:spacing w:after="0" w:before="0"/>
            </w:pPr>
            <w:r>
              <w:rPr>
                <w:b/>
                <w:bCs/>
              </w:rPr>
              <w:t xml:space="preserve">Cache vide</w:t>
            </w:r>
          </w:p>
        </w:tc>
        <w:tc>
          <w:tcPr>
            <w:tcW w:type="dxa" w:w="5914"/>
            <w:tcMar>
              <w:top w:type="dxa" w:w="60"/>
              <w:left w:type="dxa" w:w="100"/>
              <w:bottom w:type="dxa" w:w="60"/>
              <w:right w:type="dxa" w:w="100"/>
            </w:tcMar>
          </w:tcPr>
          <w:p>
            <w:pPr>
              <w:spacing w:after="0" w:before="0"/>
            </w:pPr>
            <w:r>
              <w:t xml:space="preserve">Activé, aucune entrée</w:t>
            </w:r>
          </w:p>
        </w:tc>
      </w:tr>
      <w:tr>
        <w:trPr>
          <w:tblHeader w:val="false"/>
        </w:trPr>
        <w:tc>
          <w:tcPr>
            <w:tcW w:type="dxa" w:w="3112"/>
            <w:tcMar>
              <w:top w:type="dxa" w:w="60"/>
              <w:left w:type="dxa" w:w="100"/>
              <w:bottom w:type="dxa" w:w="60"/>
              <w:right w:type="dxa" w:w="100"/>
            </w:tcMar>
          </w:tcPr>
          <w:p>
            <w:pPr>
              <w:spacing w:after="0" w:before="0"/>
            </w:pPr>
            <w:r>
              <w:rPr>
                <w:b/>
                <w:bCs/>
              </w:rPr>
              <w:t xml:space="preserve">Cache désactivé</w:t>
            </w:r>
          </w:p>
        </w:tc>
        <w:tc>
          <w:tcPr>
            <w:tcW w:type="dxa" w:w="5914"/>
            <w:tcMar>
              <w:top w:type="dxa" w:w="60"/>
              <w:left w:type="dxa" w:w="100"/>
              <w:bottom w:type="dxa" w:w="60"/>
              <w:right w:type="dxa" w:w="100"/>
            </w:tcMar>
          </w:tcPr>
          <w:p>
            <w:pPr>
              <w:spacing w:after="0" w:before="0"/>
            </w:pPr>
            <w:r>
              <w:t xml:space="preserve">Désactivé, mais des données subsistent</w:t>
            </w:r>
          </w:p>
        </w:tc>
      </w:tr>
      <w:tr>
        <w:trPr>
          <w:tblHeader w:val="false"/>
        </w:trPr>
        <w:tc>
          <w:tcPr>
            <w:tcW w:type="dxa" w:w="3112"/>
            <w:tcMar>
              <w:top w:type="dxa" w:w="60"/>
              <w:left w:type="dxa" w:w="100"/>
              <w:bottom w:type="dxa" w:w="60"/>
              <w:right w:type="dxa" w:w="100"/>
            </w:tcMar>
          </w:tcPr>
          <w:p>
            <w:pPr>
              <w:spacing w:after="0" w:before="0"/>
            </w:pPr>
            <w:r>
              <w:rPr>
                <w:b/>
                <w:bCs/>
              </w:rPr>
              <w:t xml:space="preserve">Cache inactif</w:t>
            </w:r>
          </w:p>
        </w:tc>
        <w:tc>
          <w:tcPr>
            <w:tcW w:type="dxa" w:w="5914"/>
            <w:tcMar>
              <w:top w:type="dxa" w:w="60"/>
              <w:left w:type="dxa" w:w="100"/>
              <w:bottom w:type="dxa" w:w="60"/>
              <w:right w:type="dxa" w:w="100"/>
            </w:tcMar>
          </w:tcPr>
          <w:p>
            <w:pPr>
              <w:spacing w:after="0" w:before="0"/>
            </w:pPr>
            <w:r>
              <w:t xml:space="preserve">Désactivé et aucune donnée</w:t>
            </w:r>
          </w:p>
        </w:tc>
      </w:tr>
      <w:tr>
        <w:trPr>
          <w:tblHeader w:val="false"/>
        </w:trPr>
        <w:tc>
          <w:tcPr>
            <w:tcW w:type="dxa" w:w="3112"/>
            <w:tcMar>
              <w:top w:type="dxa" w:w="60"/>
              <w:left w:type="dxa" w:w="100"/>
              <w:bottom w:type="dxa" w:w="60"/>
              <w:right w:type="dxa" w:w="100"/>
            </w:tcMar>
          </w:tcPr>
          <w:p>
            <w:pPr>
              <w:spacing w:after="0" w:before="0"/>
            </w:pPr>
            <w:r>
              <w:rPr>
                <w:b/>
                <w:bCs/>
              </w:rPr>
              <w:t xml:space="preserve">Suppression...</w:t>
            </w:r>
          </w:p>
        </w:tc>
        <w:tc>
          <w:tcPr>
            <w:tcW w:type="dxa" w:w="5914"/>
            <w:tcMar>
              <w:top w:type="dxa" w:w="60"/>
              <w:left w:type="dxa" w:w="100"/>
              <w:bottom w:type="dxa" w:w="60"/>
              <w:right w:type="dxa" w:w="100"/>
            </w:tcMar>
          </w:tcPr>
          <w:p>
            <w:pPr>
              <w:spacing w:after="0" w:before="0"/>
            </w:pPr>
            <w:r>
              <w:t xml:space="preserve">Vidage en cours</w:t>
            </w:r>
          </w:p>
        </w:tc>
      </w:tr>
    </w:tbl>
    <w:p>
      <w:pPr>
        <w:spacing w:after="120"/>
      </w:pPr>
    </w:p>
    <w:p>
      <w:pPr>
        <w:pStyle w:val="Heading3"/>
        <w:spacing w:after="140" w:before="220"/>
      </w:pPr>
      <w:r>
        <w:t xml:space="preserve">Consulter l'historique</w:t>
      </w:r>
    </w:p>
    <w:p>
      <w:pPr>
        <w:spacing w:after="140"/>
      </w:pPr>
      <w:r>
        <w:t xml:space="preserve">Bloc </w:t>
      </w:r>
      <w:r>
        <w:rPr>
          <w:b/>
          <w:bCs/>
        </w:rPr>
        <w:t xml:space="preserve">« Historique des Tenant ID »</w:t>
      </w:r>
      <w:r>
        <w:t xml:space="preserve"> dans la colonne de gauche. Chaque ligne donne le domaine, un Tenant ID abrégé (copiable), l'ancienneté de l'analyse, et une pastille si un compte admin a été marqué sur ce tenant. Un clic sur une ligne recharge l'analyse. Le bouton </w:t>
      </w:r>
      <w:r>
        <w:rPr>
          <w:b/>
          <w:bCs/>
        </w:rPr>
        <w:t xml:space="preserve">« Effacer l'historique »</w:t>
      </w:r>
      <w:r>
        <w:t xml:space="preserve"> vide le bloc.</w:t>
      </w:r>
    </w:p>
    <w:p>
      <w:pPr>
        <w:pStyle w:val="Heading2"/>
        <w:spacing w:after="140" w:before="320"/>
      </w:pPr>
      <w:r>
        <w:t xml:space="preserve">12. Microsoft Graph : nom du tenant, posture, GDAP</w:t>
      </w:r>
    </w:p>
    <w:p>
      <w:pPr>
        <w:pStyle w:val="Heading3"/>
        <w:spacing w:after="140" w:before="220"/>
      </w:pPr>
      <w:r>
        <w:t xml:space="preserve">À quoi sert la connexion Graph</w:t>
      </w:r>
    </w:p>
    <w:p>
      <w:pPr>
        <w:spacing w:after="140"/>
      </w:pPr>
      <w:r>
        <w:t xml:space="preserve">C'est un </w:t>
      </w:r>
      <w:r>
        <w:rPr>
          <w:b/>
          <w:bCs/>
        </w:rPr>
        <w:t xml:space="preserve">enrichissement optionnel</w:t>
      </w:r>
      <w:r>
        <w:t xml:space="preserve"> : l'application fonctionne entièrement sans lui. Une fois connecté, chaque analyse ajoute :</w:t>
      </w:r>
    </w:p>
    <w:p>
      <w:pPr>
        <w:pStyle w:val="ListParagraph"/>
        <w:numPr>
          <w:ilvl w:val="0"/>
          <w:numId w:val="1"/>
        </w:numPr>
        <w:spacing w:after="80"/>
      </w:pPr>
      <w:r>
        <w:t xml:space="preserve">le </w:t>
      </w:r>
      <w:r>
        <w:rPr>
          <w:b/>
          <w:bCs/>
        </w:rPr>
        <w:t xml:space="preserve">nom du tenant</w:t>
      </w:r>
      <w:r>
        <w:t xml:space="preserve"> et son domaine par défaut dans le hero ;</w:t>
      </w:r>
    </w:p>
    <w:p>
      <w:pPr>
        <w:pStyle w:val="ListParagraph"/>
        <w:numPr>
          <w:ilvl w:val="0"/>
          <w:numId w:val="1"/>
        </w:numPr>
        <w:spacing w:after="80"/>
      </w:pPr>
      <w:r>
        <w:t xml:space="preserve">une </w:t>
      </w:r>
      <w:r>
        <w:rPr>
          <w:b/>
          <w:bCs/>
        </w:rPr>
        <w:t xml:space="preserve">pastille GDAP</w:t>
      </w:r>
      <w:r>
        <w:t xml:space="preserve"> avec l'état et la date de fin de la relation déléguée ;</w:t>
      </w:r>
    </w:p>
    <w:p>
      <w:pPr>
        <w:pStyle w:val="ListParagraph"/>
        <w:numPr>
          <w:ilvl w:val="0"/>
          <w:numId w:val="1"/>
        </w:numPr>
        <w:spacing w:after="80"/>
      </w:pPr>
      <w:r>
        <w:t xml:space="preserve">une carte </w:t>
      </w:r>
      <w:r>
        <w:rPr>
          <w:b/>
          <w:bCs/>
        </w:rPr>
        <w:t xml:space="preserve">Posture</w:t>
      </w:r>
      <w:r>
        <w:t xml:space="preserve"> résumant la sécurité du tenant client ;</w:t>
      </w:r>
    </w:p>
    <w:p>
      <w:pPr>
        <w:pStyle w:val="ListParagraph"/>
        <w:numPr>
          <w:ilvl w:val="0"/>
          <w:numId w:val="1"/>
        </w:numPr>
        <w:spacing w:after="80"/>
      </w:pPr>
      <w:r>
        <w:t xml:space="preserve">le bloc </w:t>
      </w:r>
      <w:r>
        <w:rPr>
          <w:b/>
          <w:bCs/>
        </w:rPr>
        <w:t xml:space="preserve">Recherche utilisateur</w:t>
      </w:r>
      <w:r>
        <w:t xml:space="preserve"> dans la colonne de gauche (voir section 13).</w:t>
      </w:r>
    </w:p>
    <w:p>
      <w:pPr>
        <w:spacing w:after="60"/>
      </w:pPr>
    </w:p>
    <w:p>
      <w:pPr>
        <w:pStyle w:val="Heading3"/>
        <w:spacing w:after="140" w:before="220"/>
      </w:pPr>
      <w:r>
        <w:t xml:space="preserve">Qui y a droit</w:t>
      </w:r>
    </w:p>
    <w:p>
      <w:pPr>
        <w:spacing w:after="140"/>
      </w:pPr>
      <w:r>
        <w:t xml:space="preserve">Par défaut, Graph est réservé aux rôles </w:t>
      </w:r>
      <w:r>
        <w:rPr>
          <w:b/>
          <w:bCs/>
        </w:rPr>
        <w:t xml:space="preserve">manager</w:t>
      </w:r>
      <w:r>
        <w:t xml:space="preserve"> et </w:t>
      </w:r>
      <w:r>
        <w:rPr>
          <w:b/>
          <w:bCs/>
        </w:rPr>
        <w:t xml:space="preserve">admin</w:t>
      </w:r>
      <w:r>
        <w:t xml:space="preserve">. Un admin peut, depuis </w:t>
      </w:r>
      <w:r>
        <w:rPr>
          <w:rFonts w:ascii="Consolas" w:cs="Consolas" w:eastAsia="Consolas" w:hAnsi="Consolas"/>
          <w:sz w:val="19"/>
          <w:szCs w:val="19"/>
        </w:rPr>
        <w:t xml:space="preserve">Administration &gt; Accès Graph</w:t>
      </w:r>
      <w:r>
        <w:t xml:space="preserve"> :</w:t>
      </w:r>
    </w:p>
    <w:p>
      <w:pPr>
        <w:pStyle w:val="ListParagraph"/>
        <w:numPr>
          <w:ilvl w:val="0"/>
          <w:numId w:val="1"/>
        </w:numPr>
        <w:spacing w:after="80"/>
      </w:pPr>
      <w:r>
        <w:t xml:space="preserve">ouvrir Graph à </w:t>
      </w:r>
      <w:r>
        <w:rPr>
          <w:b/>
          <w:bCs/>
        </w:rPr>
        <w:t xml:space="preserve">tout utilisateur connecté et non bloqué</w:t>
      </w:r>
      <w:r>
        <w:t xml:space="preserve"> (mode global) ;</w:t>
      </w:r>
    </w:p>
    <w:p>
      <w:pPr>
        <w:pStyle w:val="ListParagraph"/>
        <w:numPr>
          <w:ilvl w:val="0"/>
          <w:numId w:val="1"/>
        </w:numPr>
        <w:spacing w:after="80"/>
      </w:pPr>
      <w:r>
        <w:t xml:space="preserve">ou ouvrir l'accès </w:t>
      </w:r>
      <w:r>
        <w:rPr>
          <w:b/>
          <w:bCs/>
        </w:rPr>
        <w:t xml:space="preserve">nominativement</w:t>
      </w:r>
      <w:r>
        <w:t xml:space="preserve">, adresse par adresse, sans changer le rôle.</w:t>
      </w:r>
    </w:p>
    <w:p>
      <w:pPr>
        <w:spacing w:after="60"/>
      </w:pPr>
    </w:p>
    <w:p>
      <w:pPr>
        <w:spacing w:after="140"/>
      </w:pPr>
      <w:r>
        <w:t xml:space="preserve">Si vous n'y avez pas droit, </w:t>
      </w:r>
      <w:r>
        <w:rPr>
          <w:b/>
          <w:bCs/>
        </w:rPr>
        <w:t xml:space="preserve">le bouton n'apparaît tout simplement pas</w:t>
      </w:r>
      <w:r>
        <w:t xml:space="preserve"> : ce n'est pas un bug d'affichage, le serveur ne fournit pas l'identifiant nécessaire.</w:t>
      </w:r>
    </w:p>
    <w:p>
      <w:pPr>
        <w:pStyle w:val="Heading3"/>
        <w:spacing w:after="140" w:before="220"/>
      </w:pPr>
      <w:r>
        <w:t xml:space="preserve">Se connecter et se déconnecter</w:t>
      </w:r>
    </w:p>
    <w:p>
      <w:pPr>
        <w:spacing w:after="140"/>
      </w:pPr>
      <w:r>
        <w:t xml:space="preserve">Le bouton </w:t>
      </w:r>
      <w:r>
        <w:rPr>
          <w:b/>
          <w:bCs/>
        </w:rPr>
        <w:t xml:space="preserve">« Connexion Graph »</w:t>
      </w:r>
      <w:r>
        <w:t xml:space="preserve"> est dans la barre noire, en haut. Il redirige vers la connexion Microsoft, puis revient sur l'application. Une fois connecté, la pastille passe en </w:t>
      </w:r>
      <w:r>
        <w:rPr>
          <w:b/>
          <w:bCs/>
        </w:rPr>
        <w:t xml:space="preserve">« Graph connecté »</w:t>
      </w:r>
      <w:r>
        <w:t xml:space="preserve"> ; cliquer dessus permet de se déconnecter.</w:t>
      </w:r>
    </w:p>
    <w:p>
      <w:pPr>
        <w:spacing w:after="140"/>
      </w:pPr>
      <w:r>
        <w:t xml:space="preserve">La session Graph ne survit pas à la fermeture de l'onglet. Si un admin retire votre accès, la session en cours est coupée immédiatement.</w:t>
      </w:r>
    </w:p>
    <w:p>
      <w:pPr>
        <w:pStyle w:val="Heading3"/>
        <w:spacing w:after="140" w:before="220"/>
      </w:pPr>
      <w:r>
        <w:t xml:space="preserve">Ce que contient la carte Posture</w:t>
      </w:r>
    </w:p>
    <w:p>
      <w:pPr>
        <w:spacing w:after="140"/>
      </w:pPr>
      <w:r>
        <w:t xml:space="preserve">Les rubriques défilent dans un carrousel ; un clic ouvre le détail :</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41"/>
        <w:gridCol w:w="6085"/>
      </w:tblGrid>
      <w:tr>
        <w:trPr>
          <w:tblHeader/>
        </w:trPr>
        <w:tc>
          <w:tcPr>
            <w:tcW w:type="dxa" w:w="2941"/>
            <w:shd w:fill="EFEFEF" w:color="auto" w:val="clear"/>
            <w:tcMar>
              <w:top w:type="dxa" w:w="60"/>
              <w:left w:type="dxa" w:w="100"/>
              <w:bottom w:type="dxa" w:w="60"/>
              <w:right w:type="dxa" w:w="100"/>
            </w:tcMar>
          </w:tcPr>
          <w:p>
            <w:pPr>
              <w:spacing w:after="0" w:before="0"/>
            </w:pPr>
            <w:r>
              <w:rPr>
                <w:b/>
                <w:bCs/>
              </w:rPr>
              <w:t xml:space="preserve">Rubrique</w:t>
            </w:r>
          </w:p>
        </w:tc>
        <w:tc>
          <w:tcPr>
            <w:tcW w:type="dxa" w:w="6085"/>
            <w:shd w:fill="EFEFEF" w:color="auto" w:val="clear"/>
            <w:tcMar>
              <w:top w:type="dxa" w:w="60"/>
              <w:left w:type="dxa" w:w="100"/>
              <w:bottom w:type="dxa" w:w="60"/>
              <w:right w:type="dxa" w:w="100"/>
            </w:tcMar>
          </w:tcPr>
          <w:p>
            <w:pPr>
              <w:spacing w:after="0" w:before="0"/>
            </w:pPr>
            <w:r>
              <w:rPr>
                <w:b/>
                <w:bCs/>
              </w:rPr>
              <w:t xml:space="preserve">Contenu</w:t>
            </w:r>
          </w:p>
        </w:tc>
      </w:tr>
      <w:tr>
        <w:trPr>
          <w:tblHeader w:val="false"/>
        </w:trPr>
        <w:tc>
          <w:tcPr>
            <w:tcW w:type="dxa" w:w="2941"/>
            <w:tcMar>
              <w:top w:type="dxa" w:w="60"/>
              <w:left w:type="dxa" w:w="100"/>
              <w:bottom w:type="dxa" w:w="60"/>
              <w:right w:type="dxa" w:w="100"/>
            </w:tcMar>
          </w:tcPr>
          <w:p>
            <w:pPr>
              <w:spacing w:after="0" w:before="0"/>
            </w:pPr>
            <w:r>
              <w:rPr>
                <w:b/>
                <w:bCs/>
              </w:rPr>
              <w:t xml:space="preserve">Niveau de sécurité</w:t>
            </w:r>
          </w:p>
        </w:tc>
        <w:tc>
          <w:tcPr>
            <w:tcW w:type="dxa" w:w="6085"/>
            <w:tcMar>
              <w:top w:type="dxa" w:w="60"/>
              <w:left w:type="dxa" w:w="100"/>
              <w:bottom w:type="dxa" w:w="60"/>
              <w:right w:type="dxa" w:w="100"/>
            </w:tcMar>
          </w:tcPr>
          <w:p>
            <w:pPr>
              <w:spacing w:after="0" w:before="0"/>
            </w:pPr>
            <w:r>
              <w:t xml:space="preserve">Secure Score Microsoft du tenant, en pourcentage. Moyenne PME indiquée : 45 %.</w:t>
            </w:r>
          </w:p>
        </w:tc>
      </w:tr>
      <w:tr>
        <w:trPr>
          <w:tblHeader w:val="false"/>
        </w:trPr>
        <w:tc>
          <w:tcPr>
            <w:tcW w:type="dxa" w:w="2941"/>
            <w:tcMar>
              <w:top w:type="dxa" w:w="60"/>
              <w:left w:type="dxa" w:w="100"/>
              <w:bottom w:type="dxa" w:w="60"/>
              <w:right w:type="dxa" w:w="100"/>
            </w:tcMar>
          </w:tcPr>
          <w:p>
            <w:pPr>
              <w:spacing w:after="0" w:before="0"/>
            </w:pPr>
            <w:r>
              <w:rPr>
                <w:b/>
                <w:bCs/>
              </w:rPr>
              <w:t xml:space="preserve">Conformité des appareils</w:t>
            </w:r>
          </w:p>
        </w:tc>
        <w:tc>
          <w:tcPr>
            <w:tcW w:type="dxa" w:w="6085"/>
            <w:tcMar>
              <w:top w:type="dxa" w:w="60"/>
              <w:left w:type="dxa" w:w="100"/>
              <w:bottom w:type="dxa" w:w="60"/>
              <w:right w:type="dxa" w:w="100"/>
            </w:tcMar>
          </w:tcPr>
          <w:p>
            <w:pPr>
              <w:spacing w:after="0" w:before="0"/>
            </w:pPr>
            <w:r>
              <w:t xml:space="preserve">Appareils Intune conformes, non conformes, en période de grâce, non évalués, avec la liste des machines</w:t>
            </w:r>
          </w:p>
        </w:tc>
      </w:tr>
      <w:tr>
        <w:trPr>
          <w:tblHeader w:val="false"/>
        </w:trPr>
        <w:tc>
          <w:tcPr>
            <w:tcW w:type="dxa" w:w="2941"/>
            <w:tcMar>
              <w:top w:type="dxa" w:w="60"/>
              <w:left w:type="dxa" w:w="100"/>
              <w:bottom w:type="dxa" w:w="60"/>
              <w:right w:type="dxa" w:w="100"/>
            </w:tcMar>
          </w:tcPr>
          <w:p>
            <w:pPr>
              <w:spacing w:after="0" w:before="0"/>
            </w:pPr>
            <w:r>
              <w:rPr>
                <w:b/>
                <w:bCs/>
              </w:rPr>
              <w:t xml:space="preserve">Authentification multifacteur</w:t>
            </w:r>
          </w:p>
        </w:tc>
        <w:tc>
          <w:tcPr>
            <w:tcW w:type="dxa" w:w="6085"/>
            <w:tcMar>
              <w:top w:type="dxa" w:w="60"/>
              <w:left w:type="dxa" w:w="100"/>
              <w:bottom w:type="dxa" w:w="60"/>
              <w:right w:type="dxa" w:w="100"/>
            </w:tcMar>
          </w:tcPr>
          <w:p>
            <w:pPr>
              <w:spacing w:after="0" w:before="0"/>
            </w:pPr>
            <w:r>
              <w:t xml:space="preserve">Part des comptes couverts par le MFA</w:t>
            </w:r>
          </w:p>
        </w:tc>
      </w:tr>
      <w:tr>
        <w:trPr>
          <w:tblHeader w:val="false"/>
        </w:trPr>
        <w:tc>
          <w:tcPr>
            <w:tcW w:type="dxa" w:w="2941"/>
            <w:tcMar>
              <w:top w:type="dxa" w:w="60"/>
              <w:left w:type="dxa" w:w="100"/>
              <w:bottom w:type="dxa" w:w="60"/>
              <w:right w:type="dxa" w:w="100"/>
            </w:tcMar>
          </w:tcPr>
          <w:p>
            <w:pPr>
              <w:spacing w:after="0" w:before="0"/>
            </w:pPr>
            <w:r>
              <w:rPr>
                <w:b/>
                <w:bCs/>
              </w:rPr>
              <w:t xml:space="preserve">Alertes ouvertes</w:t>
            </w:r>
          </w:p>
        </w:tc>
        <w:tc>
          <w:tcPr>
            <w:tcW w:type="dxa" w:w="6085"/>
            <w:tcMar>
              <w:top w:type="dxa" w:w="60"/>
              <w:left w:type="dxa" w:w="100"/>
              <w:bottom w:type="dxa" w:w="60"/>
              <w:right w:type="dxa" w:w="100"/>
            </w:tcMar>
          </w:tcPr>
          <w:p>
            <w:pPr>
              <w:spacing w:after="0" w:before="0"/>
            </w:pPr>
            <w:r>
              <w:t xml:space="preserve">Alertes de sécurité en cours</w:t>
            </w:r>
          </w:p>
        </w:tc>
      </w:tr>
      <w:tr>
        <w:trPr>
          <w:tblHeader w:val="false"/>
        </w:trPr>
        <w:tc>
          <w:tcPr>
            <w:tcW w:type="dxa" w:w="2941"/>
            <w:tcMar>
              <w:top w:type="dxa" w:w="60"/>
              <w:left w:type="dxa" w:w="100"/>
              <w:bottom w:type="dxa" w:w="60"/>
              <w:right w:type="dxa" w:w="100"/>
            </w:tcMar>
          </w:tcPr>
          <w:p>
            <w:pPr>
              <w:spacing w:after="0" w:before="0"/>
            </w:pPr>
            <w:r>
              <w:rPr>
                <w:b/>
                <w:bCs/>
              </w:rPr>
              <w:t xml:space="preserve">Vulnérabilités logicielles</w:t>
            </w:r>
          </w:p>
        </w:tc>
        <w:tc>
          <w:tcPr>
            <w:tcW w:type="dxa" w:w="6085"/>
            <w:tcMar>
              <w:top w:type="dxa" w:w="60"/>
              <w:left w:type="dxa" w:w="100"/>
              <w:bottom w:type="dxa" w:w="60"/>
              <w:right w:type="dxa" w:w="100"/>
            </w:tcMar>
          </w:tcPr>
          <w:p>
            <w:pPr>
              <w:spacing w:after="0" w:before="0"/>
            </w:pPr>
            <w:r>
              <w:t xml:space="preserve">Exposition logicielle du parc</w:t>
            </w:r>
          </w:p>
        </w:tc>
      </w:tr>
      <w:tr>
        <w:trPr>
          <w:tblHeader w:val="false"/>
        </w:trPr>
        <w:tc>
          <w:tcPr>
            <w:tcW w:type="dxa" w:w="2941"/>
            <w:tcMar>
              <w:top w:type="dxa" w:w="60"/>
              <w:left w:type="dxa" w:w="100"/>
              <w:bottom w:type="dxa" w:w="60"/>
              <w:right w:type="dxa" w:w="100"/>
            </w:tcMar>
          </w:tcPr>
          <w:p>
            <w:pPr>
              <w:spacing w:after="0" w:before="0"/>
            </w:pPr>
            <w:r>
              <w:rPr>
                <w:b/>
                <w:bCs/>
              </w:rPr>
              <w:t xml:space="preserve">Tâches de sécurisation</w:t>
            </w:r>
          </w:p>
        </w:tc>
        <w:tc>
          <w:tcPr>
            <w:tcW w:type="dxa" w:w="6085"/>
            <w:tcMar>
              <w:top w:type="dxa" w:w="60"/>
              <w:left w:type="dxa" w:w="100"/>
              <w:bottom w:type="dxa" w:w="60"/>
              <w:right w:type="dxa" w:w="100"/>
            </w:tcMar>
          </w:tcPr>
          <w:p>
            <w:pPr>
              <w:spacing w:after="0" w:before="0"/>
            </w:pPr>
            <w:r>
              <w:t xml:space="preserve">Actions de durcissement recommandées et leur avancement</w:t>
            </w:r>
          </w:p>
        </w:tc>
      </w:tr>
      <w:tr>
        <w:trPr>
          <w:tblHeader w:val="false"/>
        </w:trPr>
        <w:tc>
          <w:tcPr>
            <w:tcW w:type="dxa" w:w="2941"/>
            <w:tcMar>
              <w:top w:type="dxa" w:w="60"/>
              <w:left w:type="dxa" w:w="100"/>
              <w:bottom w:type="dxa" w:w="60"/>
              <w:right w:type="dxa" w:w="100"/>
            </w:tcMar>
          </w:tcPr>
          <w:p>
            <w:pPr>
              <w:spacing w:after="0" w:before="0"/>
            </w:pPr>
            <w:r>
              <w:rPr>
                <w:b/>
                <w:bCs/>
              </w:rPr>
              <w:t xml:space="preserve">Usage des services M365</w:t>
            </w:r>
          </w:p>
        </w:tc>
        <w:tc>
          <w:tcPr>
            <w:tcW w:type="dxa" w:w="6085"/>
            <w:tcMar>
              <w:top w:type="dxa" w:w="60"/>
              <w:left w:type="dxa" w:w="100"/>
              <w:bottom w:type="dxa" w:w="60"/>
              <w:right w:type="dxa" w:w="100"/>
            </w:tcMar>
          </w:tcPr>
          <w:p>
            <w:pPr>
              <w:spacing w:after="0" w:before="0"/>
            </w:pPr>
            <w:r>
              <w:t xml:space="preserve">Adoption des services</w:t>
            </w:r>
          </w:p>
        </w:tc>
      </w:tr>
      <w:tr>
        <w:trPr>
          <w:tblHeader w:val="false"/>
        </w:trPr>
        <w:tc>
          <w:tcPr>
            <w:tcW w:type="dxa" w:w="2941"/>
            <w:tcMar>
              <w:top w:type="dxa" w:w="60"/>
              <w:left w:type="dxa" w:w="100"/>
              <w:bottom w:type="dxa" w:w="60"/>
              <w:right w:type="dxa" w:w="100"/>
            </w:tcMar>
          </w:tcPr>
          <w:p>
            <w:pPr>
              <w:spacing w:after="0" w:before="0"/>
            </w:pPr>
            <w:r>
              <w:rPr>
                <w:b/>
                <w:bCs/>
              </w:rPr>
              <w:t xml:space="preserve">Données non disponibles</w:t>
            </w:r>
          </w:p>
        </w:tc>
        <w:tc>
          <w:tcPr>
            <w:tcW w:type="dxa" w:w="6085"/>
            <w:tcMar>
              <w:top w:type="dxa" w:w="60"/>
              <w:left w:type="dxa" w:w="100"/>
              <w:bottom w:type="dxa" w:w="60"/>
              <w:right w:type="dxa" w:w="100"/>
            </w:tcMar>
          </w:tcPr>
          <w:p>
            <w:pPr>
              <w:spacing w:after="0" w:before="0"/>
            </w:pPr>
            <w:r>
              <w:t xml:space="preserve">Ce qui n'a pas pu être récupéré, et pourquoi</w:t>
            </w:r>
          </w:p>
        </w:tc>
      </w:tr>
    </w:tbl>
    <w:p>
      <w:pPr>
        <w:spacing w:after="120"/>
      </w:pPr>
    </w:p>
    <w:p>
      <w:pPr>
        <w:spacing w:after="140"/>
      </w:pPr>
      <w:r>
        <w:t xml:space="preserve">La </w:t>
      </w:r>
      <w:r>
        <w:rPr>
          <w:b/>
          <w:bCs/>
        </w:rPr>
        <w:t xml:space="preserve">période de grâce</w:t>
      </w:r>
      <w:r>
        <w:t xml:space="preserve"> est un état distinct de la non-conformité : l'appareil est hors politique mais la contrainte n'est pas encore appliquée. Ne pas confondre les deux dans un compte rendu client.</w:t>
      </w:r>
    </w:p>
    <w:p>
      <w:pPr>
        <w:pStyle w:val="Heading3"/>
        <w:spacing w:after="140" w:before="220"/>
      </w:pPr>
      <w:r>
        <w:t xml:space="preserve">Limites à connaître et à expliquer</w:t>
      </w:r>
    </w:p>
    <w:p>
      <w:pPr>
        <w:pStyle w:val="ListParagraph"/>
        <w:numPr>
          <w:ilvl w:val="0"/>
          <w:numId w:val="1"/>
        </w:numPr>
        <w:spacing w:after="80"/>
      </w:pPr>
      <w:r>
        <w:t xml:space="preserve">Les données de posture sont </w:t>
      </w:r>
      <w:r>
        <w:rPr>
          <w:b/>
          <w:bCs/>
        </w:rPr>
        <w:t xml:space="preserve">agrégées périodiquement</w:t>
      </w:r>
      <w:r>
        <w:t xml:space="preserve"> par Microsoft, jamais en temps réel. La </w:t>
      </w:r>
      <w:r>
        <w:rPr>
          <w:b/>
          <w:bCs/>
        </w:rPr>
        <w:t xml:space="preserve">date d'arrêté</w:t>
      </w:r>
      <w:r>
        <w:t xml:space="preserve"> est affichée pour cette raison.</w:t>
      </w:r>
    </w:p>
    <w:p>
      <w:pPr>
        <w:pStyle w:val="ListParagraph"/>
        <w:numPr>
          <w:ilvl w:val="0"/>
          <w:numId w:val="1"/>
        </w:numPr>
        <w:spacing w:after="80"/>
      </w:pPr>
      <w:r>
        <w:t xml:space="preserve">Un tenant </w:t>
      </w:r>
      <w:r>
        <w:rPr>
          <w:b/>
          <w:bCs/>
        </w:rPr>
        <w:t xml:space="preserve">non intégré à Microsoft 365 Lighthouse</w:t>
      </w:r>
      <w:r>
        <w:t xml:space="preserve"> est simplement absent de la réponse : la carte reste vide ou incomplète, ce n'est pas une erreur de l'outil.</w:t>
      </w:r>
    </w:p>
    <w:p>
      <w:pPr>
        <w:pStyle w:val="ListParagraph"/>
        <w:numPr>
          <w:ilvl w:val="0"/>
          <w:numId w:val="1"/>
        </w:numPr>
        <w:spacing w:after="80"/>
      </w:pPr>
      <w:r>
        <w:t xml:space="preserve">Chaque jeu de données est </w:t>
      </w:r>
      <w:r>
        <w:rPr>
          <w:b/>
          <w:bCs/>
        </w:rPr>
        <w:t xml:space="preserve">indépendant</w:t>
      </w:r>
      <w:r>
        <w:t xml:space="preserve">. Si une autorisation manque, la rubrique concernée disparaît et le reste s'affiche normalement.</w:t>
      </w:r>
    </w:p>
    <w:p>
      <w:pPr>
        <w:pStyle w:val="ListParagraph"/>
        <w:numPr>
          <w:ilvl w:val="0"/>
          <w:numId w:val="1"/>
        </w:numPr>
        <w:spacing w:after="80"/>
      </w:pPr>
      <w:r>
        <w:t xml:space="preserve">Aucune donnée Graph ne transite par le serveur de l'application : le navigateur parle directement à Microsoft.</w:t>
      </w:r>
    </w:p>
    <w:p>
      <w:pPr>
        <w:spacing w:after="60"/>
      </w:pPr>
    </w:p>
    <w:p>
      <w:pPr>
        <w:pStyle w:val="Heading2"/>
        <w:spacing w:after="140" w:before="320"/>
      </w:pPr>
      <w:r>
        <w:t xml:space="preserve">13. Rechercher un utilisateur sur tout le parc</w:t>
      </w:r>
    </w:p>
    <w:p>
      <w:pPr>
        <w:pStyle w:val="Heading3"/>
        <w:spacing w:after="140" w:before="220"/>
      </w:pPr>
      <w:r>
        <w:t xml:space="preserve">Où et quand</w:t>
      </w:r>
    </w:p>
    <w:p>
      <w:pPr>
        <w:spacing w:after="140"/>
      </w:pPr>
      <w:r>
        <w:t xml:space="preserve">Le bloc </w:t>
      </w:r>
      <w:r>
        <w:rPr>
          <w:b/>
          <w:bCs/>
        </w:rPr>
        <w:t xml:space="preserve">« Recherche utilisateur »</w:t>
      </w:r>
      <w:r>
        <w:t xml:space="preserve">, dans la colonne de gauche, n'apparaît </w:t>
      </w:r>
      <w:r>
        <w:rPr>
          <w:b/>
          <w:bCs/>
        </w:rPr>
        <w:t xml:space="preserve">que si Microsoft Graph est connecté</w:t>
      </w:r>
      <w:r>
        <w:t xml:space="preserve">. Il interroge l'ensemble des tenants gérés, sans avoir à en choisir un.</w:t>
      </w:r>
    </w:p>
    <w:p>
      <w:pPr>
        <w:pStyle w:val="Heading3"/>
        <w:spacing w:after="140" w:before="220"/>
      </w:pPr>
      <w:r>
        <w:t xml:space="preserve">Comment s'en servir</w:t>
      </w:r>
    </w:p>
    <w:p>
      <w:pPr>
        <w:pStyle w:val="ListParagraph"/>
        <w:numPr>
          <w:ilvl w:val="0"/>
          <w:numId w:val="2"/>
        </w:numPr>
        <w:spacing w:after="80"/>
      </w:pPr>
      <w:r>
        <w:t xml:space="preserve">Saisir un ou plusieurs termes dans la zone de texte : un </w:t>
      </w:r>
      <w:r>
        <w:rPr>
          <w:b/>
          <w:bCs/>
        </w:rPr>
        <w:t xml:space="preserve">nom</w:t>
      </w:r>
      <w:r>
        <w:t xml:space="preserve">, un </w:t>
      </w:r>
      <w:r>
        <w:rPr>
          <w:b/>
          <w:bCs/>
        </w:rPr>
        <w:t xml:space="preserve">alias</w:t>
      </w:r>
      <w:r>
        <w:t xml:space="preserve">, un </w:t>
      </w:r>
      <w:r>
        <w:rPr>
          <w:b/>
          <w:bCs/>
        </w:rPr>
        <w:t xml:space="preserve">UPN</w:t>
      </w:r>
      <w:r>
        <w:t xml:space="preserve"> ou une </w:t>
      </w:r>
      <w:r>
        <w:rPr>
          <w:b/>
          <w:bCs/>
        </w:rPr>
        <w:t xml:space="preserve">adresse e-mail</w:t>
      </w:r>
      <w:r>
        <w:t xml:space="preserve">. Un terme par ligne, ou séparés.</w:t>
      </w:r>
    </w:p>
    <w:p>
      <w:pPr>
        <w:pStyle w:val="ListParagraph"/>
        <w:numPr>
          <w:ilvl w:val="0"/>
          <w:numId w:val="2"/>
        </w:numPr>
        <w:spacing w:after="80"/>
      </w:pPr>
      <w:r>
        <w:t xml:space="preserve">Ou importer un fichier </w:t>
      </w:r>
      <w:r>
        <w:rPr>
          <w:rFonts w:ascii="Consolas" w:cs="Consolas" w:eastAsia="Consolas" w:hAnsi="Consolas"/>
          <w:sz w:val="19"/>
          <w:szCs w:val="19"/>
        </w:rPr>
        <w:t xml:space="preserve">.txt</w:t>
      </w:r>
      <w:r>
        <w:t xml:space="preserve"> / </w:t>
      </w:r>
      <w:r>
        <w:rPr>
          <w:rFonts w:ascii="Consolas" w:cs="Consolas" w:eastAsia="Consolas" w:hAnsi="Consolas"/>
          <w:sz w:val="19"/>
          <w:szCs w:val="19"/>
        </w:rPr>
        <w:t xml:space="preserve">.csv</w:t>
      </w:r>
      <w:r>
        <w:t xml:space="preserve"> avec le bouton de sélection de fichier.</w:t>
      </w:r>
    </w:p>
    <w:p>
      <w:pPr>
        <w:pStyle w:val="ListParagraph"/>
        <w:numPr>
          <w:ilvl w:val="0"/>
          <w:numId w:val="2"/>
        </w:numPr>
        <w:spacing w:after="80"/>
      </w:pPr>
      <w:r>
        <w:t xml:space="preserve">Cliquer </w:t>
      </w:r>
      <w:r>
        <w:rPr>
          <w:b/>
          <w:bCs/>
        </w:rPr>
        <w:t xml:space="preserve">Rechercher</w:t>
      </w:r>
      <w:r>
        <w:t xml:space="preserve">.</w:t>
      </w:r>
    </w:p>
    <w:p>
      <w:pPr>
        <w:spacing w:after="60"/>
      </w:pPr>
    </w:p>
    <w:p>
      <w:pPr>
        <w:spacing w:after="140"/>
      </w:pPr>
      <w:r>
        <w:t xml:space="preserve">Jusqu'à </w:t>
      </w:r>
      <w:r>
        <w:rPr>
          <w:b/>
          <w:bCs/>
        </w:rPr>
        <w:t xml:space="preserve">20 termes</w:t>
      </w:r>
      <w:r>
        <w:t xml:space="preserve"> sont traités en une seule opération ; au-delà, les termes supplémentaires sont ignorés et l'outil le signale.</w:t>
      </w:r>
    </w:p>
    <w:p>
      <w:pPr>
        <w:pStyle w:val="Heading3"/>
        <w:spacing w:after="140" w:before="220"/>
      </w:pPr>
      <w:r>
        <w:t xml:space="preserve">Lire les résultats</w:t>
      </w:r>
    </w:p>
    <w:p>
      <w:pPr>
        <w:spacing w:after="140"/>
      </w:pPr>
      <w:r>
        <w:t xml:space="preserve">Pendant la recherche, l'état affiche le nombre de tenants interrogés et de résultats trouvés. À la fin, un panneau liste les comptes avec une fiche copiable par ligne : utilisateur, UPN, adresse, fonction, mobile, site, tenant, Tenant ID, Object ID.</w:t>
      </w:r>
    </w:p>
    <w:p>
      <w:pPr>
        <w:spacing w:after="140"/>
      </w:pPr>
      <w:r>
        <w:t xml:space="preserve">Deux avertissements peuvent apparaître, et ils comptent :</w:t>
      </w:r>
    </w:p>
    <w:p>
      <w:pPr>
        <w:pStyle w:val="ListParagraph"/>
        <w:numPr>
          <w:ilvl w:val="0"/>
          <w:numId w:val="1"/>
        </w:numPr>
        <w:spacing w:after="80"/>
      </w:pPr>
      <w:r>
        <w:rPr>
          <w:b/>
          <w:bCs/>
        </w:rPr>
        <w:t xml:space="preserve">« N tenant(s) n'ont pas répondu »</w:t>
      </w:r>
      <w:r>
        <w:t xml:space="preserve"> : un échec partiel est normal sur un grand parc. Un compte peut donc exister sans figurer dans la liste. Ne jamais conclure à une absence sur cette seule base.</w:t>
      </w:r>
    </w:p>
    <w:p>
      <w:pPr>
        <w:pStyle w:val="ListParagraph"/>
        <w:numPr>
          <w:ilvl w:val="0"/>
          <w:numId w:val="1"/>
        </w:numPr>
        <w:spacing w:after="80"/>
      </w:pPr>
      <w:r>
        <w:rPr>
          <w:b/>
          <w:bCs/>
        </w:rPr>
        <w:t xml:space="preserve">« N terme(s) au-delà de la limite »</w:t>
      </w:r>
      <w:r>
        <w:t xml:space="preserve"> : la recherche a été tronquée.</w:t>
      </w:r>
    </w:p>
    <w:p>
      <w:pPr>
        <w:spacing w:after="60"/>
      </w:pPr>
    </w:p>
    <w:p>
      <w:pPr>
        <w:pStyle w:val="Heading3"/>
        <w:spacing w:after="140" w:before="220"/>
      </w:pPr>
      <w:r>
        <w:t xml:space="preserve">Message d'erreur courant</w:t>
      </w:r>
    </w:p>
    <w:p>
      <w:pPr>
        <w:pBdr>
          <w:left w:val="single" w:color="999999" w:sz="12" w:space="12"/>
        </w:pBdr>
        <w:spacing w:after="160"/>
        <w:ind w:left="360"/>
      </w:pPr>
      <w:r>
        <w:rPr>
          <w:i/>
          <w:iCs/>
          <w:color w:val="444444"/>
        </w:rPr>
        <w:t xml:space="preserve">« Autorisation Graph manquante (User.Read.All) sur l'inscription d'application. »</w:t>
      </w:r>
    </w:p>
    <w:p>
      <w:pPr>
        <w:spacing w:after="140"/>
      </w:pPr>
      <w:r>
        <w:t xml:space="preserve">L'autorisation n'est pas accordée côté inscription d'application. C'est une action d'administration, pas un réglage utilisateur : à remonter à un admin de l'application.</w:t>
      </w:r>
    </w:p>
    <w:p>
      <w:pPr>
        <w:pStyle w:val="Heading2"/>
        <w:spacing w:after="140" w:before="320"/>
      </w:pPr>
      <w:r>
        <w:t xml:space="preserve">14. Diagnostic Messagerie (analyse d'en-têtes)</w:t>
      </w:r>
    </w:p>
    <w:p>
      <w:pPr>
        <w:spacing w:after="140"/>
      </w:pPr>
      <w:r>
        <w:t xml:space="preserve">Sous-application accessible par l'onglet </w:t>
      </w:r>
      <w:r>
        <w:rPr>
          <w:b/>
          <w:bCs/>
        </w:rPr>
        <w:t xml:space="preserve">« Diagnostic Messagerie »</w:t>
      </w:r>
      <w:r>
        <w:t xml:space="preserve"> de la barre violette. Statut </w:t>
      </w:r>
      <w:r>
        <w:rPr>
          <w:b/>
          <w:bCs/>
        </w:rPr>
        <w:t xml:space="preserve">`dev`</w:t>
      </w:r>
      <w:r>
        <w:t xml:space="preserve"> : son affichage peut changer. Elle est </w:t>
      </w:r>
      <w:r>
        <w:rPr>
          <w:b/>
          <w:bCs/>
        </w:rPr>
        <w:t xml:space="preserve">100 % locale</w:t>
      </w:r>
      <w:r>
        <w:t xml:space="preserve">, aucune requête réseau n'en sort.</w:t>
      </w:r>
    </w:p>
    <w:p>
      <w:pPr>
        <w:pBdr>
          <w:left w:val="single" w:color="999999" w:sz="12" w:space="12"/>
        </w:pBdr>
        <w:spacing w:after="160"/>
        <w:ind w:left="360"/>
      </w:pPr>
      <w:r>
        <w:rPr>
          <w:b/>
          <w:bCs/>
          <w:i/>
          <w:iCs/>
          <w:color w:val="444444"/>
        </w:rPr>
        <w:t xml:space="preserve">Ne pas confondre.</w:t>
      </w:r>
      <w:r>
        <w:rPr>
          <w:i/>
          <w:iCs/>
          <w:color w:val="444444"/>
        </w:rPr>
        <w:t xml:space="preserve"> Cette section traite de l'analyse </w:t>
      </w:r>
      <w:r>
        <w:rPr>
          <w:b/>
          <w:bCs/>
          <w:i/>
          <w:iCs/>
          <w:color w:val="444444"/>
        </w:rPr>
        <w:t xml:space="preserve">d'un e-mail déjà reçu</w:t>
      </w:r>
      <w:r>
        <w:rPr>
          <w:i/>
          <w:iCs/>
          <w:color w:val="444444"/>
        </w:rPr>
        <w:t xml:space="preserve">, à partir de ses en-têtes. Si la question porte sur le SPF, le DKIM ou le DMARC </w:t>
      </w:r>
      <w:r>
        <w:rPr>
          <w:b/>
          <w:bCs/>
          <w:i/>
          <w:iCs/>
          <w:color w:val="444444"/>
        </w:rPr>
        <w:t xml:space="preserve">d'un domaine</w:t>
      </w:r>
      <w:r>
        <w:rPr>
          <w:i/>
          <w:iCs/>
          <w:color w:val="444444"/>
        </w:rPr>
        <w:t xml:space="preserve">, c'est l'onglet </w:t>
      </w:r>
      <w:r>
        <w:rPr>
          <w:b/>
          <w:bCs/>
          <w:i/>
          <w:iCs/>
          <w:color w:val="444444"/>
        </w:rPr>
        <w:t xml:space="preserve">Diagnostic M365</w:t>
      </w:r>
      <w:r>
        <w:rPr>
          <w:i/>
          <w:iCs/>
          <w:color w:val="444444"/>
        </w:rPr>
        <w:t xml:space="preserve"> et son analyse complète qu'il faut regarder : voir la section 6 pour le calcul du score, et la section 22 pour le cas où ces enregistrements ne remontent pas. En cas de doute sur la question posée, c'est presque toujours l'analyse d'un domaine qui est en cause : c'est l'usage principal de l'outil.</w:t>
      </w:r>
    </w:p>
    <w:p>
      <w:pPr>
        <w:pStyle w:val="Heading3"/>
        <w:spacing w:after="140" w:before="220"/>
      </w:pPr>
      <w:r>
        <w:t xml:space="preserve">Récupérer les en-têtes</w:t>
      </w:r>
    </w:p>
    <w:p>
      <w:pPr>
        <w:pStyle w:val="ListParagraph"/>
        <w:numPr>
          <w:ilvl w:val="0"/>
          <w:numId w:val="1"/>
        </w:numPr>
        <w:spacing w:after="80"/>
      </w:pPr>
      <w:r>
        <w:rPr>
          <w:b/>
          <w:bCs/>
        </w:rPr>
        <w:t xml:space="preserve">Outlook</w:t>
      </w:r>
      <w:r>
        <w:t xml:space="preserve"> : </w:t>
      </w:r>
      <w:r>
        <w:rPr>
          <w:rFonts w:ascii="Consolas" w:cs="Consolas" w:eastAsia="Consolas" w:hAnsi="Consolas"/>
          <w:sz w:val="19"/>
          <w:szCs w:val="19"/>
        </w:rPr>
        <w:t xml:space="preserve">Fichier &gt; Propriétés &gt; En-têtes Internet</w:t>
      </w:r>
    </w:p>
    <w:p>
      <w:pPr>
        <w:pStyle w:val="ListParagraph"/>
        <w:numPr>
          <w:ilvl w:val="0"/>
          <w:numId w:val="1"/>
        </w:numPr>
        <w:spacing w:after="80"/>
      </w:pPr>
      <w:r>
        <w:rPr>
          <w:b/>
          <w:bCs/>
        </w:rPr>
        <w:t xml:space="preserve">Gmail</w:t>
      </w:r>
      <w:r>
        <w:t xml:space="preserve"> : </w:t>
      </w:r>
      <w:r>
        <w:rPr>
          <w:rFonts w:ascii="Consolas" w:cs="Consolas" w:eastAsia="Consolas" w:hAnsi="Consolas"/>
          <w:sz w:val="19"/>
          <w:szCs w:val="19"/>
        </w:rPr>
        <w:t xml:space="preserve">Afficher l'original</w:t>
      </w:r>
    </w:p>
    <w:p>
      <w:pPr>
        <w:pStyle w:val="ListParagraph"/>
        <w:numPr>
          <w:ilvl w:val="0"/>
          <w:numId w:val="1"/>
        </w:numPr>
        <w:spacing w:after="80"/>
      </w:pPr>
      <w:r>
        <w:t xml:space="preserve">Ou glisser un fichier </w:t>
      </w:r>
      <w:r>
        <w:rPr>
          <w:rFonts w:ascii="Consolas" w:cs="Consolas" w:eastAsia="Consolas" w:hAnsi="Consolas"/>
          <w:sz w:val="19"/>
          <w:szCs w:val="19"/>
        </w:rPr>
        <w:t xml:space="preserve">.eml</w:t>
      </w:r>
      <w:r>
        <w:t xml:space="preserve"> / </w:t>
      </w:r>
      <w:r>
        <w:rPr>
          <w:rFonts w:ascii="Consolas" w:cs="Consolas" w:eastAsia="Consolas" w:hAnsi="Consolas"/>
          <w:sz w:val="19"/>
          <w:szCs w:val="19"/>
        </w:rPr>
        <w:t xml:space="preserve">.txt</w:t>
      </w:r>
      <w:r>
        <w:t xml:space="preserve"> avec le bouton </w:t>
      </w:r>
      <w:r>
        <w:rPr>
          <w:b/>
          <w:bCs/>
        </w:rPr>
        <w:t xml:space="preserve">Import .eml</w:t>
      </w:r>
    </w:p>
    <w:p>
      <w:pPr>
        <w:spacing w:after="60"/>
      </w:pPr>
    </w:p>
    <w:p>
      <w:pPr>
        <w:pStyle w:val="Heading3"/>
        <w:spacing w:after="140" w:before="220"/>
      </w:pPr>
      <w:r>
        <w:t xml:space="preserve">Analyser</w:t>
      </w:r>
    </w:p>
    <w:p>
      <w:pPr>
        <w:pStyle w:val="ListParagraph"/>
        <w:numPr>
          <w:ilvl w:val="0"/>
          <w:numId w:val="2"/>
        </w:numPr>
        <w:spacing w:after="80"/>
      </w:pPr>
      <w:r>
        <w:t xml:space="preserve">Coller les en-têtes complets dans la zone de saisie.</w:t>
      </w:r>
    </w:p>
    <w:p>
      <w:pPr>
        <w:pStyle w:val="ListParagraph"/>
        <w:numPr>
          <w:ilvl w:val="0"/>
          <w:numId w:val="2"/>
        </w:numPr>
        <w:spacing w:after="80"/>
      </w:pPr>
      <w:r>
        <w:t xml:space="preserve">Cliquer </w:t>
      </w:r>
      <w:r>
        <w:rPr>
          <w:b/>
          <w:bCs/>
        </w:rPr>
        <w:t xml:space="preserve">Analyser</w:t>
      </w:r>
      <w:r>
        <w:t xml:space="preserve">, ou faire </w:t>
      </w:r>
      <w:r>
        <w:rPr>
          <w:rFonts w:ascii="Consolas" w:cs="Consolas" w:eastAsia="Consolas" w:hAnsi="Consolas"/>
          <w:sz w:val="19"/>
          <w:szCs w:val="19"/>
        </w:rPr>
        <w:t xml:space="preserve">Ctrl + Entrée</w:t>
      </w:r>
      <w:r>
        <w:t xml:space="preserve">.</w:t>
      </w:r>
    </w:p>
    <w:p>
      <w:pPr>
        <w:pStyle w:val="ListParagraph"/>
        <w:numPr>
          <w:ilvl w:val="0"/>
          <w:numId w:val="2"/>
        </w:numPr>
        <w:spacing w:after="80"/>
      </w:pPr>
      <w:r>
        <w:t xml:space="preserve">Boutons annexes : </w:t>
      </w:r>
      <w:r>
        <w:rPr>
          <w:b/>
          <w:bCs/>
        </w:rPr>
        <w:t xml:space="preserve">Effacer</w:t>
      </w:r>
      <w:r>
        <w:t xml:space="preserve">, </w:t>
      </w:r>
      <w:r>
        <w:rPr>
          <w:b/>
          <w:bCs/>
        </w:rPr>
        <w:t xml:space="preserve">Exemple</w:t>
      </w:r>
      <w:r>
        <w:t xml:space="preserve"> (jeu de données de démonstration).</w:t>
      </w:r>
    </w:p>
    <w:p>
      <w:pPr>
        <w:spacing w:after="60"/>
      </w:pPr>
    </w:p>
    <w:p>
      <w:pPr>
        <w:pStyle w:val="Heading3"/>
        <w:spacing w:after="140" w:before="220"/>
      </w:pPr>
      <w:r>
        <w:t xml:space="preserve">Ce qui est analysé</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71"/>
        <w:gridCol w:w="6855"/>
      </w:tblGrid>
      <w:tr>
        <w:trPr>
          <w:tblHeader/>
        </w:trPr>
        <w:tc>
          <w:tcPr>
            <w:tcW w:type="dxa" w:w="2171"/>
            <w:shd w:fill="EFEFEF" w:color="auto" w:val="clear"/>
            <w:tcMar>
              <w:top w:type="dxa" w:w="60"/>
              <w:left w:type="dxa" w:w="100"/>
              <w:bottom w:type="dxa" w:w="60"/>
              <w:right w:type="dxa" w:w="100"/>
            </w:tcMar>
          </w:tcPr>
          <w:p>
            <w:pPr>
              <w:spacing w:after="0" w:before="0"/>
            </w:pPr>
            <w:r>
              <w:rPr>
                <w:b/>
                <w:bCs/>
              </w:rPr>
              <w:t xml:space="preserve">Bloc</w:t>
            </w:r>
          </w:p>
        </w:tc>
        <w:tc>
          <w:tcPr>
            <w:tcW w:type="dxa" w:w="6855"/>
            <w:shd w:fill="EFEFEF" w:color="auto" w:val="clear"/>
            <w:tcMar>
              <w:top w:type="dxa" w:w="60"/>
              <w:left w:type="dxa" w:w="100"/>
              <w:bottom w:type="dxa" w:w="60"/>
              <w:right w:type="dxa" w:w="100"/>
            </w:tcMar>
          </w:tcPr>
          <w:p>
            <w:pPr>
              <w:spacing w:after="0" w:before="0"/>
            </w:pPr>
            <w:r>
              <w:rPr>
                <w:b/>
                <w:bCs/>
              </w:rPr>
              <w:t xml:space="preserve">Contenu</w:t>
            </w:r>
          </w:p>
        </w:tc>
      </w:tr>
      <w:tr>
        <w:trPr>
          <w:tblHeader w:val="false"/>
        </w:trPr>
        <w:tc>
          <w:tcPr>
            <w:tcW w:type="dxa" w:w="2171"/>
            <w:tcMar>
              <w:top w:type="dxa" w:w="60"/>
              <w:left w:type="dxa" w:w="100"/>
              <w:bottom w:type="dxa" w:w="60"/>
              <w:right w:type="dxa" w:w="100"/>
            </w:tcMar>
          </w:tcPr>
          <w:p>
            <w:pPr>
              <w:spacing w:after="0" w:before="0"/>
            </w:pPr>
            <w:r>
              <w:rPr>
                <w:b/>
                <w:bCs/>
              </w:rPr>
              <w:t xml:space="preserve">Authentification</w:t>
            </w:r>
          </w:p>
        </w:tc>
        <w:tc>
          <w:tcPr>
            <w:tcW w:type="dxa" w:w="6855"/>
            <w:tcMar>
              <w:top w:type="dxa" w:w="60"/>
              <w:left w:type="dxa" w:w="100"/>
              <w:bottom w:type="dxa" w:w="60"/>
              <w:right w:type="dxa" w:w="100"/>
            </w:tcMar>
          </w:tcPr>
          <w:p>
            <w:pPr>
              <w:spacing w:after="0" w:before="0"/>
            </w:pPr>
            <w:r>
              <w:t xml:space="preserve">SPF, DKIM, DMARC et CompAuth extraits de </w:t>
            </w:r>
            <w:r>
              <w:rPr>
                <w:rFonts w:ascii="Consolas" w:cs="Consolas" w:eastAsia="Consolas" w:hAnsi="Consolas"/>
                <w:sz w:val="19"/>
                <w:szCs w:val="19"/>
              </w:rPr>
              <w:t xml:space="preserve">Authentication-Results</w:t>
            </w:r>
          </w:p>
        </w:tc>
      </w:tr>
      <w:tr>
        <w:trPr>
          <w:tblHeader w:val="false"/>
        </w:trPr>
        <w:tc>
          <w:tcPr>
            <w:tcW w:type="dxa" w:w="2171"/>
            <w:tcMar>
              <w:top w:type="dxa" w:w="60"/>
              <w:left w:type="dxa" w:w="100"/>
              <w:bottom w:type="dxa" w:w="60"/>
              <w:right w:type="dxa" w:w="100"/>
            </w:tcMar>
          </w:tcPr>
          <w:p>
            <w:pPr>
              <w:spacing w:after="0" w:before="0"/>
            </w:pPr>
            <w:r>
              <w:rPr>
                <w:b/>
                <w:bCs/>
              </w:rPr>
              <w:t xml:space="preserve">EOP / Forefront</w:t>
            </w:r>
          </w:p>
        </w:tc>
        <w:tc>
          <w:tcPr>
            <w:tcW w:type="dxa" w:w="6855"/>
            <w:tcMar>
              <w:top w:type="dxa" w:w="60"/>
              <w:left w:type="dxa" w:w="100"/>
              <w:bottom w:type="dxa" w:w="60"/>
              <w:right w:type="dxa" w:w="100"/>
            </w:tcMar>
          </w:tcPr>
          <w:p>
            <w:pPr>
              <w:spacing w:after="0" w:before="0"/>
            </w:pPr>
            <w:r>
              <w:t xml:space="preserve">Scores anti-spam Exchange Online Protection : SCL, CAT, SFV</w:t>
            </w:r>
          </w:p>
        </w:tc>
      </w:tr>
      <w:tr>
        <w:trPr>
          <w:tblHeader w:val="false"/>
        </w:trPr>
        <w:tc>
          <w:tcPr>
            <w:tcW w:type="dxa" w:w="2171"/>
            <w:tcMar>
              <w:top w:type="dxa" w:w="60"/>
              <w:left w:type="dxa" w:w="100"/>
              <w:bottom w:type="dxa" w:w="60"/>
              <w:right w:type="dxa" w:w="100"/>
            </w:tcMar>
          </w:tcPr>
          <w:p>
            <w:pPr>
              <w:spacing w:after="0" w:before="0"/>
            </w:pPr>
            <w:r>
              <w:rPr>
                <w:b/>
                <w:bCs/>
              </w:rPr>
              <w:t xml:space="preserve">Signaux de phishing</w:t>
            </w:r>
          </w:p>
        </w:tc>
        <w:tc>
          <w:tcPr>
            <w:tcW w:type="dxa" w:w="6855"/>
            <w:tcMar>
              <w:top w:type="dxa" w:w="60"/>
              <w:left w:type="dxa" w:w="100"/>
              <w:bottom w:type="dxa" w:w="60"/>
              <w:right w:type="dxa" w:w="100"/>
            </w:tcMar>
          </w:tcPr>
          <w:p>
            <w:pPr>
              <w:spacing w:after="0" w:before="0"/>
            </w:pPr>
            <w:r>
              <w:t xml:space="preserve">Usurpation du nom d'affichage, incohérences d'authentification, décalage temporel entre relais, formules d'urgence</w:t>
            </w:r>
          </w:p>
        </w:tc>
      </w:tr>
      <w:tr>
        <w:trPr>
          <w:tblHeader w:val="false"/>
        </w:trPr>
        <w:tc>
          <w:tcPr>
            <w:tcW w:type="dxa" w:w="2171"/>
            <w:tcMar>
              <w:top w:type="dxa" w:w="60"/>
              <w:left w:type="dxa" w:w="100"/>
              <w:bottom w:type="dxa" w:w="60"/>
              <w:right w:type="dxa" w:w="100"/>
            </w:tcMar>
          </w:tcPr>
          <w:p>
            <w:pPr>
              <w:spacing w:after="0" w:before="0"/>
            </w:pPr>
            <w:r>
              <w:rPr>
                <w:b/>
                <w:bCs/>
              </w:rPr>
              <w:t xml:space="preserve">Message</w:t>
            </w:r>
          </w:p>
        </w:tc>
        <w:tc>
          <w:tcPr>
            <w:tcW w:type="dxa" w:w="6855"/>
            <w:tcMar>
              <w:top w:type="dxa" w:w="60"/>
              <w:left w:type="dxa" w:w="100"/>
              <w:bottom w:type="dxa" w:w="60"/>
              <w:right w:type="dxa" w:w="100"/>
            </w:tcMar>
          </w:tcPr>
          <w:p>
            <w:pPr>
              <w:spacing w:after="0" w:before="0"/>
            </w:pPr>
            <w:r>
              <w:t xml:space="preserve">Sujet décodé (MIME), expéditeur, destinataires</w:t>
            </w:r>
          </w:p>
        </w:tc>
      </w:tr>
      <w:tr>
        <w:trPr>
          <w:tblHeader w:val="false"/>
        </w:trPr>
        <w:tc>
          <w:tcPr>
            <w:tcW w:type="dxa" w:w="2171"/>
            <w:tcMar>
              <w:top w:type="dxa" w:w="60"/>
              <w:left w:type="dxa" w:w="100"/>
              <w:bottom w:type="dxa" w:w="60"/>
              <w:right w:type="dxa" w:w="100"/>
            </w:tcMar>
          </w:tcPr>
          <w:p>
            <w:pPr>
              <w:spacing w:after="0" w:before="0"/>
            </w:pPr>
            <w:r>
              <w:rPr>
                <w:b/>
                <w:bCs/>
              </w:rPr>
              <w:t xml:space="preserve">Chaîne SMTP</w:t>
            </w:r>
          </w:p>
        </w:tc>
        <w:tc>
          <w:tcPr>
            <w:tcW w:type="dxa" w:w="6855"/>
            <w:tcMar>
              <w:top w:type="dxa" w:w="60"/>
              <w:left w:type="dxa" w:w="100"/>
              <w:bottom w:type="dxa" w:w="60"/>
              <w:right w:type="dxa" w:w="100"/>
            </w:tcMar>
          </w:tcPr>
          <w:p>
            <w:pPr>
              <w:spacing w:after="0" w:before="0"/>
            </w:pPr>
            <w:r>
              <w:t xml:space="preserve">Reconstitution des sauts </w:t>
            </w:r>
            <w:r>
              <w:rPr>
                <w:rFonts w:ascii="Consolas" w:cs="Consolas" w:eastAsia="Consolas" w:hAnsi="Consolas"/>
                <w:sz w:val="19"/>
                <w:szCs w:val="19"/>
              </w:rPr>
              <w:t xml:space="preserve">Received</w:t>
            </w:r>
            <w:r>
              <w:t xml:space="preserve">, du départ à l'arrivée, avec distinction des IP internes</w:t>
            </w:r>
          </w:p>
        </w:tc>
      </w:tr>
      <w:tr>
        <w:trPr>
          <w:tblHeader w:val="false"/>
        </w:trPr>
        <w:tc>
          <w:tcPr>
            <w:tcW w:type="dxa" w:w="2171"/>
            <w:tcMar>
              <w:top w:type="dxa" w:w="60"/>
              <w:left w:type="dxa" w:w="100"/>
              <w:bottom w:type="dxa" w:w="60"/>
              <w:right w:type="dxa" w:w="100"/>
            </w:tcMar>
          </w:tcPr>
          <w:p>
            <w:pPr>
              <w:spacing w:after="0" w:before="0"/>
            </w:pPr>
            <w:r>
              <w:rPr>
                <w:b/>
                <w:bCs/>
              </w:rPr>
              <w:t xml:space="preserve">URLs</w:t>
            </w:r>
          </w:p>
        </w:tc>
        <w:tc>
          <w:tcPr>
            <w:tcW w:type="dxa" w:w="6855"/>
            <w:tcMar>
              <w:top w:type="dxa" w:w="60"/>
              <w:left w:type="dxa" w:w="100"/>
              <w:bottom w:type="dxa" w:w="60"/>
              <w:right w:type="dxa" w:w="100"/>
            </w:tcMar>
          </w:tcPr>
          <w:p>
            <w:pPr>
              <w:spacing w:after="0" w:before="0"/>
            </w:pPr>
            <w:r>
              <w:t xml:space="preserve">Raccourcisseurs, punycode, homoglyphes, usurpation de marque</w:t>
            </w:r>
          </w:p>
        </w:tc>
      </w:tr>
    </w:tbl>
    <w:p>
      <w:pPr>
        <w:spacing w:after="120"/>
      </w:pPr>
    </w:p>
    <w:p>
      <w:pPr>
        <w:pStyle w:val="Heading3"/>
        <w:spacing w:after="140" w:before="220"/>
      </w:pPr>
      <w:r>
        <w:t xml:space="preserve">Sortir un compte rendu</w:t>
      </w:r>
    </w:p>
    <w:p>
      <w:pPr>
        <w:spacing w:after="140"/>
      </w:pPr>
      <w:r>
        <w:t xml:space="preserve">Deux boutons de copie :</w:t>
      </w:r>
    </w:p>
    <w:p>
      <w:pPr>
        <w:pStyle w:val="ListParagraph"/>
        <w:numPr>
          <w:ilvl w:val="0"/>
          <w:numId w:val="1"/>
        </w:numPr>
        <w:spacing w:after="80"/>
      </w:pPr>
      <w:r>
        <w:rPr>
          <w:b/>
          <w:bCs/>
        </w:rPr>
        <w:t xml:space="preserve">Rapport client</w:t>
      </w:r>
      <w:r>
        <w:t xml:space="preserve"> : vulgarisé, prêt à envoyer à un utilisateur final ;</w:t>
      </w:r>
    </w:p>
    <w:p>
      <w:pPr>
        <w:pStyle w:val="ListParagraph"/>
        <w:numPr>
          <w:ilvl w:val="0"/>
          <w:numId w:val="1"/>
        </w:numPr>
        <w:spacing w:after="80"/>
      </w:pPr>
      <w:r>
        <w:rPr>
          <w:b/>
          <w:bCs/>
        </w:rPr>
        <w:t xml:space="preserve">Rapport technique</w:t>
      </w:r>
      <w:r>
        <w:t xml:space="preserve"> : détaillé, pour un ticket ou une escalade.</w:t>
      </w:r>
    </w:p>
    <w:p>
      <w:pPr>
        <w:spacing w:after="60"/>
      </w:pPr>
    </w:p>
    <w:p>
      <w:pPr>
        <w:spacing w:after="140"/>
      </w:pPr>
      <w:r>
        <w:t xml:space="preserve">Deux blocs dépliants complètent l'écran : </w:t>
      </w:r>
      <w:r>
        <w:rPr>
          <w:b/>
          <w:bCs/>
        </w:rPr>
        <w:t xml:space="preserve">Boîte à outils</w:t>
      </w:r>
      <w:r>
        <w:t xml:space="preserve"> (liens d'analyse externes) et </w:t>
      </w:r>
      <w:r>
        <w:rPr>
          <w:b/>
          <w:bCs/>
        </w:rPr>
        <w:t xml:space="preserve">Glossaire des en-têtes</w:t>
      </w:r>
      <w:r>
        <w:t xml:space="preserve">.</w:t>
      </w:r>
    </w:p>
    <w:p>
      <w:pPr>
        <w:pStyle w:val="Heading3"/>
        <w:spacing w:after="140" w:before="220"/>
      </w:pPr>
      <w:r>
        <w:t xml:space="preserve">Personnaliser la mise en page</w:t>
      </w:r>
    </w:p>
    <w:p>
      <w:pPr>
        <w:spacing w:after="140"/>
      </w:pPr>
      <w:r>
        <w:rPr>
          <w:rFonts w:ascii="Consolas" w:cs="Consolas" w:eastAsia="Consolas" w:hAnsi="Consolas"/>
          <w:sz w:val="19"/>
          <w:szCs w:val="19"/>
        </w:rPr>
        <w:t xml:space="preserve">Profils &gt; Diagnostic Messagerie</w:t>
      </w:r>
      <w:r>
        <w:t xml:space="preserve"> permet de réordonner et de masquer les blocs de résultat, puis </w:t>
      </w:r>
      <w:r>
        <w:rPr>
          <w:b/>
          <w:bCs/>
        </w:rPr>
        <w:t xml:space="preserve">Enregistrer</w:t>
      </w:r>
      <w:r>
        <w:t xml:space="preserve">. Le bouton </w:t>
      </w:r>
      <w:r>
        <w:rPr>
          <w:b/>
          <w:bCs/>
        </w:rPr>
        <w:t xml:space="preserve">Réinitialiser</w:t>
      </w:r>
      <w:r>
        <w:t xml:space="preserve"> rétablit la disposition d'origine.</w:t>
      </w:r>
    </w:p>
    <w:p>
      <w:pPr>
        <w:pStyle w:val="Heading2"/>
        <w:spacing w:after="140" w:before="320"/>
      </w:pPr>
      <w:r>
        <w:t xml:space="preserve">15. Personnaliser l'interface (Profils)</w:t>
      </w:r>
    </w:p>
    <w:p>
      <w:pPr>
        <w:spacing w:after="140"/>
      </w:pPr>
      <w:r>
        <w:t xml:space="preserve">Bouton </w:t>
      </w:r>
      <w:r>
        <w:rPr>
          <w:b/>
          <w:bCs/>
        </w:rPr>
        <w:t xml:space="preserve">Profils</w:t>
      </w:r>
      <w:r>
        <w:t xml:space="preserve">, en haut à droite. Deux onglets, un bouton </w:t>
      </w:r>
      <w:r>
        <w:rPr>
          <w:b/>
          <w:bCs/>
        </w:rPr>
        <w:t xml:space="preserve">Enregistrer</w:t>
      </w:r>
      <w:r>
        <w:t xml:space="preserve"> commun.</w:t>
      </w:r>
    </w:p>
    <w:p>
      <w:pPr>
        <w:pStyle w:val="Heading3"/>
        <w:spacing w:after="140" w:before="220"/>
      </w:pPr>
      <w:r>
        <w:t xml:space="preserve">Onglet TenantPulse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55"/>
        <w:gridCol w:w="6371"/>
      </w:tblGrid>
      <w:tr>
        <w:trPr>
          <w:tblHeader/>
        </w:trPr>
        <w:tc>
          <w:tcPr>
            <w:tcW w:type="dxa" w:w="2655"/>
            <w:shd w:fill="EFEFEF" w:color="auto" w:val="clear"/>
            <w:tcMar>
              <w:top w:type="dxa" w:w="60"/>
              <w:left w:type="dxa" w:w="100"/>
              <w:bottom w:type="dxa" w:w="60"/>
              <w:right w:type="dxa" w:w="100"/>
            </w:tcMar>
          </w:tcPr>
          <w:p>
            <w:pPr>
              <w:spacing w:after="0" w:before="0"/>
            </w:pPr>
            <w:r>
              <w:rPr>
                <w:b/>
                <w:bCs/>
              </w:rPr>
              <w:t xml:space="preserve">Réglage</w:t>
            </w:r>
          </w:p>
        </w:tc>
        <w:tc>
          <w:tcPr>
            <w:tcW w:type="dxa" w:w="6371"/>
            <w:shd w:fill="EFEFEF" w:color="auto" w:val="clear"/>
            <w:tcMar>
              <w:top w:type="dxa" w:w="60"/>
              <w:left w:type="dxa" w:w="100"/>
              <w:bottom w:type="dxa" w:w="60"/>
              <w:right w:type="dxa" w:w="100"/>
            </w:tcMar>
          </w:tcPr>
          <w:p>
            <w:pPr>
              <w:spacing w:after="0" w:before="0"/>
            </w:pPr>
            <w:r>
              <w:rPr>
                <w:b/>
                <w:bCs/>
              </w:rPr>
              <w:t xml:space="preserve">Effet</w:t>
            </w:r>
          </w:p>
        </w:tc>
      </w:tr>
      <w:tr>
        <w:trPr>
          <w:tblHeader w:val="false"/>
        </w:trPr>
        <w:tc>
          <w:tcPr>
            <w:tcW w:type="dxa" w:w="2655"/>
            <w:tcMar>
              <w:top w:type="dxa" w:w="60"/>
              <w:left w:type="dxa" w:w="100"/>
              <w:bottom w:type="dxa" w:w="60"/>
              <w:right w:type="dxa" w:w="100"/>
            </w:tcMar>
          </w:tcPr>
          <w:p>
            <w:pPr>
              <w:spacing w:after="0" w:before="0"/>
            </w:pPr>
            <w:r>
              <w:rPr>
                <w:b/>
                <w:bCs/>
              </w:rPr>
              <w:t xml:space="preserve">Mode d'analyse</w:t>
            </w:r>
          </w:p>
        </w:tc>
        <w:tc>
          <w:tcPr>
            <w:tcW w:type="dxa" w:w="6371"/>
            <w:tcMar>
              <w:top w:type="dxa" w:w="60"/>
              <w:left w:type="dxa" w:w="100"/>
              <w:bottom w:type="dxa" w:w="60"/>
              <w:right w:type="dxa" w:w="100"/>
            </w:tcMar>
          </w:tcPr>
          <w:p>
            <w:pPr>
              <w:spacing w:after="0" w:before="0"/>
            </w:pPr>
            <w:r>
              <w:t xml:space="preserve">Automatique (un bouton qui enchaîne) ou Manuel (deux boutons). Voir section 4.</w:t>
            </w:r>
          </w:p>
        </w:tc>
      </w:tr>
      <w:tr>
        <w:trPr>
          <w:tblHeader w:val="false"/>
        </w:trPr>
        <w:tc>
          <w:tcPr>
            <w:tcW w:type="dxa" w:w="2655"/>
            <w:tcMar>
              <w:top w:type="dxa" w:w="60"/>
              <w:left w:type="dxa" w:w="100"/>
              <w:bottom w:type="dxa" w:w="60"/>
              <w:right w:type="dxa" w:w="100"/>
            </w:tcMar>
          </w:tcPr>
          <w:p>
            <w:pPr>
              <w:spacing w:after="0" w:before="0"/>
            </w:pPr>
            <w:r>
              <w:rPr>
                <w:b/>
                <w:bCs/>
              </w:rPr>
              <w:t xml:space="preserve">Rétention de l'historique</w:t>
            </w:r>
          </w:p>
        </w:tc>
        <w:tc>
          <w:tcPr>
            <w:tcW w:type="dxa" w:w="6371"/>
            <w:tcMar>
              <w:top w:type="dxa" w:w="60"/>
              <w:left w:type="dxa" w:w="100"/>
              <w:bottom w:type="dxa" w:w="60"/>
              <w:right w:type="dxa" w:w="100"/>
            </w:tcMar>
          </w:tcPr>
          <w:p>
            <w:pPr>
              <w:spacing w:after="0" w:before="0"/>
            </w:pPr>
            <w:r>
              <w:t xml:space="preserve">Nombre maximum de tenants et durée de conservation. Voir section 11.</w:t>
            </w:r>
          </w:p>
        </w:tc>
      </w:tr>
      <w:tr>
        <w:trPr>
          <w:tblHeader w:val="false"/>
        </w:trPr>
        <w:tc>
          <w:tcPr>
            <w:tcW w:type="dxa" w:w="2655"/>
            <w:tcMar>
              <w:top w:type="dxa" w:w="60"/>
              <w:left w:type="dxa" w:w="100"/>
              <w:bottom w:type="dxa" w:w="60"/>
              <w:right w:type="dxa" w:w="100"/>
            </w:tcMar>
          </w:tcPr>
          <w:p>
            <w:pPr>
              <w:spacing w:after="0" w:before="0"/>
            </w:pPr>
            <w:r>
              <w:rPr>
                <w:b/>
                <w:bCs/>
              </w:rPr>
              <w:t xml:space="preserve">Raccourcis</w:t>
            </w:r>
          </w:p>
        </w:tc>
        <w:tc>
          <w:tcPr>
            <w:tcW w:type="dxa" w:w="6371"/>
            <w:tcMar>
              <w:top w:type="dxa" w:w="60"/>
              <w:left w:type="dxa" w:w="100"/>
              <w:bottom w:type="dxa" w:w="60"/>
              <w:right w:type="dxa" w:w="100"/>
            </w:tcMar>
          </w:tcPr>
          <w:p>
            <w:pPr>
              <w:spacing w:after="0" w:before="0"/>
            </w:pPr>
            <w:r>
              <w:t xml:space="preserve">Activer ou désactiver chaque tuile de centre d'administration, et les </w:t>
            </w:r>
            <w:r>
              <w:rPr>
                <w:b/>
                <w:bCs/>
              </w:rPr>
              <w:t xml:space="preserve">réordonner par glisser-déposer</w:t>
            </w:r>
            <w:r>
              <w:t xml:space="preserve">. Partner Center reste épinglé en tête.</w:t>
            </w:r>
          </w:p>
        </w:tc>
      </w:tr>
    </w:tbl>
    <w:p>
      <w:pPr>
        <w:spacing w:after="120"/>
      </w:pPr>
    </w:p>
    <w:p>
      <w:pPr>
        <w:spacing w:after="140"/>
      </w:pPr>
      <w:r>
        <w:t xml:space="preserve">Deux boutons de confort en bas : </w:t>
      </w:r>
      <w:r>
        <w:rPr>
          <w:b/>
          <w:bCs/>
        </w:rPr>
        <w:t xml:space="preserve">Tout activer</w:t>
      </w:r>
      <w:r>
        <w:t xml:space="preserve"> et </w:t>
      </w:r>
      <w:r>
        <w:rPr>
          <w:b/>
          <w:bCs/>
        </w:rPr>
        <w:t xml:space="preserve">Tout désactiver</w:t>
      </w:r>
      <w:r>
        <w:t xml:space="preserve">.</w:t>
      </w:r>
    </w:p>
    <w:p>
      <w:pPr>
        <w:pStyle w:val="Heading3"/>
        <w:spacing w:after="140" w:before="220"/>
      </w:pPr>
      <w:r>
        <w:t xml:space="preserve">Onglet Diagnostic Messagerie</w:t>
      </w:r>
    </w:p>
    <w:p>
      <w:pPr>
        <w:spacing w:after="140"/>
      </w:pPr>
      <w:r>
        <w:t xml:space="preserve">Ordre et visibilité des blocs de résultat de l'analyseur d'en-têtes, par glisser-déposer, avec un bouton </w:t>
      </w:r>
      <w:r>
        <w:rPr>
          <w:b/>
          <w:bCs/>
        </w:rPr>
        <w:t xml:space="preserve">Réinitialiser</w:t>
      </w:r>
      <w:r>
        <w:t xml:space="preserve">.</w:t>
      </w:r>
    </w:p>
    <w:p>
      <w:pPr>
        <w:spacing w:after="140"/>
      </w:pPr>
      <w:r>
        <w:t xml:space="preserve">Les préférences sont enregistrées </w:t>
      </w:r>
      <w:r>
        <w:rPr>
          <w:b/>
          <w:bCs/>
        </w:rPr>
        <w:t xml:space="preserve">dans votre navigateur</w:t>
      </w:r>
      <w:r>
        <w:t xml:space="preserve"> : elles ne suivent pas d'un poste à l'autre.</w:t>
      </w:r>
    </w:p>
    <w:p>
      <w:pPr>
        <w:pStyle w:val="Heading2"/>
        <w:spacing w:after="140" w:before="320"/>
      </w:pPr>
      <w:r>
        <w:t xml:space="preserve">16. Paramètres &amp; Confidentialité</w:t>
      </w:r>
    </w:p>
    <w:p>
      <w:pPr>
        <w:spacing w:after="140"/>
      </w:pPr>
      <w:r>
        <w:t xml:space="preserve">Menu déroulant en haut à droite. Six sections.</w:t>
      </w:r>
    </w:p>
    <w:p>
      <w:pPr>
        <w:pStyle w:val="Heading3"/>
        <w:spacing w:after="140" w:before="220"/>
      </w:pPr>
      <w:r>
        <w:t xml:space="preserve">Apparence</w:t>
      </w:r>
    </w:p>
    <w:p>
      <w:pPr>
        <w:spacing w:after="140"/>
      </w:pPr>
      <w:r>
        <w:rPr>
          <w:b/>
          <w:bCs/>
        </w:rPr>
        <w:t xml:space="preserve">Mode sombre</w:t>
      </w:r>
      <w:r>
        <w:t xml:space="preserve">. Par défaut, TenantPulse suit </w:t>
      </w:r>
      <w:r>
        <w:rPr>
          <w:b/>
          <w:bCs/>
        </w:rPr>
        <w:t xml:space="preserve">automatiquement</w:t>
      </w:r>
      <w:r>
        <w:t xml:space="preserve"> le thème clair ou sombre du système (Windows, Edge). L'interrupteur permet de forcer un mode.</w:t>
      </w:r>
    </w:p>
    <w:p>
      <w:pPr>
        <w:pStyle w:val="Heading3"/>
        <w:spacing w:after="140" w:before="220"/>
      </w:pPr>
      <w:r>
        <w:t xml:space="preserve">Gestion d'historique</w:t>
      </w:r>
    </w:p>
    <w:p>
      <w:pPr>
        <w:spacing w:after="140"/>
      </w:pPr>
      <w:r>
        <w:t xml:space="preserve">Interrupteur d'activation de l'historique des Tenant ID. Voir section 11.</w:t>
      </w:r>
    </w:p>
    <w:p>
      <w:pPr>
        <w:pStyle w:val="Heading3"/>
        <w:spacing w:after="140" w:before="220"/>
      </w:pPr>
      <w:r>
        <w:t xml:space="preserve">Indicateur de cache</w:t>
      </w:r>
    </w:p>
    <w:p>
      <w:pPr>
        <w:spacing w:after="140"/>
      </w:pPr>
      <w:r>
        <w:t xml:space="preserve">Légende des cinq états de la pastille de cache. Section de référence, sans réglage.</w:t>
      </w:r>
    </w:p>
    <w:p>
      <w:pPr>
        <w:pStyle w:val="Heading3"/>
        <w:spacing w:after="140" w:before="220"/>
      </w:pPr>
      <w:r>
        <w:t xml:space="preserve">Résolveur DNS</w:t>
      </w:r>
    </w:p>
    <w:p>
      <w:pPr>
        <w:spacing w:after="140"/>
      </w:pPr>
      <w:r>
        <w:t xml:space="preserve">Trois choix : </w:t>
      </w:r>
      <w:r>
        <w:rPr>
          <w:b/>
          <w:bCs/>
        </w:rPr>
        <w:t xml:space="preserve">Automatique</w:t>
      </w:r>
      <w:r>
        <w:t xml:space="preserve"> (défaut), </w:t>
      </w:r>
      <w:r>
        <w:rPr>
          <w:b/>
          <w:bCs/>
        </w:rPr>
        <w:t xml:space="preserve">Cloudflare</w:t>
      </w:r>
      <w:r>
        <w:t xml:space="preserve">, </w:t>
      </w:r>
      <w:r>
        <w:rPr>
          <w:b/>
          <w:bCs/>
        </w:rPr>
        <w:t xml:space="preserve">Google</w:t>
      </w:r>
      <w:r>
        <w:t xml:space="preserve">.</w:t>
      </w:r>
    </w:p>
    <w:p>
      <w:pPr>
        <w:spacing w:after="140"/>
      </w:pPr>
      <w:r>
        <w:t xml:space="preserve">En mode automatique, l'application interroge Cloudflare et ne bascule sur Google qu'après un échec avéré. Forcer un résolveur est utile quand l'un des deux est bloqué par le réseau de l'entreprise.</w:t>
      </w:r>
    </w:p>
    <w:p>
      <w:pPr>
        <w:pStyle w:val="Heading3"/>
        <w:spacing w:after="140" w:before="220"/>
      </w:pPr>
      <w:r>
        <w:t xml:space="preserve">APIs utilisées</w:t>
      </w:r>
    </w:p>
    <w:p>
      <w:pPr>
        <w:spacing w:after="140"/>
      </w:pPr>
      <w:r>
        <w:t xml:space="preserve">Liste des services publics interrogés, avec le détail de chacun au clic : </w:t>
      </w:r>
      <w:r>
        <w:rPr>
          <w:rFonts w:ascii="Consolas" w:cs="Consolas" w:eastAsia="Consolas" w:hAnsi="Consolas"/>
          <w:sz w:val="19"/>
          <w:szCs w:val="19"/>
        </w:rPr>
        <w:t xml:space="preserve">cloudflare-dns.com</w:t>
      </w:r>
      <w:r>
        <w:t xml:space="preserve">, </w:t>
      </w:r>
      <w:r>
        <w:rPr>
          <w:rFonts w:ascii="Consolas" w:cs="Consolas" w:eastAsia="Consolas" w:hAnsi="Consolas"/>
          <w:sz w:val="19"/>
          <w:szCs w:val="19"/>
        </w:rPr>
        <w:t xml:space="preserve">dns.google</w:t>
      </w:r>
      <w:r>
        <w:t xml:space="preserve">, </w:t>
      </w:r>
      <w:r>
        <w:rPr>
          <w:rFonts w:ascii="Consolas" w:cs="Consolas" w:eastAsia="Consolas" w:hAnsi="Consolas"/>
          <w:sz w:val="19"/>
          <w:szCs w:val="19"/>
        </w:rPr>
        <w:t xml:space="preserve">rdap.org</w:t>
      </w:r>
      <w:r>
        <w:t xml:space="preserve">, </w:t>
      </w:r>
      <w:r>
        <w:rPr>
          <w:rFonts w:ascii="Consolas" w:cs="Consolas" w:eastAsia="Consolas" w:hAnsi="Consolas"/>
          <w:sz w:val="19"/>
          <w:szCs w:val="19"/>
        </w:rPr>
        <w:t xml:space="preserve">login.microsoftonline.com</w:t>
      </w:r>
      <w:r>
        <w:t xml:space="preserve">, </w:t>
      </w:r>
      <w:r>
        <w:rPr>
          <w:rFonts w:ascii="Consolas" w:cs="Consolas" w:eastAsia="Consolas" w:hAnsi="Consolas"/>
          <w:sz w:val="19"/>
          <w:szCs w:val="19"/>
        </w:rPr>
        <w:t xml:space="preserve">accounts.google.com</w:t>
      </w:r>
      <w:r>
        <w:t xml:space="preserve">. Toutes les requêtes sont </w:t>
      </w:r>
      <w:r>
        <w:rPr>
          <w:b/>
          <w:bCs/>
        </w:rPr>
        <w:t xml:space="preserve">directes</w:t>
      </w:r>
      <w:r>
        <w:t xml:space="preserve">, sans proxy tiers.</w:t>
      </w:r>
    </w:p>
    <w:p>
      <w:pPr>
        <w:pStyle w:val="Heading3"/>
        <w:spacing w:after="140" w:before="220"/>
      </w:pPr>
      <w:r>
        <w:t xml:space="preserve">Stockage local</w:t>
      </w:r>
    </w:p>
    <w:p>
      <w:pPr>
        <w:spacing w:after="140"/>
      </w:pPr>
      <w:r>
        <w:rPr>
          <w:b/>
          <w:bCs/>
        </w:rPr>
        <w:t xml:space="preserve">Inspecter les données stockées</w:t>
      </w:r>
      <w:r>
        <w:t xml:space="preserve"> ouvre un panneau qui énumère </w:t>
      </w:r>
      <w:r>
        <w:rPr>
          <w:b/>
          <w:bCs/>
        </w:rPr>
        <w:t xml:space="preserve">tout</w:t>
      </w:r>
      <w:r>
        <w:t xml:space="preserve"> ce que l'application conserve dans le navigateur, clé par clé, avec sa taille. Chaque entrée peut être supprimée individuellement.</w:t>
      </w:r>
    </w:p>
    <w:p>
      <w:pPr>
        <w:spacing w:after="140"/>
      </w:pPr>
      <w:r>
        <w:t xml:space="preserve">Le bouton </w:t>
      </w:r>
      <w:r>
        <w:rPr>
          <w:b/>
          <w:bCs/>
        </w:rPr>
        <w:t xml:space="preserve">« Tout vider »</w:t>
      </w:r>
      <w:r>
        <w:t xml:space="preserve"> efface le stockage de session </w:t>
      </w:r>
      <w:r>
        <w:rPr>
          <w:b/>
          <w:bCs/>
        </w:rPr>
        <w:t xml:space="preserve">et</w:t>
      </w:r>
      <w:r>
        <w:t xml:space="preserve"> le stockage persistant, </w:t>
      </w:r>
      <w:r>
        <w:rPr>
          <w:b/>
          <w:bCs/>
        </w:rPr>
        <w:t xml:space="preserve">et</w:t>
      </w:r>
      <w:r>
        <w:t xml:space="preserve"> ferme la session Microsoft Graph. Après cette action, il ne reste rien.</w:t>
      </w:r>
    </w:p>
    <w:p>
      <w:pPr>
        <w:spacing w:after="140"/>
      </w:pPr>
      <w:r>
        <w:t xml:space="preserve">Les valeurs sensibles (jetons, vérificateurs) sont </w:t>
      </w:r>
      <w:r>
        <w:rPr>
          <w:b/>
          <w:bCs/>
        </w:rPr>
        <w:t xml:space="preserve">masquées à l'affichage</w:t>
      </w:r>
      <w:r>
        <w:t xml:space="preserve"> : le panneau montre ce qui est stocké, pas un secret réutilisable à l'écran.</w:t>
      </w:r>
    </w:p>
    <w:p>
      <w:pPr>
        <w:pStyle w:val="Heading2"/>
        <w:spacing w:after="140" w:before="320"/>
      </w:pPr>
      <w:r>
        <w:t xml:space="preserve">17. Le bandeau d'information</w:t>
      </w:r>
    </w:p>
    <w:p>
      <w:pPr>
        <w:spacing w:after="140"/>
      </w:pPr>
      <w:r>
        <w:t xml:space="preserve">Un admin peut publier un message qui s'affiche </w:t>
      </w:r>
      <w:r>
        <w:rPr>
          <w:b/>
          <w:bCs/>
        </w:rPr>
        <w:t xml:space="preserve">en bas de l'écran</w:t>
      </w:r>
      <w:r>
        <w:t xml:space="preserve"> pour tout le monde : maintenance, incident connu, information de service.</w:t>
      </w:r>
    </w:p>
    <w:p>
      <w:pPr>
        <w:pStyle w:val="ListParagraph"/>
        <w:numPr>
          <w:ilvl w:val="0"/>
          <w:numId w:val="1"/>
        </w:numPr>
        <w:spacing w:after="80"/>
      </w:pPr>
      <w:r>
        <w:t xml:space="preserve">Un </w:t>
      </w:r>
      <w:r>
        <w:rPr>
          <w:b/>
          <w:bCs/>
        </w:rPr>
        <w:t xml:space="preserve">clic sur le bandeau</w:t>
      </w:r>
      <w:r>
        <w:t xml:space="preserve"> déroule le message en entier s'il est tronqué.</w:t>
      </w:r>
    </w:p>
    <w:p>
      <w:pPr>
        <w:pStyle w:val="ListParagraph"/>
        <w:numPr>
          <w:ilvl w:val="0"/>
          <w:numId w:val="1"/>
        </w:numPr>
        <w:spacing w:after="80"/>
      </w:pPr>
      <w:r>
        <w:t xml:space="preserve">Le bouton </w:t>
      </w:r>
      <w:r>
        <w:rPr>
          <w:b/>
          <w:bCs/>
        </w:rPr>
        <w:t xml:space="preserve">✕</w:t>
      </w:r>
      <w:r>
        <w:t xml:space="preserve"> le masque. Le masquage vaut pour </w:t>
      </w:r>
      <w:r>
        <w:rPr>
          <w:b/>
          <w:bCs/>
        </w:rPr>
        <w:t xml:space="preserve">ce message précis</w:t>
      </w:r>
      <w:r>
        <w:t xml:space="preserve"> : une nouvelle publication réapparaîtra chez tout le monde.</w:t>
      </w:r>
    </w:p>
    <w:p>
      <w:pPr>
        <w:pStyle w:val="ListParagraph"/>
        <w:numPr>
          <w:ilvl w:val="0"/>
          <w:numId w:val="1"/>
        </w:numPr>
        <w:spacing w:after="80"/>
      </w:pPr>
      <w:r>
        <w:t xml:space="preserve">Après masquage, un petit bouton </w:t>
      </w:r>
      <w:r>
        <w:rPr>
          <w:b/>
          <w:bCs/>
        </w:rPr>
        <w:t xml:space="preserve">« i »</w:t>
      </w:r>
      <w:r>
        <w:t xml:space="preserve"> permet de le revoir.</w:t>
      </w:r>
    </w:p>
    <w:p>
      <w:pPr>
        <w:spacing w:after="60"/>
      </w:pPr>
    </w:p>
    <w:p>
      <w:pPr>
        <w:spacing w:after="140"/>
      </w:pPr>
      <w:r>
        <w:t xml:space="preserve">L'expiration du message est décidée côté serveur : un bandeau périmé disparaît même si l'horloge du poste est fausse.</w:t>
      </w:r>
    </w:p>
    <w:p>
      <w:pPr>
        <w:pStyle w:val="Heading2"/>
        <w:spacing w:after="140" w:before="320"/>
      </w:pPr>
      <w:r>
        <w:t xml:space="preserve">18. L'extension navigateur</w:t>
      </w:r>
    </w:p>
    <w:p>
      <w:pPr>
        <w:pStyle w:val="Heading3"/>
        <w:spacing w:after="140" w:before="220"/>
      </w:pPr>
      <w:r>
        <w:t xml:space="preserve">Ce qu'elle apporte</w:t>
      </w:r>
    </w:p>
    <w:p>
      <w:pPr>
        <w:spacing w:after="140"/>
      </w:pPr>
      <w:r>
        <w:t xml:space="preserve">Une extension Chromium (Chrome, Edge, Brave, Vivaldi, Opera) qui met la recherche de Tenant ID et les raccourcis d'administration à un clic, sans ouvrir l'application :</w:t>
      </w:r>
    </w:p>
    <w:p>
      <w:pPr>
        <w:pStyle w:val="ListParagraph"/>
        <w:numPr>
          <w:ilvl w:val="0"/>
          <w:numId w:val="1"/>
        </w:numPr>
        <w:spacing w:after="80"/>
      </w:pPr>
      <w:r>
        <w:t xml:space="preserve">champ de recherche par </w:t>
      </w:r>
      <w:r>
        <w:rPr>
          <w:b/>
          <w:bCs/>
        </w:rPr>
        <w:t xml:space="preserve">domaine, adresse e-mail ou Tenant ID</w:t>
      </w:r>
      <w:r>
        <w:t xml:space="preserve"> ;</w:t>
      </w:r>
    </w:p>
    <w:p>
      <w:pPr>
        <w:pStyle w:val="ListParagraph"/>
        <w:numPr>
          <w:ilvl w:val="0"/>
          <w:numId w:val="1"/>
        </w:numPr>
        <w:spacing w:after="80"/>
      </w:pPr>
      <w:r>
        <w:rPr>
          <w:b/>
          <w:bCs/>
        </w:rPr>
        <w:t xml:space="preserve">tuiles de redirection</w:t>
      </w:r>
      <w:r>
        <w:t xml:space="preserve"> et sous-menus de raccourcis, dans l'ordre de votre profil ;</w:t>
      </w:r>
    </w:p>
    <w:p>
      <w:pPr>
        <w:pStyle w:val="ListParagraph"/>
        <w:numPr>
          <w:ilvl w:val="0"/>
          <w:numId w:val="1"/>
        </w:numPr>
        <w:spacing w:after="80"/>
      </w:pPr>
      <w:r>
        <w:rPr>
          <w:b/>
          <w:bCs/>
        </w:rPr>
        <w:t xml:space="preserve">recherches récentes</w:t>
      </w:r>
      <w:r>
        <w:t xml:space="preserve"> ;</w:t>
      </w:r>
    </w:p>
    <w:p>
      <w:pPr>
        <w:pStyle w:val="ListParagraph"/>
        <w:numPr>
          <w:ilvl w:val="0"/>
          <w:numId w:val="1"/>
        </w:numPr>
        <w:spacing w:after="80"/>
      </w:pPr>
      <w:r>
        <w:rPr>
          <w:b/>
          <w:bCs/>
        </w:rPr>
        <w:t xml:space="preserve">badges de classification</w:t>
      </w:r>
      <w:r>
        <w:t xml:space="preserve"> en lecture seule ;</w:t>
      </w:r>
    </w:p>
    <w:p>
      <w:pPr>
        <w:pStyle w:val="ListParagraph"/>
        <w:numPr>
          <w:ilvl w:val="0"/>
          <w:numId w:val="1"/>
        </w:numPr>
        <w:spacing w:after="80"/>
      </w:pPr>
      <w:r>
        <w:t xml:space="preserve">lien de pied de page vers l'application pour l'analyse approfondie.</w:t>
      </w:r>
    </w:p>
    <w:p>
      <w:pPr>
        <w:spacing w:after="60"/>
      </w:pPr>
    </w:p>
    <w:p>
      <w:pPr>
        <w:spacing w:after="140"/>
      </w:pPr>
      <w:r>
        <w:rPr>
          <w:b/>
          <w:bCs/>
        </w:rPr>
        <w:t xml:space="preserve">Hors périmètre de l'extension</w:t>
      </w:r>
      <w:r>
        <w:t xml:space="preserve"> : DNS, score de sécurité, WHOIS, hébergeur, pose de tags. Pour tout cela, il faut l'application.</w:t>
      </w:r>
    </w:p>
    <w:p>
      <w:pPr>
        <w:pStyle w:val="Heading3"/>
        <w:spacing w:after="140" w:before="220"/>
      </w:pPr>
      <w:r>
        <w:t xml:space="preserve">Le panneau Dynamics 365</w:t>
      </w:r>
    </w:p>
    <w:p>
      <w:pPr>
        <w:spacing w:after="140"/>
      </w:pPr>
      <w:r>
        <w:t xml:space="preserve">Option activable depuis la popup de l'extension : sur une fiche incident Dynamics 365, un panneau affiche le </w:t>
      </w:r>
      <w:r>
        <w:rPr>
          <w:b/>
          <w:bCs/>
        </w:rPr>
        <w:t xml:space="preserve">Tenant ID du client</w:t>
      </w:r>
      <w:r>
        <w:t xml:space="preserve"> directement dans le contexte du ticket.</w:t>
      </w:r>
    </w:p>
    <w:p>
      <w:pPr>
        <w:pStyle w:val="ListParagraph"/>
        <w:numPr>
          <w:ilvl w:val="0"/>
          <w:numId w:val="1"/>
        </w:numPr>
        <w:spacing w:after="80"/>
      </w:pPr>
      <w:r>
        <w:t xml:space="preserve">Il se </w:t>
      </w:r>
      <w:r>
        <w:rPr>
          <w:b/>
          <w:bCs/>
        </w:rPr>
        <w:t xml:space="preserve">superpose</w:t>
      </w:r>
      <w:r>
        <w:t xml:space="preserve"> à la section « Santé du client » et se </w:t>
      </w:r>
      <w:r>
        <w:rPr>
          <w:b/>
          <w:bCs/>
        </w:rPr>
        <w:t xml:space="preserve">replie</w:t>
      </w:r>
      <w:r>
        <w:t xml:space="preserve"> pour la redécouvrir.</w:t>
      </w:r>
    </w:p>
    <w:p>
      <w:pPr>
        <w:pStyle w:val="ListParagraph"/>
        <w:numPr>
          <w:ilvl w:val="0"/>
          <w:numId w:val="1"/>
        </w:numPr>
        <w:spacing w:after="80"/>
      </w:pPr>
      <w:r>
        <w:t xml:space="preserve">Si cette section est introuvable (interface renommée, autre langue), il bascule en </w:t>
      </w:r>
      <w:r>
        <w:rPr>
          <w:b/>
          <w:bCs/>
        </w:rPr>
        <w:t xml:space="preserve">tiroir ancré à droite</w:t>
      </w:r>
      <w:r>
        <w:t xml:space="preserve">, déplaçable à la main.</w:t>
      </w:r>
    </w:p>
    <w:p>
      <w:pPr>
        <w:pStyle w:val="ListParagraph"/>
        <w:numPr>
          <w:ilvl w:val="0"/>
          <w:numId w:val="1"/>
        </w:numPr>
        <w:spacing w:after="80"/>
      </w:pPr>
      <w:r>
        <w:t xml:space="preserve">Le domaine du client est lu avec </w:t>
      </w:r>
      <w:r>
        <w:rPr>
          <w:b/>
          <w:bCs/>
        </w:rPr>
        <w:t xml:space="preserve">vos propres droits</w:t>
      </w:r>
      <w:r>
        <w:t xml:space="preserve"> Dataverse : l'extension ne voit rien que vous n'ayez déjà le droit de voir.</w:t>
      </w:r>
    </w:p>
    <w:p>
      <w:pPr>
        <w:spacing w:after="60"/>
      </w:pPr>
    </w:p>
    <w:p>
      <w:pPr>
        <w:pStyle w:val="Heading3"/>
        <w:spacing w:after="140" w:before="220"/>
      </w:pPr>
      <w:r>
        <w:t xml:space="preserve">Installation</w:t>
      </w:r>
    </w:p>
    <w:p>
      <w:pPr>
        <w:pStyle w:val="ListParagraph"/>
        <w:numPr>
          <w:ilvl w:val="0"/>
          <w:numId w:val="1"/>
        </w:numPr>
        <w:spacing w:after="80"/>
      </w:pPr>
      <w:r>
        <w:t xml:space="preserve">Voie principale : </w:t>
      </w:r>
      <w:r>
        <w:rPr>
          <w:b/>
          <w:bCs/>
        </w:rPr>
        <w:t xml:space="preserve">déploiement par politique d'entreprise</w:t>
      </w:r>
      <w:r>
        <w:t xml:space="preserve"> sur les postes gérés, sans action de l'utilisateur.</w:t>
      </w:r>
    </w:p>
    <w:p>
      <w:pPr>
        <w:pStyle w:val="ListParagraph"/>
        <w:numPr>
          <w:ilvl w:val="0"/>
          <w:numId w:val="1"/>
        </w:numPr>
        <w:spacing w:after="80"/>
      </w:pPr>
      <w:r>
        <w:t xml:space="preserve">Sur un poste non géré : le bouton </w:t>
      </w:r>
      <w:r>
        <w:rPr>
          <w:b/>
          <w:bCs/>
        </w:rPr>
        <w:t xml:space="preserve">« Ajouter l'extension »</w:t>
      </w:r>
      <w:r>
        <w:t xml:space="preserve"> de la barre noire de l'application conduit à la fiche du magasin, quand elle est configurée.</w:t>
      </w:r>
    </w:p>
    <w:p>
      <w:pPr>
        <w:spacing w:after="60"/>
      </w:pPr>
    </w:p>
    <w:p>
      <w:pPr>
        <w:spacing w:after="140"/>
      </w:pPr>
      <w:r>
        <w:t xml:space="preserve">La barre noire de l'application indique l'état : pastille verte </w:t>
      </w:r>
      <w:r>
        <w:rPr>
          <w:b/>
          <w:bCs/>
        </w:rPr>
        <w:t xml:space="preserve">« Extension active »</w:t>
      </w:r>
      <w:r>
        <w:t xml:space="preserve"> avec la version en infobulle, ou bouton d'installation si elle est absente.</w:t>
      </w:r>
    </w:p>
    <w:p>
      <w:pPr>
        <w:pStyle w:val="Heading3"/>
        <w:spacing w:after="140" w:before="220"/>
      </w:pPr>
      <w:r>
        <w:t xml:space="preserve">Pourquoi l'extension peut être inerte</w:t>
      </w:r>
    </w:p>
    <w:p>
      <w:pPr>
        <w:spacing w:after="140"/>
      </w:pPr>
      <w:r>
        <w:t xml:space="preserve">L'extension est </w:t>
      </w:r>
      <w:r>
        <w:rPr>
          <w:b/>
          <w:bCs/>
        </w:rPr>
        <w:t xml:space="preserve">réservée à l'organisation</w:t>
      </w:r>
      <w:r>
        <w:t xml:space="preserve">. Elle ne fonctionne qu'avec une </w:t>
      </w:r>
      <w:r>
        <w:rPr>
          <w:b/>
          <w:bCs/>
        </w:rPr>
        <w:t xml:space="preserve">attestation</w:t>
      </w:r>
      <w:r>
        <w:t xml:space="preserve"> d'appartenance, obtenue en ouvrant l'application, et valable </w:t>
      </w:r>
      <w:r>
        <w:rPr>
          <w:b/>
          <w:bCs/>
        </w:rPr>
        <w:t xml:space="preserve">7 jours</w:t>
      </w:r>
      <w:r>
        <w:t xml:space="preserve">. Sans attestation fraîche, elle refuse de chercher et </w:t>
      </w:r>
      <w:r>
        <w:rPr>
          <w:b/>
          <w:bCs/>
        </w:rPr>
        <w:t xml:space="preserve">n'émet aucune requête réseau</w:t>
      </w:r>
      <w:r>
        <w:t xml:space="preserve">.</w:t>
      </w:r>
    </w:p>
    <w:p>
      <w:pPr>
        <w:spacing w:after="140"/>
      </w:pPr>
      <w:r>
        <w:t xml:space="preserve">Remède : ouvrir l'application une fois dans le navigateur, l'attestation se rafraîchit seule. C'est aussi la raison pour laquelle une personne extérieure qui installerait l'extension n'obtiendrait qu'une coquille vide.</w:t>
      </w:r>
    </w:p>
    <w:p>
      <w:pPr>
        <w:pStyle w:val="Heading2"/>
        <w:spacing w:after="140" w:before="320"/>
      </w:pPr>
      <w:r>
        <w:t xml:space="preserve">19. Le panneau d'administration</w:t>
      </w:r>
    </w:p>
    <w:p>
      <w:pPr>
        <w:spacing w:after="140"/>
      </w:pPr>
      <w:r>
        <w:t xml:space="preserve">Bouton </w:t>
      </w:r>
      <w:r>
        <w:rPr>
          <w:b/>
          <w:bCs/>
        </w:rPr>
        <w:t xml:space="preserve">« Administration »</w:t>
      </w:r>
      <w:r>
        <w:t xml:space="preserve"> en haut à droite, visible à partir du rôle modérateur. Les sous-onglets apparaissent selon le rôle.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289"/>
        <w:gridCol w:w="1289"/>
        <w:gridCol w:w="6448"/>
      </w:tblGrid>
      <w:tr>
        <w:trPr>
          <w:tblHeader/>
        </w:trPr>
        <w:tc>
          <w:tcPr>
            <w:tcW w:type="dxa" w:w="1289"/>
            <w:shd w:fill="EFEFEF" w:color="auto" w:val="clear"/>
            <w:tcMar>
              <w:top w:type="dxa" w:w="60"/>
              <w:left w:type="dxa" w:w="100"/>
              <w:bottom w:type="dxa" w:w="60"/>
              <w:right w:type="dxa" w:w="100"/>
            </w:tcMar>
          </w:tcPr>
          <w:p>
            <w:pPr>
              <w:spacing w:after="0" w:before="0"/>
            </w:pPr>
            <w:r>
              <w:rPr>
                <w:b/>
                <w:bCs/>
              </w:rPr>
              <w:t xml:space="preserve">Sous-onglet</w:t>
            </w:r>
          </w:p>
        </w:tc>
        <w:tc>
          <w:tcPr>
            <w:tcW w:type="dxa" w:w="1289"/>
            <w:shd w:fill="EFEFEF" w:color="auto" w:val="clear"/>
            <w:tcMar>
              <w:top w:type="dxa" w:w="60"/>
              <w:left w:type="dxa" w:w="100"/>
              <w:bottom w:type="dxa" w:w="60"/>
              <w:right w:type="dxa" w:w="100"/>
            </w:tcMar>
          </w:tcPr>
          <w:p>
            <w:pPr>
              <w:spacing w:after="0" w:before="0"/>
            </w:pPr>
            <w:r>
              <w:rPr>
                <w:b/>
                <w:bCs/>
              </w:rPr>
              <w:t xml:space="preserve">Rôle minimum</w:t>
            </w:r>
          </w:p>
        </w:tc>
        <w:tc>
          <w:tcPr>
            <w:tcW w:type="dxa" w:w="6448"/>
            <w:shd w:fill="EFEFEF" w:color="auto" w:val="clear"/>
            <w:tcMar>
              <w:top w:type="dxa" w:w="60"/>
              <w:left w:type="dxa" w:w="100"/>
              <w:bottom w:type="dxa" w:w="60"/>
              <w:right w:type="dxa" w:w="100"/>
            </w:tcMar>
          </w:tcPr>
          <w:p>
            <w:pPr>
              <w:spacing w:after="0" w:before="0"/>
            </w:pPr>
            <w:r>
              <w:rPr>
                <w:b/>
                <w:bCs/>
              </w:rPr>
              <w:t xml:space="preserve">Contenu</w:t>
            </w:r>
          </w:p>
        </w:tc>
      </w:tr>
      <w:tr>
        <w:trPr>
          <w:tblHeader w:val="false"/>
        </w:trPr>
        <w:tc>
          <w:tcPr>
            <w:tcW w:type="dxa" w:w="1289"/>
            <w:tcMar>
              <w:top w:type="dxa" w:w="60"/>
              <w:left w:type="dxa" w:w="100"/>
              <w:bottom w:type="dxa" w:w="60"/>
              <w:right w:type="dxa" w:w="100"/>
            </w:tcMar>
          </w:tcPr>
          <w:p>
            <w:pPr>
              <w:spacing w:after="0" w:before="0"/>
            </w:pPr>
            <w:r>
              <w:rPr>
                <w:b/>
                <w:bCs/>
              </w:rPr>
              <w:t xml:space="preserve">Demandes</w:t>
            </w:r>
          </w:p>
        </w:tc>
        <w:tc>
          <w:tcPr>
            <w:tcW w:type="dxa" w:w="1289"/>
            <w:tcMar>
              <w:top w:type="dxa" w:w="60"/>
              <w:left w:type="dxa" w:w="100"/>
              <w:bottom w:type="dxa" w:w="60"/>
              <w:right w:type="dxa" w:w="100"/>
            </w:tcMar>
          </w:tcPr>
          <w:p>
            <w:pPr>
              <w:spacing w:after="0" w:before="0"/>
            </w:pPr>
            <w:r>
              <w:t xml:space="preserve">Modérateur</w:t>
            </w:r>
          </w:p>
        </w:tc>
        <w:tc>
          <w:tcPr>
            <w:tcW w:type="dxa" w:w="6448"/>
            <w:tcMar>
              <w:top w:type="dxa" w:w="60"/>
              <w:left w:type="dxa" w:w="100"/>
              <w:bottom w:type="dxa" w:w="60"/>
              <w:right w:type="dxa" w:w="100"/>
            </w:tcMar>
          </w:tcPr>
          <w:p>
            <w:pPr>
              <w:spacing w:after="0" w:before="0"/>
            </w:pPr>
            <w:r>
              <w:t xml:space="preserve">Propositions d'ajout et de retrait de badges, à approuver ou rejeter. Un compteur signale les demandes en attente.</w:t>
            </w:r>
          </w:p>
        </w:tc>
      </w:tr>
      <w:tr>
        <w:trPr>
          <w:tblHeader w:val="false"/>
        </w:trPr>
        <w:tc>
          <w:tcPr>
            <w:tcW w:type="dxa" w:w="1289"/>
            <w:tcMar>
              <w:top w:type="dxa" w:w="60"/>
              <w:left w:type="dxa" w:w="100"/>
              <w:bottom w:type="dxa" w:w="60"/>
              <w:right w:type="dxa" w:w="100"/>
            </w:tcMar>
          </w:tcPr>
          <w:p>
            <w:pPr>
              <w:spacing w:after="0" w:before="0"/>
            </w:pPr>
            <w:r>
              <w:rPr>
                <w:b/>
                <w:bCs/>
              </w:rPr>
              <w:t xml:space="preserve">Annuaire</w:t>
            </w:r>
          </w:p>
        </w:tc>
        <w:tc>
          <w:tcPr>
            <w:tcW w:type="dxa" w:w="1289"/>
            <w:tcMar>
              <w:top w:type="dxa" w:w="60"/>
              <w:left w:type="dxa" w:w="100"/>
              <w:bottom w:type="dxa" w:w="60"/>
              <w:right w:type="dxa" w:w="100"/>
            </w:tcMar>
          </w:tcPr>
          <w:p>
            <w:pPr>
              <w:spacing w:after="0" w:before="0"/>
            </w:pPr>
            <w:r>
              <w:t xml:space="preserve">Tous</w:t>
            </w:r>
          </w:p>
        </w:tc>
        <w:tc>
          <w:tcPr>
            <w:tcW w:type="dxa" w:w="6448"/>
            <w:tcMar>
              <w:top w:type="dxa" w:w="60"/>
              <w:left w:type="dxa" w:w="100"/>
              <w:bottom w:type="dxa" w:w="60"/>
              <w:right w:type="dxa" w:w="100"/>
            </w:tcMar>
          </w:tcPr>
          <w:p>
            <w:pPr>
              <w:spacing w:after="0" w:before="0"/>
            </w:pPr>
            <w:r>
              <w:t xml:space="preserve">Répertoire partagé des tenants classés (section 10).</w:t>
            </w:r>
          </w:p>
        </w:tc>
      </w:tr>
      <w:tr>
        <w:trPr>
          <w:tblHeader w:val="false"/>
        </w:trPr>
        <w:tc>
          <w:tcPr>
            <w:tcW w:type="dxa" w:w="1289"/>
            <w:tcMar>
              <w:top w:type="dxa" w:w="60"/>
              <w:left w:type="dxa" w:w="100"/>
              <w:bottom w:type="dxa" w:w="60"/>
              <w:right w:type="dxa" w:w="100"/>
            </w:tcMar>
          </w:tcPr>
          <w:p>
            <w:pPr>
              <w:spacing w:after="0" w:before="0"/>
            </w:pPr>
            <w:r>
              <w:rPr>
                <w:b/>
                <w:bCs/>
              </w:rPr>
              <w:t xml:space="preserve">Tags</w:t>
            </w:r>
          </w:p>
        </w:tc>
        <w:tc>
          <w:tcPr>
            <w:tcW w:type="dxa" w:w="1289"/>
            <w:tcMar>
              <w:top w:type="dxa" w:w="60"/>
              <w:left w:type="dxa" w:w="100"/>
              <w:bottom w:type="dxa" w:w="60"/>
              <w:right w:type="dxa" w:w="100"/>
            </w:tcMar>
          </w:tcPr>
          <w:p>
            <w:pPr>
              <w:spacing w:after="0" w:before="0"/>
            </w:pPr>
            <w:r>
              <w:t xml:space="preserve">Manager</w:t>
            </w:r>
          </w:p>
        </w:tc>
        <w:tc>
          <w:tcPr>
            <w:tcW w:type="dxa" w:w="6448"/>
            <w:tcMar>
              <w:top w:type="dxa" w:w="60"/>
              <w:left w:type="dxa" w:w="100"/>
              <w:bottom w:type="dxa" w:w="60"/>
              <w:right w:type="dxa" w:w="100"/>
            </w:tcMar>
          </w:tcPr>
          <w:p>
            <w:pPr>
              <w:spacing w:after="0" w:before="0"/>
            </w:pPr>
            <w:r>
              <w:t xml:space="preserve">Créer, modifier et supprimer les définitions de balises et les balises par défaut. Un compteur signale les alertes de rétention.</w:t>
            </w:r>
          </w:p>
        </w:tc>
      </w:tr>
      <w:tr>
        <w:trPr>
          <w:tblHeader w:val="false"/>
        </w:trPr>
        <w:tc>
          <w:tcPr>
            <w:tcW w:type="dxa" w:w="1289"/>
            <w:tcMar>
              <w:top w:type="dxa" w:w="60"/>
              <w:left w:type="dxa" w:w="100"/>
              <w:bottom w:type="dxa" w:w="60"/>
              <w:right w:type="dxa" w:w="100"/>
            </w:tcMar>
          </w:tcPr>
          <w:p>
            <w:pPr>
              <w:spacing w:after="0" w:before="0"/>
            </w:pPr>
            <w:r>
              <w:rPr>
                <w:b/>
                <w:bCs/>
              </w:rPr>
              <w:t xml:space="preserve">Utilisateurs</w:t>
            </w:r>
          </w:p>
        </w:tc>
        <w:tc>
          <w:tcPr>
            <w:tcW w:type="dxa" w:w="1289"/>
            <w:tcMar>
              <w:top w:type="dxa" w:w="60"/>
              <w:left w:type="dxa" w:w="100"/>
              <w:bottom w:type="dxa" w:w="60"/>
              <w:right w:type="dxa" w:w="100"/>
            </w:tcMar>
          </w:tcPr>
          <w:p>
            <w:pPr>
              <w:spacing w:after="0" w:before="0"/>
            </w:pPr>
            <w:r>
              <w:t xml:space="preserve">Manager</w:t>
            </w:r>
          </w:p>
        </w:tc>
        <w:tc>
          <w:tcPr>
            <w:tcW w:type="dxa" w:w="6448"/>
            <w:tcMar>
              <w:top w:type="dxa" w:w="60"/>
              <w:left w:type="dxa" w:w="100"/>
              <w:bottom w:type="dxa" w:w="60"/>
              <w:right w:type="dxa" w:w="100"/>
            </w:tcMar>
          </w:tcPr>
          <w:p>
            <w:pPr>
              <w:spacing w:after="0" w:before="0"/>
            </w:pPr>
            <w:r>
              <w:t xml:space="preserve">Rôles, blocage de comptes, et </w:t>
            </w:r>
            <w:r>
              <w:rPr>
                <w:b/>
                <w:bCs/>
              </w:rPr>
              <w:t xml:space="preserve">verrouillage</w:t>
            </w:r>
            <w:r>
              <w:t xml:space="preserve"> des tenants. Un manager gère les rôles tech et modérateur ; un admin gère en plus les managers. Le dernier admin ne peut pas être supprimé.</w:t>
            </w:r>
          </w:p>
        </w:tc>
      </w:tr>
      <w:tr>
        <w:trPr>
          <w:tblHeader w:val="false"/>
        </w:trPr>
        <w:tc>
          <w:tcPr>
            <w:tcW w:type="dxa" w:w="1289"/>
            <w:tcMar>
              <w:top w:type="dxa" w:w="60"/>
              <w:left w:type="dxa" w:w="100"/>
              <w:bottom w:type="dxa" w:w="60"/>
              <w:right w:type="dxa" w:w="100"/>
            </w:tcMar>
          </w:tcPr>
          <w:p>
            <w:pPr>
              <w:spacing w:after="0" w:before="0"/>
            </w:pPr>
            <w:r>
              <w:rPr>
                <w:b/>
                <w:bCs/>
              </w:rPr>
              <w:t xml:space="preserve">Bandeau</w:t>
            </w:r>
          </w:p>
        </w:tc>
        <w:tc>
          <w:tcPr>
            <w:tcW w:type="dxa" w:w="1289"/>
            <w:tcMar>
              <w:top w:type="dxa" w:w="60"/>
              <w:left w:type="dxa" w:w="100"/>
              <w:bottom w:type="dxa" w:w="60"/>
              <w:right w:type="dxa" w:w="100"/>
            </w:tcMar>
          </w:tcPr>
          <w:p>
            <w:pPr>
              <w:spacing w:after="0" w:before="0"/>
            </w:pPr>
            <w:r>
              <w:t xml:space="preserve">Admin</w:t>
            </w:r>
          </w:p>
        </w:tc>
        <w:tc>
          <w:tcPr>
            <w:tcW w:type="dxa" w:w="6448"/>
            <w:tcMar>
              <w:top w:type="dxa" w:w="60"/>
              <w:left w:type="dxa" w:w="100"/>
              <w:bottom w:type="dxa" w:w="60"/>
              <w:right w:type="dxa" w:w="100"/>
            </w:tcMar>
          </w:tcPr>
          <w:p>
            <w:pPr>
              <w:spacing w:after="0" w:before="0"/>
            </w:pPr>
            <w:r>
              <w:t xml:space="preserve">Publier, remplacer ou retirer le bandeau d'information (message, couleur, icône, durée jusqu'à 7 jours).</w:t>
            </w:r>
          </w:p>
        </w:tc>
      </w:tr>
      <w:tr>
        <w:trPr>
          <w:tblHeader w:val="false"/>
        </w:trPr>
        <w:tc>
          <w:tcPr>
            <w:tcW w:type="dxa" w:w="1289"/>
            <w:tcMar>
              <w:top w:type="dxa" w:w="60"/>
              <w:left w:type="dxa" w:w="100"/>
              <w:bottom w:type="dxa" w:w="60"/>
              <w:right w:type="dxa" w:w="100"/>
            </w:tcMar>
          </w:tcPr>
          <w:p>
            <w:pPr>
              <w:spacing w:after="0" w:before="0"/>
            </w:pPr>
            <w:r>
              <w:rPr>
                <w:b/>
                <w:bCs/>
              </w:rPr>
              <w:t xml:space="preserve">Relais DNS</w:t>
            </w:r>
          </w:p>
        </w:tc>
        <w:tc>
          <w:tcPr>
            <w:tcW w:type="dxa" w:w="1289"/>
            <w:tcMar>
              <w:top w:type="dxa" w:w="60"/>
              <w:left w:type="dxa" w:w="100"/>
              <w:bottom w:type="dxa" w:w="60"/>
              <w:right w:type="dxa" w:w="100"/>
            </w:tcMar>
          </w:tcPr>
          <w:p>
            <w:pPr>
              <w:spacing w:after="0" w:before="0"/>
            </w:pPr>
            <w:r>
              <w:t xml:space="preserve">Admin</w:t>
            </w:r>
          </w:p>
        </w:tc>
        <w:tc>
          <w:tcPr>
            <w:tcW w:type="dxa" w:w="6448"/>
            <w:tcMar>
              <w:top w:type="dxa" w:w="60"/>
              <w:left w:type="dxa" w:w="100"/>
              <w:bottom w:type="dxa" w:w="60"/>
              <w:right w:type="dxa" w:w="100"/>
            </w:tcMar>
          </w:tcPr>
          <w:p>
            <w:pPr>
              <w:spacing w:after="0" w:before="0"/>
            </w:pPr>
            <w:r>
              <w:t xml:space="preserve">Interrupteur du relais DNS de secours (section 20).</w:t>
            </w:r>
          </w:p>
        </w:tc>
      </w:tr>
      <w:tr>
        <w:trPr>
          <w:tblHeader w:val="false"/>
        </w:trPr>
        <w:tc>
          <w:tcPr>
            <w:tcW w:type="dxa" w:w="1289"/>
            <w:tcMar>
              <w:top w:type="dxa" w:w="60"/>
              <w:left w:type="dxa" w:w="100"/>
              <w:bottom w:type="dxa" w:w="60"/>
              <w:right w:type="dxa" w:w="100"/>
            </w:tcMar>
          </w:tcPr>
          <w:p>
            <w:pPr>
              <w:spacing w:after="0" w:before="0"/>
            </w:pPr>
            <w:r>
              <w:rPr>
                <w:b/>
                <w:bCs/>
              </w:rPr>
              <w:t xml:space="preserve">Accès Graph</w:t>
            </w:r>
          </w:p>
        </w:tc>
        <w:tc>
          <w:tcPr>
            <w:tcW w:type="dxa" w:w="1289"/>
            <w:tcMar>
              <w:top w:type="dxa" w:w="60"/>
              <w:left w:type="dxa" w:w="100"/>
              <w:bottom w:type="dxa" w:w="60"/>
              <w:right w:type="dxa" w:w="100"/>
            </w:tcMar>
          </w:tcPr>
          <w:p>
            <w:pPr>
              <w:spacing w:after="0" w:before="0"/>
            </w:pPr>
            <w:r>
              <w:t xml:space="preserve">Admin</w:t>
            </w:r>
          </w:p>
        </w:tc>
        <w:tc>
          <w:tcPr>
            <w:tcW w:type="dxa" w:w="6448"/>
            <w:tcMar>
              <w:top w:type="dxa" w:w="60"/>
              <w:left w:type="dxa" w:w="100"/>
              <w:bottom w:type="dxa" w:w="60"/>
              <w:right w:type="dxa" w:w="100"/>
            </w:tcMar>
          </w:tcPr>
          <w:p>
            <w:pPr>
              <w:spacing w:after="0" w:before="0"/>
            </w:pPr>
            <w:r>
              <w:t xml:space="preserve">Mode global (réservé aux managers, ou ouvert à tous) et liste nominative.</w:t>
            </w:r>
          </w:p>
        </w:tc>
      </w:tr>
    </w:tbl>
    <w:p>
      <w:pPr>
        <w:spacing w:after="120"/>
      </w:pPr>
    </w:p>
    <w:p>
      <w:pPr>
        <w:pStyle w:val="Heading3"/>
        <w:spacing w:after="140" w:before="220"/>
      </w:pPr>
      <w:r>
        <w:t xml:space="preserve">Verrouillage</w:t>
      </w:r>
    </w:p>
    <w:p>
      <w:pPr>
        <w:spacing w:after="140"/>
      </w:pPr>
      <w:r>
        <w:t xml:space="preserve">Dans </w:t>
      </w:r>
      <w:r>
        <w:rPr>
          <w:rFonts w:ascii="Consolas" w:cs="Consolas" w:eastAsia="Consolas" w:hAnsi="Consolas"/>
          <w:sz w:val="19"/>
          <w:szCs w:val="19"/>
        </w:rPr>
        <w:t xml:space="preserve">Administration &gt; Utilisateurs</w:t>
      </w:r>
      <w:r>
        <w:t xml:space="preserve">, la section </w:t>
      </w:r>
      <w:r>
        <w:rPr>
          <w:b/>
          <w:bCs/>
        </w:rPr>
        <w:t xml:space="preserve">Verrouillage des requêtes</w:t>
      </w:r>
      <w:r>
        <w:t xml:space="preserve"> permet de :</w:t>
      </w:r>
    </w:p>
    <w:p>
      <w:pPr>
        <w:pStyle w:val="ListParagraph"/>
        <w:numPr>
          <w:ilvl w:val="0"/>
          <w:numId w:val="1"/>
        </w:numPr>
        <w:spacing w:after="80"/>
      </w:pPr>
      <w:r>
        <w:rPr>
          <w:b/>
          <w:bCs/>
        </w:rPr>
        <w:t xml:space="preserve">verrouiller globalement</w:t>
      </w:r>
      <w:r>
        <w:t xml:space="preserve"> : seuls les managers et admins peuvent encore taguer ;</w:t>
      </w:r>
    </w:p>
    <w:p>
      <w:pPr>
        <w:pStyle w:val="ListParagraph"/>
        <w:numPr>
          <w:ilvl w:val="0"/>
          <w:numId w:val="1"/>
        </w:numPr>
        <w:spacing w:after="80"/>
      </w:pPr>
      <w:r>
        <w:rPr>
          <w:b/>
          <w:bCs/>
        </w:rPr>
        <w:t xml:space="preserve">verrouiller un tenant</w:t>
      </w:r>
      <w:r>
        <w:t xml:space="preserve"> en particulier, avec la même conséquence sur ce tenant.</w:t>
      </w:r>
    </w:p>
    <w:p>
      <w:pPr>
        <w:spacing w:after="60"/>
      </w:pPr>
    </w:p>
    <w:p>
      <w:pPr>
        <w:pStyle w:val="Heading2"/>
        <w:spacing w:after="140" w:before="320"/>
      </w:pPr>
      <w:r>
        <w:t xml:space="preserve">20. Le relais DNS de secours</w:t>
      </w:r>
    </w:p>
    <w:p>
      <w:pPr>
        <w:spacing w:after="140"/>
      </w:pPr>
      <w:r>
        <w:t xml:space="preserve">Quand l'étiquette </w:t>
      </w:r>
      <w:r>
        <w:rPr>
          <w:b/>
          <w:bCs/>
        </w:rPr>
        <w:t xml:space="preserve">« Relais DNS actif »</w:t>
      </w:r>
      <w:r>
        <w:t xml:space="preserve"> apparaît dans la barre noire, les résolutions DNS passent temporairement par le serveur de l'application, parce que le réseau bloque les requêtes directes.</w:t>
      </w:r>
    </w:p>
    <w:p>
      <w:pPr>
        <w:spacing w:after="140"/>
      </w:pPr>
      <w:r>
        <w:t xml:space="preserve">Points à connaître :</w:t>
      </w:r>
    </w:p>
    <w:p>
      <w:pPr>
        <w:pStyle w:val="ListParagraph"/>
        <w:numPr>
          <w:ilvl w:val="0"/>
          <w:numId w:val="1"/>
        </w:numPr>
        <w:spacing w:after="80"/>
      </w:pPr>
      <w:r>
        <w:t xml:space="preserve">C'est un </w:t>
      </w:r>
      <w:r>
        <w:rPr>
          <w:b/>
          <w:bCs/>
        </w:rPr>
        <w:t xml:space="preserve">mode de secours temporaire</w:t>
      </w:r>
      <w:r>
        <w:t xml:space="preserve">, désactivé par défaut, activable seulement par un admin depuis </w:t>
      </w:r>
      <w:r>
        <w:rPr>
          <w:rFonts w:ascii="Consolas" w:cs="Consolas" w:eastAsia="Consolas" w:hAnsi="Consolas"/>
          <w:sz w:val="19"/>
          <w:szCs w:val="19"/>
        </w:rPr>
        <w:t xml:space="preserve">Administration &gt; Relais DNS</w:t>
      </w:r>
      <w:r>
        <w:t xml:space="preserve">.</w:t>
      </w:r>
    </w:p>
    <w:p>
      <w:pPr>
        <w:pStyle w:val="ListParagraph"/>
        <w:numPr>
          <w:ilvl w:val="0"/>
          <w:numId w:val="1"/>
        </w:numPr>
        <w:spacing w:after="80"/>
      </w:pPr>
      <w:r>
        <w:t xml:space="preserve">Le fonctionnement normal reste la résolution </w:t>
      </w:r>
      <w:r>
        <w:rPr>
          <w:b/>
          <w:bCs/>
        </w:rPr>
        <w:t xml:space="preserve">directe depuis le navigateur</w:t>
      </w:r>
      <w:r>
        <w:t xml:space="preserve">.</w:t>
      </w:r>
    </w:p>
    <w:p>
      <w:pPr>
        <w:pStyle w:val="ListParagraph"/>
        <w:numPr>
          <w:ilvl w:val="0"/>
          <w:numId w:val="1"/>
        </w:numPr>
        <w:spacing w:after="80"/>
      </w:pPr>
      <w:r>
        <w:t xml:space="preserve">Ce n'est pas un correctif : le remède de fond est côté poste ou pare-feu (section 22).</w:t>
      </w:r>
    </w:p>
    <w:p>
      <w:pPr>
        <w:spacing w:after="60"/>
      </w:pPr>
    </w:p>
    <w:p>
      <w:pPr>
        <w:pStyle w:val="Heading2"/>
        <w:spacing w:after="140" w:before="320"/>
      </w:pPr>
      <w:r>
        <w:t xml:space="preserve">21. Confidentialité : ce qui sort, ce qui reste</w:t>
      </w:r>
    </w:p>
    <w:p>
      <w:pPr>
        <w:pStyle w:val="Heading3"/>
        <w:spacing w:after="140" w:before="220"/>
      </w:pPr>
      <w:r>
        <w:t xml:space="preserve">Ce qui quitte le navigateur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73"/>
        <w:gridCol w:w="2208"/>
        <w:gridCol w:w="3745"/>
      </w:tblGrid>
      <w:tr>
        <w:trPr>
          <w:tblHeader/>
        </w:trPr>
        <w:tc>
          <w:tcPr>
            <w:tcW w:type="dxa" w:w="3073"/>
            <w:shd w:fill="EFEFEF" w:color="auto" w:val="clear"/>
            <w:tcMar>
              <w:top w:type="dxa" w:w="60"/>
              <w:left w:type="dxa" w:w="100"/>
              <w:bottom w:type="dxa" w:w="60"/>
              <w:right w:type="dxa" w:w="100"/>
            </w:tcMar>
          </w:tcPr>
          <w:p>
            <w:pPr>
              <w:spacing w:after="0" w:before="0"/>
            </w:pPr>
            <w:r>
              <w:rPr>
                <w:b/>
                <w:bCs/>
              </w:rPr>
              <w:t xml:space="preserve">Destination</w:t>
            </w:r>
          </w:p>
        </w:tc>
        <w:tc>
          <w:tcPr>
            <w:tcW w:type="dxa" w:w="2208"/>
            <w:shd w:fill="EFEFEF" w:color="auto" w:val="clear"/>
            <w:tcMar>
              <w:top w:type="dxa" w:w="60"/>
              <w:left w:type="dxa" w:w="100"/>
              <w:bottom w:type="dxa" w:w="60"/>
              <w:right w:type="dxa" w:w="100"/>
            </w:tcMar>
          </w:tcPr>
          <w:p>
            <w:pPr>
              <w:spacing w:after="0" w:before="0"/>
            </w:pPr>
            <w:r>
              <w:rPr>
                <w:b/>
                <w:bCs/>
              </w:rPr>
              <w:t xml:space="preserve">Donnée envoyée</w:t>
            </w:r>
          </w:p>
        </w:tc>
        <w:tc>
          <w:tcPr>
            <w:tcW w:type="dxa" w:w="3745"/>
            <w:shd w:fill="EFEFEF" w:color="auto" w:val="clear"/>
            <w:tcMar>
              <w:top w:type="dxa" w:w="60"/>
              <w:left w:type="dxa" w:w="100"/>
              <w:bottom w:type="dxa" w:w="60"/>
              <w:right w:type="dxa" w:w="100"/>
            </w:tcMar>
          </w:tcPr>
          <w:p>
            <w:pPr>
              <w:spacing w:after="0" w:before="0"/>
            </w:pPr>
            <w:r>
              <w:rPr>
                <w:b/>
                <w:bCs/>
              </w:rPr>
              <w:t xml:space="preserve">Quand</w:t>
            </w:r>
          </w:p>
        </w:tc>
      </w:tr>
      <w:tr>
        <w:trPr>
          <w:tblHeader w:val="false"/>
        </w:trPr>
        <w:tc>
          <w:tcPr>
            <w:tcW w:type="dxa" w:w="3073"/>
            <w:tcMar>
              <w:top w:type="dxa" w:w="60"/>
              <w:left w:type="dxa" w:w="100"/>
              <w:bottom w:type="dxa" w:w="60"/>
              <w:right w:type="dxa" w:w="100"/>
            </w:tcMar>
          </w:tcPr>
          <w:p>
            <w:pPr>
              <w:spacing w:after="0" w:before="0"/>
            </w:pPr>
            <w:r>
              <w:rPr>
                <w:rFonts w:ascii="Consolas" w:cs="Consolas" w:eastAsia="Consolas" w:hAnsi="Consolas"/>
                <w:sz w:val="19"/>
                <w:szCs w:val="19"/>
              </w:rPr>
              <w:t xml:space="preserve">login.microsoftonline.com</w:t>
            </w:r>
          </w:p>
        </w:tc>
        <w:tc>
          <w:tcPr>
            <w:tcW w:type="dxa" w:w="2208"/>
            <w:tcMar>
              <w:top w:type="dxa" w:w="60"/>
              <w:left w:type="dxa" w:w="100"/>
              <w:bottom w:type="dxa" w:w="60"/>
              <w:right w:type="dxa" w:w="100"/>
            </w:tcMar>
          </w:tcPr>
          <w:p>
            <w:pPr>
              <w:spacing w:after="0" w:before="0"/>
            </w:pPr>
            <w:r>
              <w:t xml:space="preserve">Le domaine analysé</w:t>
            </w:r>
          </w:p>
        </w:tc>
        <w:tc>
          <w:tcPr>
            <w:tcW w:type="dxa" w:w="3745"/>
            <w:tcMar>
              <w:top w:type="dxa" w:w="60"/>
              <w:left w:type="dxa" w:w="100"/>
              <w:bottom w:type="dxa" w:w="60"/>
              <w:right w:type="dxa" w:w="100"/>
            </w:tcMar>
          </w:tcPr>
          <w:p>
            <w:pPr>
              <w:spacing w:after="0" w:before="0"/>
            </w:pPr>
            <w:r>
              <w:t xml:space="preserve">À chaque recherche de Tenant ID</w:t>
            </w:r>
          </w:p>
        </w:tc>
      </w:tr>
      <w:tr>
        <w:trPr>
          <w:tblHeader w:val="false"/>
        </w:trPr>
        <w:tc>
          <w:tcPr>
            <w:tcW w:type="dxa" w:w="3073"/>
            <w:tcMar>
              <w:top w:type="dxa" w:w="60"/>
              <w:left w:type="dxa" w:w="100"/>
              <w:bottom w:type="dxa" w:w="60"/>
              <w:right w:type="dxa" w:w="100"/>
            </w:tcMar>
          </w:tcPr>
          <w:p>
            <w:pPr>
              <w:spacing w:after="0" w:before="0"/>
            </w:pPr>
            <w:r>
              <w:rPr>
                <w:rFonts w:ascii="Consolas" w:cs="Consolas" w:eastAsia="Consolas" w:hAnsi="Consolas"/>
                <w:sz w:val="19"/>
                <w:szCs w:val="19"/>
              </w:rPr>
              <w:t xml:space="preserve">cloudflare-dns.com</w:t>
            </w:r>
            <w:r>
              <w:t xml:space="preserve"> ou </w:t>
            </w:r>
            <w:r>
              <w:rPr>
                <w:rFonts w:ascii="Consolas" w:cs="Consolas" w:eastAsia="Consolas" w:hAnsi="Consolas"/>
                <w:sz w:val="19"/>
                <w:szCs w:val="19"/>
              </w:rPr>
              <w:t xml:space="preserve">dns.google</w:t>
            </w:r>
          </w:p>
        </w:tc>
        <w:tc>
          <w:tcPr>
            <w:tcW w:type="dxa" w:w="2208"/>
            <w:tcMar>
              <w:top w:type="dxa" w:w="60"/>
              <w:left w:type="dxa" w:w="100"/>
              <w:bottom w:type="dxa" w:w="60"/>
              <w:right w:type="dxa" w:w="100"/>
            </w:tcMar>
          </w:tcPr>
          <w:p>
            <w:pPr>
              <w:spacing w:after="0" w:before="0"/>
            </w:pPr>
            <w:r>
              <w:t xml:space="preserve">Les noms DNS interrogés</w:t>
            </w:r>
          </w:p>
        </w:tc>
        <w:tc>
          <w:tcPr>
            <w:tcW w:type="dxa" w:w="3745"/>
            <w:tcMar>
              <w:top w:type="dxa" w:w="60"/>
              <w:left w:type="dxa" w:w="100"/>
              <w:bottom w:type="dxa" w:w="60"/>
              <w:right w:type="dxa" w:w="100"/>
            </w:tcMar>
          </w:tcPr>
          <w:p>
            <w:pPr>
              <w:spacing w:after="0" w:before="0"/>
            </w:pPr>
            <w:r>
              <w:t xml:space="preserve">À chaque analyse</w:t>
            </w:r>
          </w:p>
        </w:tc>
      </w:tr>
      <w:tr>
        <w:trPr>
          <w:tblHeader w:val="false"/>
        </w:trPr>
        <w:tc>
          <w:tcPr>
            <w:tcW w:type="dxa" w:w="3073"/>
            <w:tcMar>
              <w:top w:type="dxa" w:w="60"/>
              <w:left w:type="dxa" w:w="100"/>
              <w:bottom w:type="dxa" w:w="60"/>
              <w:right w:type="dxa" w:w="100"/>
            </w:tcMar>
          </w:tcPr>
          <w:p>
            <w:pPr>
              <w:spacing w:after="0" w:before="0"/>
            </w:pPr>
            <w:r>
              <w:rPr>
                <w:rFonts w:ascii="Consolas" w:cs="Consolas" w:eastAsia="Consolas" w:hAnsi="Consolas"/>
                <w:sz w:val="19"/>
                <w:szCs w:val="19"/>
              </w:rPr>
              <w:t xml:space="preserve">rdap.org</w:t>
            </w:r>
            <w:r>
              <w:t xml:space="preserve"> et registres RDAP</w:t>
            </w:r>
          </w:p>
        </w:tc>
        <w:tc>
          <w:tcPr>
            <w:tcW w:type="dxa" w:w="2208"/>
            <w:tcMar>
              <w:top w:type="dxa" w:w="60"/>
              <w:left w:type="dxa" w:w="100"/>
              <w:bottom w:type="dxa" w:w="60"/>
              <w:right w:type="dxa" w:w="100"/>
            </w:tcMar>
          </w:tcPr>
          <w:p>
            <w:pPr>
              <w:spacing w:after="0" w:before="0"/>
            </w:pPr>
            <w:r>
              <w:t xml:space="preserve">Le domaine analysé</w:t>
            </w:r>
          </w:p>
        </w:tc>
        <w:tc>
          <w:tcPr>
            <w:tcW w:type="dxa" w:w="3745"/>
            <w:tcMar>
              <w:top w:type="dxa" w:w="60"/>
              <w:left w:type="dxa" w:w="100"/>
              <w:bottom w:type="dxa" w:w="60"/>
              <w:right w:type="dxa" w:w="100"/>
            </w:tcMar>
          </w:tcPr>
          <w:p>
            <w:pPr>
              <w:spacing w:after="0" w:before="0"/>
            </w:pPr>
            <w:r>
              <w:t xml:space="preserve">Analyse complète</w:t>
            </w:r>
          </w:p>
        </w:tc>
      </w:tr>
      <w:tr>
        <w:trPr>
          <w:tblHeader w:val="false"/>
        </w:trPr>
        <w:tc>
          <w:tcPr>
            <w:tcW w:type="dxa" w:w="3073"/>
            <w:tcMar>
              <w:top w:type="dxa" w:w="60"/>
              <w:left w:type="dxa" w:w="100"/>
              <w:bottom w:type="dxa" w:w="60"/>
              <w:right w:type="dxa" w:w="100"/>
            </w:tcMar>
          </w:tcPr>
          <w:p>
            <w:pPr>
              <w:spacing w:after="0" w:before="0"/>
            </w:pPr>
            <w:r>
              <w:rPr>
                <w:rFonts w:ascii="Consolas" w:cs="Consolas" w:eastAsia="Consolas" w:hAnsi="Consolas"/>
                <w:sz w:val="19"/>
                <w:szCs w:val="19"/>
              </w:rPr>
              <w:t xml:space="preserve">accounts.google.com</w:t>
            </w:r>
          </w:p>
        </w:tc>
        <w:tc>
          <w:tcPr>
            <w:tcW w:type="dxa" w:w="2208"/>
            <w:tcMar>
              <w:top w:type="dxa" w:w="60"/>
              <w:left w:type="dxa" w:w="100"/>
              <w:bottom w:type="dxa" w:w="60"/>
              <w:right w:type="dxa" w:w="100"/>
            </w:tcMar>
          </w:tcPr>
          <w:p>
            <w:pPr>
              <w:spacing w:after="0" w:before="0"/>
            </w:pPr>
            <w:r>
              <w:t xml:space="preserve">Le domaine analysé</w:t>
            </w:r>
          </w:p>
        </w:tc>
        <w:tc>
          <w:tcPr>
            <w:tcW w:type="dxa" w:w="3745"/>
            <w:tcMar>
              <w:top w:type="dxa" w:w="60"/>
              <w:left w:type="dxa" w:w="100"/>
              <w:bottom w:type="dxa" w:w="60"/>
              <w:right w:type="dxa" w:w="100"/>
            </w:tcMar>
          </w:tcPr>
          <w:p>
            <w:pPr>
              <w:spacing w:after="0" w:before="0"/>
            </w:pPr>
            <w:r>
              <w:t xml:space="preserve">Détection Google Workspace</w:t>
            </w:r>
          </w:p>
        </w:tc>
      </w:tr>
      <w:tr>
        <w:trPr>
          <w:tblHeader w:val="false"/>
        </w:trPr>
        <w:tc>
          <w:tcPr>
            <w:tcW w:type="dxa" w:w="3073"/>
            <w:tcMar>
              <w:top w:type="dxa" w:w="60"/>
              <w:left w:type="dxa" w:w="100"/>
              <w:bottom w:type="dxa" w:w="60"/>
              <w:right w:type="dxa" w:w="100"/>
            </w:tcMar>
          </w:tcPr>
          <w:p>
            <w:pPr>
              <w:spacing w:after="0" w:before="0"/>
            </w:pPr>
            <w:r>
              <w:rPr>
                <w:rFonts w:ascii="Consolas" w:cs="Consolas" w:eastAsia="Consolas" w:hAnsi="Consolas"/>
                <w:sz w:val="19"/>
                <w:szCs w:val="19"/>
              </w:rPr>
              <w:t xml:space="preserve">graph.microsoft.com</w:t>
            </w:r>
          </w:p>
        </w:tc>
        <w:tc>
          <w:tcPr>
            <w:tcW w:type="dxa" w:w="2208"/>
            <w:tcMar>
              <w:top w:type="dxa" w:w="60"/>
              <w:left w:type="dxa" w:w="100"/>
              <w:bottom w:type="dxa" w:w="60"/>
              <w:right w:type="dxa" w:w="100"/>
            </w:tcMar>
          </w:tcPr>
          <w:p>
            <w:pPr>
              <w:spacing w:after="0" w:before="0"/>
            </w:pPr>
            <w:r>
              <w:t xml:space="preserve">Requêtes Graph</w:t>
            </w:r>
          </w:p>
        </w:tc>
        <w:tc>
          <w:tcPr>
            <w:tcW w:type="dxa" w:w="3745"/>
            <w:tcMar>
              <w:top w:type="dxa" w:w="60"/>
              <w:left w:type="dxa" w:w="100"/>
              <w:bottom w:type="dxa" w:w="60"/>
              <w:right w:type="dxa" w:w="100"/>
            </w:tcMar>
          </w:tcPr>
          <w:p>
            <w:pPr>
              <w:spacing w:after="0" w:before="0"/>
            </w:pPr>
            <w:r>
              <w:t xml:space="preserve">Seulement si vous êtes connecté à Graph</w:t>
            </w:r>
          </w:p>
        </w:tc>
      </w:tr>
    </w:tbl>
    <w:p>
      <w:pPr>
        <w:spacing w:after="120"/>
      </w:pPr>
    </w:p>
    <w:p>
      <w:pPr>
        <w:spacing w:after="140"/>
      </w:pPr>
      <w:r>
        <w:t xml:space="preserve">Toutes ces requêtes partent </w:t>
      </w:r>
      <w:r>
        <w:rPr>
          <w:b/>
          <w:bCs/>
        </w:rPr>
        <w:t xml:space="preserve">directement de votre navigateur</w:t>
      </w:r>
      <w:r>
        <w:t xml:space="preserve">. Aucun serveur intermédiaire ne les reçoit, y compris le serveur de l'application, sauf si le relais DNS de secours a été activé par un admin.</w:t>
      </w:r>
    </w:p>
    <w:p>
      <w:pPr>
        <w:pStyle w:val="Heading3"/>
        <w:spacing w:after="140" w:before="220"/>
      </w:pPr>
      <w:r>
        <w:t xml:space="preserve">Ce qui reste dans le navigateur</w:t>
      </w:r>
    </w:p>
    <w:p>
      <w:pPr>
        <w:pStyle w:val="ListParagraph"/>
        <w:numPr>
          <w:ilvl w:val="0"/>
          <w:numId w:val="1"/>
        </w:numPr>
        <w:spacing w:after="80"/>
      </w:pPr>
      <w:r>
        <w:t xml:space="preserve">l'</w:t>
      </w:r>
      <w:r>
        <w:rPr>
          <w:b/>
          <w:bCs/>
        </w:rPr>
        <w:t xml:space="preserve">historique des Tenant ID</w:t>
      </w:r>
      <w:r>
        <w:t xml:space="preserve"> (désactivé par défaut) ;</w:t>
      </w:r>
    </w:p>
    <w:p>
      <w:pPr>
        <w:pStyle w:val="ListParagraph"/>
        <w:numPr>
          <w:ilvl w:val="0"/>
          <w:numId w:val="1"/>
        </w:numPr>
        <w:spacing w:after="80"/>
      </w:pPr>
      <w:r>
        <w:t xml:space="preserve">les </w:t>
      </w:r>
      <w:r>
        <w:rPr>
          <w:b/>
          <w:bCs/>
        </w:rPr>
        <w:t xml:space="preserve">profils</w:t>
      </w:r>
      <w:r>
        <w:t xml:space="preserve"> : ordre des raccourcis, mode d'analyse, disposition des blocs ;</w:t>
      </w:r>
    </w:p>
    <w:p>
      <w:pPr>
        <w:pStyle w:val="ListParagraph"/>
        <w:numPr>
          <w:ilvl w:val="0"/>
          <w:numId w:val="1"/>
        </w:numPr>
        <w:spacing w:after="80"/>
      </w:pPr>
      <w:r>
        <w:t xml:space="preserve">la </w:t>
      </w:r>
      <w:r>
        <w:rPr>
          <w:b/>
          <w:bCs/>
        </w:rPr>
        <w:t xml:space="preserve">largeur du panneau</w:t>
      </w:r>
      <w:r>
        <w:t xml:space="preserve"> de détail et le </w:t>
      </w:r>
      <w:r>
        <w:rPr>
          <w:b/>
          <w:bCs/>
        </w:rPr>
        <w:t xml:space="preserve">choix de résolveur DNS</w:t>
      </w:r>
      <w:r>
        <w:t xml:space="preserve"> ;</w:t>
      </w:r>
    </w:p>
    <w:p>
      <w:pPr>
        <w:pStyle w:val="ListParagraph"/>
        <w:numPr>
          <w:ilvl w:val="0"/>
          <w:numId w:val="1"/>
        </w:numPr>
        <w:spacing w:after="80"/>
      </w:pPr>
      <w:r>
        <w:t xml:space="preserve">le </w:t>
      </w:r>
      <w:r>
        <w:rPr>
          <w:b/>
          <w:bCs/>
        </w:rPr>
        <w:t xml:space="preserve">marqueur « compte admin »</w:t>
      </w:r>
      <w:r>
        <w:t xml:space="preserve"> posé sur un tenant ;</w:t>
      </w:r>
    </w:p>
    <w:p>
      <w:pPr>
        <w:pStyle w:val="ListParagraph"/>
        <w:numPr>
          <w:ilvl w:val="0"/>
          <w:numId w:val="1"/>
        </w:numPr>
        <w:spacing w:after="80"/>
      </w:pPr>
      <w:r>
        <w:t xml:space="preserve">la </w:t>
      </w:r>
      <w:r>
        <w:rPr>
          <w:b/>
          <w:bCs/>
        </w:rPr>
        <w:t xml:space="preserve">session Microsoft Graph</w:t>
      </w:r>
      <w:r>
        <w:t xml:space="preserve"> : le jeton d'actualisation est en stockage de session, il disparaît à la fermeture de l'onglet. Le jeton d'accès n'est jamais écrit sur disque.</w:t>
      </w:r>
    </w:p>
    <w:p>
      <w:pPr>
        <w:spacing w:after="60"/>
      </w:pPr>
    </w:p>
    <w:p>
      <w:pPr>
        <w:pStyle w:val="Heading3"/>
        <w:spacing w:after="140" w:before="220"/>
      </w:pPr>
      <w:r>
        <w:t xml:space="preserve">Ce qui est partagé côté serveur</w:t>
      </w:r>
    </w:p>
    <w:p>
      <w:pPr>
        <w:spacing w:after="140"/>
      </w:pPr>
      <w:r>
        <w:t xml:space="preserve">Uniquement les </w:t>
      </w:r>
      <w:r>
        <w:rPr>
          <w:b/>
          <w:bCs/>
        </w:rPr>
        <w:t xml:space="preserve">classifications</w:t>
      </w:r>
      <w:r>
        <w:t xml:space="preserve"> : tenant, balise, auteur de la validation. C'est volontaire, c'est ce qui rend l'annuaire commun possible.</w:t>
      </w:r>
    </w:p>
    <w:p>
      <w:pPr>
        <w:pStyle w:val="Heading3"/>
        <w:spacing w:after="140" w:before="220"/>
      </w:pPr>
      <w:r>
        <w:t xml:space="preserve">Ce qui n'est jamais transmis</w:t>
      </w:r>
    </w:p>
    <w:p>
      <w:pPr>
        <w:spacing w:after="140"/>
      </w:pPr>
      <w:r>
        <w:t xml:space="preserve">Aucun jeton et aucune réponse Microsoft Graph ne transitent par le serveur de l'application. Aucune donnée d'analyse n'est journalisée côté serveur.</w:t>
      </w:r>
    </w:p>
    <w:p>
      <w:pPr>
        <w:pStyle w:val="Heading2"/>
        <w:spacing w:after="140" w:before="320"/>
      </w:pPr>
      <w:r>
        <w:t xml:space="preserve">22. Dépannage</w:t>
      </w:r>
    </w:p>
    <w:p>
      <w:pPr>
        <w:pBdr>
          <w:left w:val="single" w:color="999999" w:sz="12" w:space="12"/>
        </w:pBdr>
        <w:spacing w:after="160"/>
        <w:ind w:left="360"/>
      </w:pPr>
      <w:r>
        <w:rPr>
          <w:b/>
          <w:bCs/>
          <w:i/>
          <w:iCs/>
          <w:color w:val="444444"/>
        </w:rPr>
        <w:t xml:space="preserve">Un cas qui n'est pas dans cette liste, ou une piste qui ne débloque rien, se signale avec le lien « Report Bug(s) »</w:t>
      </w:r>
      <w:r>
        <w:rPr>
          <w:i/>
          <w:iCs/>
          <w:color w:val="444444"/>
        </w:rPr>
        <w:t xml:space="preserve">, en haut à gauche de la barre noire. Il ouvre un e-mail pré-rempli vers l'équipe support. C'est la seule voie de remontée, et un problème qui n'est pas signalé n'est jamais corrigé. À joindre : le domaine testé, la profondeur d'analyse utilisée, une capture de l'écran, et si possible les erreurs de la console du navigateur (</w:t>
      </w:r>
      <w:r>
        <w:rPr>
          <w:rFonts w:ascii="Consolas" w:cs="Consolas" w:eastAsia="Consolas" w:hAnsi="Consolas"/>
          <w:i/>
          <w:iCs/>
          <w:color w:val="444444"/>
          <w:sz w:val="19"/>
          <w:szCs w:val="19"/>
        </w:rPr>
        <w:t xml:space="preserve">F12 &gt; Console</w:t>
      </w:r>
      <w:r>
        <w:rPr>
          <w:i/>
          <w:iCs/>
          <w:color w:val="444444"/>
        </w:rPr>
        <w:t xml:space="preserve">).</w:t>
      </w:r>
    </w:p>
    <w:p>
      <w:pPr>
        <w:pStyle w:val="Heading3"/>
        <w:spacing w:after="140" w:before="220"/>
      </w:pPr>
      <w:r>
        <w:t xml:space="preserve">L'analyse d'un domaine ne remonte ni DMARC, ni SPF, ni DKIM, alors que le Tenant ID est trouvé</w:t>
      </w:r>
    </w:p>
    <w:p>
      <w:pPr>
        <w:spacing w:after="140"/>
      </w:pPr>
      <w:r>
        <w:rPr>
          <w:b/>
          <w:bCs/>
        </w:rPr>
        <w:t xml:space="preserve">Formulations fréquentes de ce problème</w:t>
      </w:r>
      <w:r>
        <w:t xml:space="preserve"> : « mon analyse ne remonte pas le DMARC », « je n'ai pas le SPF », « le DKIM n'apparaît pas », « la partie DNS est vide », « aucun résultat DNS », « le score de sécurité ne s'affiche pas », « l'analyse complète ne rend rien ». Il s'agit de l'onglet </w:t>
      </w:r>
      <w:r>
        <w:rPr>
          <w:b/>
          <w:bCs/>
        </w:rPr>
        <w:t xml:space="preserve">Diagnostic M365</w:t>
      </w:r>
      <w:r>
        <w:t xml:space="preserve"> et de son </w:t>
      </w:r>
      <w:r>
        <w:rPr>
          <w:b/>
          <w:bCs/>
        </w:rPr>
        <w:t xml:space="preserve">analyse complète</w:t>
      </w:r>
      <w:r>
        <w:t xml:space="preserve"> sur un domaine, pas de l'analyseur d'en-têtes d'e-mail.</w:t>
      </w:r>
    </w:p>
    <w:p>
      <w:pPr>
        <w:spacing w:after="140"/>
      </w:pPr>
      <w:r>
        <w:rPr>
          <w:b/>
          <w:bCs/>
        </w:rPr>
        <w:t xml:space="preserve">Symptôme caractéristique.</w:t>
      </w:r>
      <w:r>
        <w:t xml:space="preserve"> La recherche de Tenant ID fonctionne, tout le reste est vide. La console du navigateur montre des erreurs répétées de type </w:t>
      </w:r>
      <w:r>
        <w:rPr>
          <w:rFonts w:ascii="Consolas" w:cs="Consolas" w:eastAsia="Consolas" w:hAnsi="Consolas"/>
          <w:sz w:val="19"/>
          <w:szCs w:val="19"/>
        </w:rPr>
        <w:t xml:space="preserve">ERR_QUIC_PROTOCOL_ERROR</w:t>
      </w:r>
      <w:r>
        <w:t xml:space="preserve"> ou </w:t>
      </w:r>
      <w:r>
        <w:rPr>
          <w:rFonts w:ascii="Consolas" w:cs="Consolas" w:eastAsia="Consolas" w:hAnsi="Consolas"/>
          <w:sz w:val="19"/>
          <w:szCs w:val="19"/>
        </w:rPr>
        <w:t xml:space="preserve">QUIC_NETWORK_IDLE_TIMEOUT</w:t>
      </w:r>
      <w:r>
        <w:t xml:space="preserve">.</w:t>
      </w:r>
    </w:p>
    <w:p>
      <w:pPr>
        <w:spacing w:after="140"/>
      </w:pPr>
      <w:r>
        <w:rPr>
          <w:b/>
          <w:bCs/>
        </w:rPr>
        <w:t xml:space="preserve">Cause.</w:t>
      </w:r>
      <w:r>
        <w:t xml:space="preserve"> Les requêtes DNS-over-HTTPS sont bloquées, pas les requêtes Microsoft (qui passent presque toujours en dérogation de proxy). Deux origines possibles :</w:t>
      </w:r>
    </w:p>
    <w:p>
      <w:pPr>
        <w:pStyle w:val="ListParagraph"/>
        <w:numPr>
          <w:ilvl w:val="0"/>
          <w:numId w:val="2"/>
        </w:numPr>
        <w:spacing w:after="80"/>
      </w:pPr>
      <w:r>
        <w:rPr>
          <w:b/>
          <w:bCs/>
        </w:rPr>
        <w:t xml:space="preserve">QUIC est cassé</w:t>
      </w:r>
      <w:r>
        <w:t xml:space="preserve"> : le pare-feu ou l'agent de sécurité laisse passer la poignée de main QUIC puis coupe la session UDP. Un cas observé : un agent de protection installé sur le poste avec le filtrage réseau actif, qui intercepte le HTTPS via un proxy TLS local, ce que QUIC ne permet pas.</w:t>
      </w:r>
    </w:p>
    <w:p>
      <w:pPr>
        <w:pStyle w:val="ListParagraph"/>
        <w:numPr>
          <w:ilvl w:val="0"/>
          <w:numId w:val="2"/>
        </w:numPr>
        <w:spacing w:after="80"/>
      </w:pPr>
      <w:r>
        <w:rPr>
          <w:b/>
          <w:bCs/>
        </w:rPr>
        <w:t xml:space="preserve">Les résolveurs DoH eux-mêmes sont bloqués</w:t>
      </w:r>
      <w:r>
        <w:t xml:space="preserve"> : beaucoup de produits de filtrage coupent le DNS-over-HTTPS par principe, puisqu'il contourne leur filtrage DNS.</w:t>
      </w:r>
    </w:p>
    <w:p>
      <w:pPr>
        <w:spacing w:after="60"/>
      </w:pPr>
    </w:p>
    <w:p>
      <w:pPr>
        <w:spacing w:after="140"/>
      </w:pPr>
      <w:r>
        <w:rPr>
          <w:b/>
          <w:bCs/>
        </w:rPr>
        <w:t xml:space="preserve">Ce que l'utilisateur peut essayer tout de suite.</w:t>
      </w:r>
      <w:r>
        <w:t xml:space="preserve"> Forcer l'autre résolveur dans </w:t>
      </w:r>
      <w:r>
        <w:rPr>
          <w:rFonts w:ascii="Consolas" w:cs="Consolas" w:eastAsia="Consolas" w:hAnsi="Consolas"/>
          <w:sz w:val="19"/>
          <w:szCs w:val="19"/>
        </w:rPr>
        <w:t xml:space="preserve">Paramètres &amp; Confidentialité &gt; Résolveur DNS</w:t>
      </w:r>
      <w:r>
        <w:t xml:space="preserve"> (Cloudflare ou Google). Si les deux échouent, c'est le cas 2 et le réglage ne suffira pas.</w:t>
      </w:r>
    </w:p>
    <w:p>
      <w:pPr>
        <w:spacing w:after="140"/>
      </w:pPr>
      <w:r>
        <w:rPr>
          <w:b/>
          <w:bCs/>
        </w:rPr>
        <w:t xml:space="preserve">Remède de fond, côté poste géré.</w:t>
      </w:r>
      <w:r>
        <w:t xml:space="preserve"> C'est un prérequis réseau, à traiter avec l'équipe qui gère les postes :</w:t>
      </w:r>
    </w:p>
    <w:p>
      <w:pPr>
        <w:pStyle w:val="ListParagraph"/>
        <w:numPr>
          <w:ilvl w:val="0"/>
          <w:numId w:val="1"/>
        </w:numPr>
        <w:spacing w:after="80"/>
      </w:pPr>
      <w:r>
        <w:rPr>
          <w:b/>
          <w:bCs/>
        </w:rPr>
        <w:t xml:space="preserve">Cas 1</w:t>
      </w:r>
      <w:r>
        <w:t xml:space="preserve"> : désactiver QUIC par stratégie (Edge : « Allow QUIC protocol » = Disabled ; Chrome : stratégie </w:t>
      </w:r>
      <w:r>
        <w:rPr>
          <w:rFonts w:ascii="Consolas" w:cs="Consolas" w:eastAsia="Consolas" w:hAnsi="Consolas"/>
          <w:sz w:val="19"/>
          <w:szCs w:val="19"/>
        </w:rPr>
        <w:t xml:space="preserve">QuicAllowed</w:t>
      </w:r>
      <w:r>
        <w:t xml:space="preserve">). Le navigateur repasse en HTTP/2 sur TCP 443, que le proxy d'interception sait traiter.</w:t>
      </w:r>
    </w:p>
    <w:p>
      <w:pPr>
        <w:pStyle w:val="ListParagraph"/>
        <w:numPr>
          <w:ilvl w:val="0"/>
          <w:numId w:val="1"/>
        </w:numPr>
        <w:spacing w:after="80"/>
      </w:pPr>
      <w:r>
        <w:rPr>
          <w:b/>
          <w:bCs/>
        </w:rPr>
        <w:t xml:space="preserve">Cas 2</w:t>
      </w:r>
      <w:r>
        <w:t xml:space="preserve"> : ajouter une exception dans le filtrage d'URL sur </w:t>
      </w:r>
      <w:r>
        <w:rPr>
          <w:rFonts w:ascii="Consolas" w:cs="Consolas" w:eastAsia="Consolas" w:hAnsi="Consolas"/>
          <w:sz w:val="19"/>
          <w:szCs w:val="19"/>
        </w:rPr>
        <w:t xml:space="preserve">cloudflare-dns.com</w:t>
      </w:r>
      <w:r>
        <w:t xml:space="preserve"> </w:t>
      </w:r>
      <w:r>
        <w:rPr>
          <w:b/>
          <w:bCs/>
        </w:rPr>
        <w:t xml:space="preserve">et</w:t>
      </w:r>
      <w:r>
        <w:t xml:space="preserve"> </w:t>
      </w:r>
      <w:r>
        <w:rPr>
          <w:rFonts w:ascii="Consolas" w:cs="Consolas" w:eastAsia="Consolas" w:hAnsi="Consolas"/>
          <w:sz w:val="19"/>
          <w:szCs w:val="19"/>
        </w:rPr>
        <w:t xml:space="preserve">dns.google</w:t>
      </w:r>
      <w:r>
        <w:t xml:space="preserve">. Les deux figurent sur les mêmes listes de blocage, d'où l'inutilité de basculer de l'un à l'autre dans ce cas.</w:t>
      </w:r>
    </w:p>
    <w:p>
      <w:pPr>
        <w:spacing w:after="60"/>
      </w:pPr>
    </w:p>
    <w:p>
      <w:pPr>
        <w:spacing w:after="140"/>
      </w:pPr>
      <w:r>
        <w:t xml:space="preserve">Le test qui sépare les deux : appliquer la stratégie QUIC, filtrage toujours actif. Si ça remarche, c'était le cas 1.</w:t>
      </w:r>
    </w:p>
    <w:p>
      <w:pPr>
        <w:pStyle w:val="Heading3"/>
        <w:spacing w:after="140" w:before="220"/>
      </w:pPr>
      <w:r>
        <w:t xml:space="preserve">« Domaine invalide »</w:t>
      </w:r>
    </w:p>
    <w:p>
      <w:pPr>
        <w:spacing w:after="140"/>
      </w:pPr>
      <w:r>
        <w:t xml:space="preserve">La saisie ne contient pas de point ou n'est pas un domaine exploitable. Saisir un domaine complet (</w:t>
      </w:r>
      <w:r>
        <w:rPr>
          <w:rFonts w:ascii="Consolas" w:cs="Consolas" w:eastAsia="Consolas" w:hAnsi="Consolas"/>
          <w:sz w:val="19"/>
          <w:szCs w:val="19"/>
        </w:rPr>
        <w:t xml:space="preserve">contoso.com</w:t>
      </w:r>
      <w:r>
        <w:t xml:space="preserve">), une adresse e-mail, ou un Tenant ID.</w:t>
      </w:r>
    </w:p>
    <w:p>
      <w:pPr>
        <w:pStyle w:val="Heading3"/>
        <w:spacing w:after="140" w:before="220"/>
      </w:pPr>
      <w:r>
        <w:t xml:space="preserve">Aucun Tenant ID trouvé</w:t>
      </w:r>
    </w:p>
    <w:p>
      <w:pPr>
        <w:spacing w:after="140"/>
      </w:pPr>
      <w:r>
        <w:t xml:space="preserve">Trois causes, dans l'ordre de fréquence :</w:t>
      </w:r>
    </w:p>
    <w:p>
      <w:pPr>
        <w:pStyle w:val="ListParagraph"/>
        <w:numPr>
          <w:ilvl w:val="0"/>
          <w:numId w:val="2"/>
        </w:numPr>
        <w:spacing w:after="80"/>
      </w:pPr>
      <w:r>
        <w:t xml:space="preserve">Le domaine </w:t>
      </w:r>
      <w:r>
        <w:rPr>
          <w:b/>
          <w:bCs/>
        </w:rPr>
        <w:t xml:space="preserve">n'est pas dans Microsoft 365</w:t>
      </w:r>
      <w:r>
        <w:t xml:space="preserve">.</w:t>
      </w:r>
    </w:p>
    <w:p>
      <w:pPr>
        <w:pStyle w:val="ListParagraph"/>
        <w:numPr>
          <w:ilvl w:val="0"/>
          <w:numId w:val="2"/>
        </w:numPr>
        <w:spacing w:after="80"/>
      </w:pPr>
      <w:r>
        <w:t xml:space="preserve">Le domaine existe chez le client mais </w:t>
      </w:r>
      <w:r>
        <w:rPr>
          <w:b/>
          <w:bCs/>
        </w:rPr>
        <w:t xml:space="preserve">n'est pas vérifié</w:t>
      </w:r>
      <w:r>
        <w:t xml:space="preserve"> dans son tenant.</w:t>
      </w:r>
    </w:p>
    <w:p>
      <w:pPr>
        <w:pStyle w:val="ListParagraph"/>
        <w:numPr>
          <w:ilvl w:val="0"/>
          <w:numId w:val="2"/>
        </w:numPr>
        <w:spacing w:after="80"/>
      </w:pPr>
      <w:r>
        <w:t xml:space="preserve">C'est une </w:t>
      </w:r>
      <w:r>
        <w:rPr>
          <w:b/>
          <w:bCs/>
        </w:rPr>
        <w:t xml:space="preserve">adresse personnelle</w:t>
      </w:r>
      <w:r>
        <w:t xml:space="preserve"> (</w:t>
      </w:r>
      <w:r>
        <w:rPr>
          <w:rFonts w:ascii="Consolas" w:cs="Consolas" w:eastAsia="Consolas" w:hAnsi="Consolas"/>
          <w:sz w:val="19"/>
          <w:szCs w:val="19"/>
        </w:rPr>
        <w:t xml:space="preserve">outlook.com</w:t>
      </w:r>
      <w:r>
        <w:t xml:space="preserve">, </w:t>
      </w:r>
      <w:r>
        <w:rPr>
          <w:rFonts w:ascii="Consolas" w:cs="Consolas" w:eastAsia="Consolas" w:hAnsi="Consolas"/>
          <w:sz w:val="19"/>
          <w:szCs w:val="19"/>
        </w:rPr>
        <w:t xml:space="preserve">hotmail.fr</w:t>
      </w:r>
      <w:r>
        <w:t xml:space="preserve">, </w:t>
      </w:r>
      <w:r>
        <w:rPr>
          <w:rFonts w:ascii="Consolas" w:cs="Consolas" w:eastAsia="Consolas" w:hAnsi="Consolas"/>
          <w:sz w:val="19"/>
          <w:szCs w:val="19"/>
        </w:rPr>
        <w:t xml:space="preserve">live.com</w:t>
      </w:r>
      <w:r>
        <w:t xml:space="preserve">...) : ces domaines ne sont volontairement pas interrogés.</w:t>
      </w:r>
    </w:p>
    <w:p>
      <w:pPr>
        <w:spacing w:after="60"/>
      </w:pPr>
    </w:p>
    <w:p>
      <w:pPr>
        <w:spacing w:after="140"/>
      </w:pPr>
      <w:r>
        <w:t xml:space="preserve">Essayer avec le domaine principal du client plutôt qu'un alias.</w:t>
      </w:r>
    </w:p>
    <w:p>
      <w:pPr>
        <w:pStyle w:val="Heading3"/>
        <w:spacing w:after="140" w:before="220"/>
      </w:pPr>
      <w:r>
        <w:t xml:space="preserve">L'indice de confiance n'est pas à 100</w:t>
      </w:r>
    </w:p>
    <w:p>
      <w:pPr>
        <w:spacing w:after="140"/>
      </w:pPr>
      <w:r>
        <w:t xml:space="preserve">Ce n'est pas une erreur : une corroboration n'a pas pu être obtenue. Cliquer le « i » à côté du score pour voir laquelle. Le Tenant ID reste exploitable.</w:t>
      </w:r>
    </w:p>
    <w:p>
      <w:pPr>
        <w:pStyle w:val="Heading3"/>
        <w:spacing w:after="140" w:before="220"/>
      </w:pPr>
      <w:r>
        <w:t xml:space="preserve">Le bouton « Connexion Graph » n'apparaît pas</w:t>
      </w:r>
    </w:p>
    <w:p>
      <w:pPr>
        <w:spacing w:after="140"/>
      </w:pPr>
      <w:r>
        <w:t xml:space="preserve">Vous n'avez pas l'accès Graph. Il est réservé aux managers et admins, sauf ouverture explicite. Demander à un admin d'ouvrir l'accès depuis </w:t>
      </w:r>
      <w:r>
        <w:rPr>
          <w:rFonts w:ascii="Consolas" w:cs="Consolas" w:eastAsia="Consolas" w:hAnsi="Consolas"/>
          <w:sz w:val="19"/>
          <w:szCs w:val="19"/>
        </w:rPr>
        <w:t xml:space="preserve">Administration &gt; Accès Graph</w:t>
      </w:r>
      <w:r>
        <w:t xml:space="preserve">. Masquer le bouton n'est pas cosmétique : sans autorisation, le serveur ne fournit pas l'identifiant nécessaire, donc rien ne peut fonctionner.</w:t>
      </w:r>
    </w:p>
    <w:p>
      <w:pPr>
        <w:pStyle w:val="Heading3"/>
        <w:spacing w:after="140" w:before="220"/>
      </w:pPr>
      <w:r>
        <w:t xml:space="preserve">Graph est connecté mais la carte Posture est vide ou partielle</w:t>
      </w:r>
    </w:p>
    <w:p>
      <w:pPr>
        <w:spacing w:after="140"/>
      </w:pPr>
      <w:r>
        <w:t xml:space="preserve">Deux explications, toutes deux normales :</w:t>
      </w:r>
    </w:p>
    <w:p>
      <w:pPr>
        <w:pStyle w:val="ListParagraph"/>
        <w:numPr>
          <w:ilvl w:val="0"/>
          <w:numId w:val="1"/>
        </w:numPr>
        <w:spacing w:after="80"/>
      </w:pPr>
      <w:r>
        <w:t xml:space="preserve">le tenant </w:t>
      </w:r>
      <w:r>
        <w:rPr>
          <w:b/>
          <w:bCs/>
        </w:rPr>
        <w:t xml:space="preserve">n'est pas intégré à Microsoft 365 Lighthouse</w:t>
      </w:r>
      <w:r>
        <w:t xml:space="preserve">, il est donc absent de la réponse ;</w:t>
      </w:r>
    </w:p>
    <w:p>
      <w:pPr>
        <w:pStyle w:val="ListParagraph"/>
        <w:numPr>
          <w:ilvl w:val="0"/>
          <w:numId w:val="1"/>
        </w:numPr>
        <w:spacing w:after="80"/>
      </w:pPr>
      <w:r>
        <w:t xml:space="preserve">une </w:t>
      </w:r>
      <w:r>
        <w:rPr>
          <w:b/>
          <w:bCs/>
        </w:rPr>
        <w:t xml:space="preserve">autorisation Graph manque</w:t>
      </w:r>
      <w:r>
        <w:t xml:space="preserve"> pour une rubrique précise. Les autres rubriques s'affichent quand même. La donnée apparaîtra d'elle-même le jour où l'autorisation est accordée.</w:t>
      </w:r>
    </w:p>
    <w:p>
      <w:pPr>
        <w:spacing w:after="60"/>
      </w:pPr>
    </w:p>
    <w:p>
      <w:pPr>
        <w:spacing w:after="140"/>
      </w:pPr>
      <w:r>
        <w:t xml:space="preserve">Rappel : les données sont agrégées périodiquement, la </w:t>
      </w:r>
      <w:r>
        <w:rPr>
          <w:b/>
          <w:bCs/>
        </w:rPr>
        <w:t xml:space="preserve">date d'arrêté</w:t>
      </w:r>
      <w:r>
        <w:t xml:space="preserve"> est affichée.</w:t>
      </w:r>
    </w:p>
    <w:p>
      <w:pPr>
        <w:pStyle w:val="Heading3"/>
        <w:spacing w:after="140" w:before="220"/>
      </w:pPr>
      <w:r>
        <w:t xml:space="preserve">La recherche utilisateur ne rend rien pour un compte qui existe</w:t>
      </w:r>
    </w:p>
    <w:p>
      <w:pPr>
        <w:spacing w:after="140"/>
      </w:pPr>
      <w:r>
        <w:t xml:space="preserve">Regarder l'avertissement « N tenant(s) n'ont pas répondu ». Un échec partiel est la normale sur un grand parc : un compte peut exister sans figurer dans la liste. Relancer la recherche, ou vérifier directement dans le tenant concerné.</w:t>
      </w:r>
    </w:p>
    <w:p>
      <w:pPr>
        <w:pStyle w:val="Heading3"/>
        <w:spacing w:after="140" w:before="220"/>
      </w:pPr>
      <w:r>
        <w:t xml:space="preserve">Le bouton </w:t>
      </w:r>
      <w:r>
        <w:rPr>
          <w:rFonts w:ascii="Consolas" w:cs="Consolas" w:eastAsia="Consolas" w:hAnsi="Consolas"/>
          <w:sz w:val="19"/>
          <w:szCs w:val="19"/>
        </w:rPr>
        <w:t xml:space="preserve">+</w:t>
      </w:r>
      <w:r>
        <w:t xml:space="preserve"> ne fait rien</w:t>
      </w:r>
    </w:p>
    <w:p>
      <w:pPr>
        <w:spacing w:after="140"/>
      </w:pPr>
      <w:r>
        <w:t xml:space="preserve">Trois causes possibles :</w:t>
      </w:r>
    </w:p>
    <w:p>
      <w:pPr>
        <w:pStyle w:val="ListParagraph"/>
        <w:numPr>
          <w:ilvl w:val="0"/>
          <w:numId w:val="2"/>
        </w:numPr>
        <w:spacing w:after="80"/>
      </w:pPr>
      <w:r>
        <w:t xml:space="preserve">le </w:t>
      </w:r>
      <w:r>
        <w:rPr>
          <w:b/>
          <w:bCs/>
        </w:rPr>
        <w:t xml:space="preserve">tenant est verrouillé</w:t>
      </w:r>
      <w:r>
        <w:t xml:space="preserve"> et votre rôle est inférieur à manager ;</w:t>
      </w:r>
    </w:p>
    <w:p>
      <w:pPr>
        <w:pStyle w:val="ListParagraph"/>
        <w:numPr>
          <w:ilvl w:val="0"/>
          <w:numId w:val="2"/>
        </w:numPr>
        <w:spacing w:after="80"/>
      </w:pPr>
      <w:r>
        <w:t xml:space="preserve">votre </w:t>
      </w:r>
      <w:r>
        <w:rPr>
          <w:b/>
          <w:bCs/>
        </w:rPr>
        <w:t xml:space="preserve">compte est bloqué</w:t>
      </w:r>
      <w:r>
        <w:t xml:space="preserve"> ;</w:t>
      </w:r>
    </w:p>
    <w:p>
      <w:pPr>
        <w:pStyle w:val="ListParagraph"/>
        <w:numPr>
          <w:ilvl w:val="0"/>
          <w:numId w:val="2"/>
        </w:numPr>
        <w:spacing w:after="80"/>
      </w:pPr>
      <w:r>
        <w:t xml:space="preserve">le tenant n'est pas </w:t>
      </w:r>
      <w:r>
        <w:rPr>
          <w:b/>
          <w:bCs/>
        </w:rPr>
        <w:t xml:space="preserve">validé</w:t>
      </w:r>
      <w:r>
        <w:t xml:space="preserve"> (pas de GUID revalidé), le bloc de badges n'existe alors pas.</w:t>
      </w:r>
    </w:p>
    <w:p>
      <w:pPr>
        <w:spacing w:after="60"/>
      </w:pPr>
    </w:p>
    <w:p>
      <w:pPr>
        <w:pStyle w:val="Heading3"/>
        <w:spacing w:after="140" w:before="220"/>
      </w:pPr>
      <w:r>
        <w:t xml:space="preserve">Le bouton </w:t>
      </w:r>
      <w:r>
        <w:rPr>
          <w:rFonts w:ascii="Consolas" w:cs="Consolas" w:eastAsia="Consolas" w:hAnsi="Consolas"/>
          <w:sz w:val="19"/>
          <w:szCs w:val="19"/>
        </w:rPr>
        <w:t xml:space="preserve">−</w:t>
      </w:r>
      <w:r>
        <w:t xml:space="preserve"> d'un badge est grisé</w:t>
      </w:r>
    </w:p>
    <w:p>
      <w:pPr>
        <w:spacing w:after="140"/>
      </w:pPr>
      <w:r>
        <w:t xml:space="preserve">Soit le tenant est verrouillé, soit une demande de retrait a été </w:t>
      </w:r>
      <w:r>
        <w:rPr>
          <w:b/>
          <w:bCs/>
        </w:rPr>
        <w:t xml:space="preserve">refusée il y a moins de 24 heures</w:t>
      </w:r>
      <w:r>
        <w:t xml:space="preserve"> sur cette balise. L'infobulle du bouton précise le cas.</w:t>
      </w:r>
    </w:p>
    <w:p>
      <w:pPr>
        <w:pStyle w:val="Heading3"/>
        <w:spacing w:after="140" w:before="220"/>
      </w:pPr>
      <w:r>
        <w:t xml:space="preserve">L'extension ne cherche plus rien</w:t>
      </w:r>
    </w:p>
    <w:p>
      <w:pPr>
        <w:spacing w:after="140"/>
      </w:pPr>
      <w:r>
        <w:t xml:space="preserve">L'attestation d'appartenance a expiré (durée de vie : 7 jours). Ouvrir l'application une fois dans le navigateur pour la rafraîchir. Vérifier aussi la pastille d'état dans la barre noire de l'application.</w:t>
      </w:r>
    </w:p>
    <w:p>
      <w:pPr>
        <w:pStyle w:val="Heading3"/>
        <w:spacing w:after="140" w:before="220"/>
      </w:pPr>
      <w:r>
        <w:t xml:space="preserve">L'historique est vide après un redémarrage</w:t>
      </w:r>
    </w:p>
    <w:p>
      <w:pPr>
        <w:spacing w:after="140"/>
      </w:pPr>
      <w:r>
        <w:t xml:space="preserve">Soit l'historique n'a jamais été activé (c'est l'état par défaut), soit la durée de conservation est écoulée. Le nettoyage n'a lieu qu'à l'ouverture de l'application, donc une purge attendue peut n'apparaître qu'au lancement suivant.</w:t>
      </w:r>
    </w:p>
    <w:p>
      <w:pPr>
        <w:pStyle w:val="Heading3"/>
        <w:spacing w:after="140" w:before="220"/>
      </w:pPr>
      <w:r>
        <w:t xml:space="preserve">Un raccourci de sous-menu est grisé</w:t>
      </w:r>
    </w:p>
    <w:p>
      <w:pPr>
        <w:spacing w:after="140"/>
      </w:pPr>
      <w:r>
        <w:t xml:space="preserve">Une information nécessaire à la construction du lien manque. Pour SharePoint, c'est le nom de tenant SharePoint, déduit du CNAME DKIM </w:t>
      </w:r>
      <w:r>
        <w:rPr>
          <w:rFonts w:ascii="Consolas" w:cs="Consolas" w:eastAsia="Consolas" w:hAnsi="Consolas"/>
          <w:sz w:val="19"/>
          <w:szCs w:val="19"/>
        </w:rPr>
        <w:t xml:space="preserve">selector1</w:t>
      </w:r>
      <w:r>
        <w:t xml:space="preserve"> ; il est indisponible si le client n'utilise pas le DKIM Microsoft.</w:t>
      </w:r>
    </w:p>
    <w:p>
      <w:pPr>
        <w:pStyle w:val="Heading3"/>
        <w:spacing w:after="140" w:before="220"/>
      </w:pPr>
      <w:r>
        <w:t xml:space="preserve">Un portail s'ouvre mais refuse l'accès</w:t>
      </w:r>
    </w:p>
    <w:p>
      <w:pPr>
        <w:spacing w:after="140"/>
      </w:pPr>
      <w:r>
        <w:t xml:space="preserve">TenantPulse ne donne aucun droit : il ouvre le portail avec </w:t>
      </w:r>
      <w:r>
        <w:rPr>
          <w:b/>
          <w:bCs/>
        </w:rPr>
        <w:t xml:space="preserve">vos</w:t>
      </w:r>
      <w:r>
        <w:t xml:space="preserve"> accès existants. Un refus signifie que la délégation (CSP ou GDAP) manque ou a expiré sur ce client.</w:t>
      </w:r>
    </w:p>
    <w:p>
      <w:pPr>
        <w:pStyle w:val="Heading3"/>
        <w:spacing w:after="140" w:before="220"/>
      </w:pPr>
      <w:r>
        <w:t xml:space="preserve">Rien de tout cela ne correspond à mon problème</w:t>
      </w:r>
    </w:p>
    <w:p>
      <w:pPr>
        <w:spacing w:after="140"/>
      </w:pPr>
      <w:r>
        <w:t xml:space="preserve">Signalez-le avec </w:t>
      </w:r>
      <w:r>
        <w:rPr>
          <w:b/>
          <w:bCs/>
        </w:rPr>
        <w:t xml:space="preserve">« Report Bug(s) »</w:t>
      </w:r>
      <w:r>
        <w:t xml:space="preserve">, en haut à gauche de la barre noire. Le lien ouvre un e-mail pré-rempli vers l'équipe support ; il n'y a pas d'autre canal, et un comportement que personne ne remonte reste tel quel.</w:t>
      </w:r>
    </w:p>
    <w:p>
      <w:pPr>
        <w:spacing w:after="140"/>
      </w:pPr>
      <w:r>
        <w:t xml:space="preserve">C'est aussi la voie à emprunter pour : un message d'erreur inattendu, un écran resté vide, un résultat qui semble faux, une autorisation Microsoft Graph manquante, une demande d'ouverture d'accès, un changement de rôle, ou le déverrouillage d'un tenant.</w:t>
      </w:r>
    </w:p>
    <w:p>
      <w:pPr>
        <w:pStyle w:val="Heading2"/>
        <w:spacing w:after="140" w:before="320"/>
      </w:pPr>
      <w:r>
        <w:t xml:space="preserve">23. Questions fréquentes, formulées comme elles sont posées</w:t>
      </w:r>
    </w:p>
    <w:p>
      <w:pPr>
        <w:pStyle w:val="ListParagraph"/>
        <w:numPr>
          <w:ilvl w:val="0"/>
          <w:numId w:val="1"/>
        </w:numPr>
        <w:spacing w:after="80"/>
      </w:pPr>
      <w:r>
        <w:rPr>
          <w:b/>
          <w:bCs/>
        </w:rPr>
        <w:t xml:space="preserve">« Comment je trouve le Tenant ID d'un client ? »</w:t>
      </w:r>
      <w:r>
        <w:t xml:space="preserve"> Section 4.</w:t>
      </w:r>
    </w:p>
    <w:p>
      <w:pPr>
        <w:pStyle w:val="ListParagraph"/>
        <w:numPr>
          <w:ilvl w:val="0"/>
          <w:numId w:val="1"/>
        </w:numPr>
        <w:spacing w:after="80"/>
      </w:pPr>
      <w:r>
        <w:rPr>
          <w:b/>
          <w:bCs/>
        </w:rPr>
        <w:t xml:space="preserve">« C'est quoi la différence entre les deux boutons ? »</w:t>
      </w:r>
      <w:r>
        <w:t xml:space="preserve"> Section 4.</w:t>
      </w:r>
    </w:p>
    <w:p>
      <w:pPr>
        <w:pStyle w:val="ListParagraph"/>
        <w:numPr>
          <w:ilvl w:val="0"/>
          <w:numId w:val="1"/>
        </w:numPr>
        <w:spacing w:after="80"/>
      </w:pPr>
      <w:r>
        <w:rPr>
          <w:b/>
          <w:bCs/>
        </w:rPr>
        <w:t xml:space="preserve">« Pourquoi mon analyse ne trouve rien sur le DNS ? »</w:t>
      </w:r>
      <w:r>
        <w:t xml:space="preserve"> Section 22, premier cas.</w:t>
      </w:r>
    </w:p>
    <w:p>
      <w:pPr>
        <w:pStyle w:val="ListParagraph"/>
        <w:numPr>
          <w:ilvl w:val="0"/>
          <w:numId w:val="1"/>
        </w:numPr>
        <w:spacing w:after="80"/>
      </w:pPr>
      <w:r>
        <w:rPr>
          <w:b/>
          <w:bCs/>
        </w:rPr>
        <w:t xml:space="preserve">« Comment j'ouvre le portail Exchange du client ? »</w:t>
      </w:r>
      <w:r>
        <w:t xml:space="preserve"> Section 7.</w:t>
      </w:r>
    </w:p>
    <w:p>
      <w:pPr>
        <w:pStyle w:val="ListParagraph"/>
        <w:numPr>
          <w:ilvl w:val="0"/>
          <w:numId w:val="1"/>
        </w:numPr>
        <w:spacing w:after="80"/>
      </w:pPr>
      <w:r>
        <w:rPr>
          <w:b/>
          <w:bCs/>
        </w:rPr>
        <w:t xml:space="preserve">« Comment j'ouvre le portail d'un client dans un autre profil Edge ? »</w:t>
      </w:r>
      <w:r>
        <w:t xml:space="preserve"> Section 7.</w:t>
      </w:r>
    </w:p>
    <w:p>
      <w:pPr>
        <w:pStyle w:val="ListParagraph"/>
        <w:numPr>
          <w:ilvl w:val="0"/>
          <w:numId w:val="1"/>
        </w:numPr>
        <w:spacing w:after="80"/>
      </w:pPr>
      <w:r>
        <w:rPr>
          <w:b/>
          <w:bCs/>
        </w:rPr>
        <w:t xml:space="preserve">« Comment je colle le résultat dans un ticket ? »</w:t>
      </w:r>
      <w:r>
        <w:t xml:space="preserve"> Section 8.</w:t>
      </w:r>
    </w:p>
    <w:p>
      <w:pPr>
        <w:pStyle w:val="ListParagraph"/>
        <w:numPr>
          <w:ilvl w:val="0"/>
          <w:numId w:val="1"/>
        </w:numPr>
        <w:spacing w:after="80"/>
      </w:pPr>
      <w:r>
        <w:rPr>
          <w:b/>
          <w:bCs/>
        </w:rPr>
        <w:t xml:space="preserve">« C'est quoi le score sur 100 ? »</w:t>
      </w:r>
      <w:r>
        <w:t xml:space="preserve"> Section 6.</w:t>
      </w:r>
    </w:p>
    <w:p>
      <w:pPr>
        <w:pStyle w:val="ListParagraph"/>
        <w:numPr>
          <w:ilvl w:val="0"/>
          <w:numId w:val="1"/>
        </w:numPr>
        <w:spacing w:after="80"/>
      </w:pPr>
      <w:r>
        <w:rPr>
          <w:b/>
          <w:bCs/>
        </w:rPr>
        <w:t xml:space="preserve">« Pourquoi le score dépasse 100 ? »</w:t>
      </w:r>
      <w:r>
        <w:t xml:space="preserve"> Section 6, bonus de durcissement.</w:t>
      </w:r>
    </w:p>
    <w:p>
      <w:pPr>
        <w:pStyle w:val="ListParagraph"/>
        <w:numPr>
          <w:ilvl w:val="0"/>
          <w:numId w:val="1"/>
        </w:numPr>
        <w:spacing w:after="80"/>
      </w:pPr>
      <w:r>
        <w:rPr>
          <w:b/>
          <w:bCs/>
        </w:rPr>
        <w:t xml:space="preserve">« Comment je mets un client en Direct ou Indirect ? »</w:t>
      </w:r>
      <w:r>
        <w:t xml:space="preserve"> Section 9.</w:t>
      </w:r>
    </w:p>
    <w:p>
      <w:pPr>
        <w:pStyle w:val="ListParagraph"/>
        <w:numPr>
          <w:ilvl w:val="0"/>
          <w:numId w:val="1"/>
        </w:numPr>
        <w:spacing w:after="80"/>
      </w:pPr>
      <w:r>
        <w:rPr>
          <w:b/>
          <w:bCs/>
        </w:rPr>
        <w:t xml:space="preserve">« Ma proposition de tag n'apparaît pas, pourquoi ? »</w:t>
      </w:r>
      <w:r>
        <w:t xml:space="preserve"> Section 9, validation par un modérateur.</w:t>
      </w:r>
    </w:p>
    <w:p>
      <w:pPr>
        <w:pStyle w:val="ListParagraph"/>
        <w:numPr>
          <w:ilvl w:val="0"/>
          <w:numId w:val="1"/>
        </w:numPr>
        <w:spacing w:after="80"/>
      </w:pPr>
      <w:r>
        <w:rPr>
          <w:b/>
          <w:bCs/>
        </w:rPr>
        <w:t xml:space="preserve">« Comment j'enlève un badge posé par erreur ? »</w:t>
      </w:r>
      <w:r>
        <w:t xml:space="preserve"> Section 9.</w:t>
      </w:r>
    </w:p>
    <w:p>
      <w:pPr>
        <w:pStyle w:val="ListParagraph"/>
        <w:numPr>
          <w:ilvl w:val="0"/>
          <w:numId w:val="1"/>
        </w:numPr>
        <w:spacing w:after="80"/>
      </w:pPr>
      <w:r>
        <w:rPr>
          <w:b/>
          <w:bCs/>
        </w:rPr>
        <w:t xml:space="preserve">« Pourquoi je ne peux plus demander la suppression d'un tag ? »</w:t>
      </w:r>
      <w:r>
        <w:t xml:space="preserve"> Section 9, carence de 24 h.</w:t>
      </w:r>
    </w:p>
    <w:p>
      <w:pPr>
        <w:pStyle w:val="ListParagraph"/>
        <w:numPr>
          <w:ilvl w:val="0"/>
          <w:numId w:val="1"/>
        </w:numPr>
        <w:spacing w:after="80"/>
      </w:pPr>
      <w:r>
        <w:rPr>
          <w:b/>
          <w:bCs/>
        </w:rPr>
        <w:t xml:space="preserve">« Où je vois la liste de tous les clients référencés ? »</w:t>
      </w:r>
      <w:r>
        <w:t xml:space="preserve"> Section 10.</w:t>
      </w:r>
    </w:p>
    <w:p>
      <w:pPr>
        <w:pStyle w:val="ListParagraph"/>
        <w:numPr>
          <w:ilvl w:val="0"/>
          <w:numId w:val="1"/>
        </w:numPr>
        <w:spacing w:after="80"/>
      </w:pPr>
      <w:r>
        <w:rPr>
          <w:b/>
          <w:bCs/>
        </w:rPr>
        <w:t xml:space="preserve">« Comment j'active l'historique ? »</w:t>
      </w:r>
      <w:r>
        <w:t xml:space="preserve"> Section 11.</w:t>
      </w:r>
    </w:p>
    <w:p>
      <w:pPr>
        <w:pStyle w:val="ListParagraph"/>
        <w:numPr>
          <w:ilvl w:val="0"/>
          <w:numId w:val="1"/>
        </w:numPr>
        <w:spacing w:after="80"/>
      </w:pPr>
      <w:r>
        <w:rPr>
          <w:b/>
          <w:bCs/>
        </w:rPr>
        <w:t xml:space="preserve">« Combien de temps mes analyses sont gardées ? »</w:t>
      </w:r>
      <w:r>
        <w:t xml:space="preserve"> Section 11.</w:t>
      </w:r>
    </w:p>
    <w:p>
      <w:pPr>
        <w:pStyle w:val="ListParagraph"/>
        <w:numPr>
          <w:ilvl w:val="0"/>
          <w:numId w:val="1"/>
        </w:numPr>
        <w:spacing w:after="80"/>
      </w:pPr>
      <w:r>
        <w:rPr>
          <w:b/>
          <w:bCs/>
        </w:rPr>
        <w:t xml:space="preserve">« Est-ce que mes recherches sont envoyées quelque part ? »</w:t>
      </w:r>
      <w:r>
        <w:t xml:space="preserve"> Section 21.</w:t>
      </w:r>
    </w:p>
    <w:p>
      <w:pPr>
        <w:pStyle w:val="ListParagraph"/>
        <w:numPr>
          <w:ilvl w:val="0"/>
          <w:numId w:val="1"/>
        </w:numPr>
        <w:spacing w:after="80"/>
      </w:pPr>
      <w:r>
        <w:rPr>
          <w:b/>
          <w:bCs/>
        </w:rPr>
        <w:t xml:space="preserve">« Comment je supprime tout ce que l'appli a stocké ? »</w:t>
      </w:r>
      <w:r>
        <w:t xml:space="preserve"> Section 16, Stockage local.</w:t>
      </w:r>
    </w:p>
    <w:p>
      <w:pPr>
        <w:pStyle w:val="ListParagraph"/>
        <w:numPr>
          <w:ilvl w:val="0"/>
          <w:numId w:val="1"/>
        </w:numPr>
        <w:spacing w:after="80"/>
      </w:pPr>
      <w:r>
        <w:rPr>
          <w:b/>
          <w:bCs/>
        </w:rPr>
        <w:t xml:space="preserve">« Comment je change l'ordre des boutons de portails ? »</w:t>
      </w:r>
      <w:r>
        <w:t xml:space="preserve"> Section 15.</w:t>
      </w:r>
    </w:p>
    <w:p>
      <w:pPr>
        <w:pStyle w:val="ListParagraph"/>
        <w:numPr>
          <w:ilvl w:val="0"/>
          <w:numId w:val="1"/>
        </w:numPr>
        <w:spacing w:after="80"/>
      </w:pPr>
      <w:r>
        <w:rPr>
          <w:b/>
          <w:bCs/>
        </w:rPr>
        <w:t xml:space="preserve">« Comment je passe en mode sombre ? »</w:t>
      </w:r>
      <w:r>
        <w:t xml:space="preserve"> Section 16, Apparence.</w:t>
      </w:r>
    </w:p>
    <w:p>
      <w:pPr>
        <w:pStyle w:val="ListParagraph"/>
        <w:numPr>
          <w:ilvl w:val="0"/>
          <w:numId w:val="1"/>
        </w:numPr>
        <w:spacing w:after="80"/>
      </w:pPr>
      <w:r>
        <w:rPr>
          <w:b/>
          <w:bCs/>
        </w:rPr>
        <w:t xml:space="preserve">« À quoi sert la connexion Graph ? »</w:t>
      </w:r>
      <w:r>
        <w:t xml:space="preserve"> Section 12.</w:t>
      </w:r>
    </w:p>
    <w:p>
      <w:pPr>
        <w:pStyle w:val="ListParagraph"/>
        <w:numPr>
          <w:ilvl w:val="0"/>
          <w:numId w:val="1"/>
        </w:numPr>
        <w:spacing w:after="80"/>
      </w:pPr>
      <w:r>
        <w:rPr>
          <w:b/>
          <w:bCs/>
        </w:rPr>
        <w:t xml:space="preserve">« Pourquoi je n'ai pas le bouton Graph ? »</w:t>
      </w:r>
      <w:r>
        <w:t xml:space="preserve"> Section 22.</w:t>
      </w:r>
    </w:p>
    <w:p>
      <w:pPr>
        <w:pStyle w:val="ListParagraph"/>
        <w:numPr>
          <w:ilvl w:val="0"/>
          <w:numId w:val="1"/>
        </w:numPr>
        <w:spacing w:after="80"/>
      </w:pPr>
      <w:r>
        <w:rPr>
          <w:b/>
          <w:bCs/>
        </w:rPr>
        <w:t xml:space="preserve">« Comment je retrouve un utilisateur sans savoir chez quel client il est ? »</w:t>
      </w:r>
      <w:r>
        <w:t xml:space="preserve"> Section 13.</w:t>
      </w:r>
    </w:p>
    <w:p>
      <w:pPr>
        <w:pStyle w:val="ListParagraph"/>
        <w:numPr>
          <w:ilvl w:val="0"/>
          <w:numId w:val="1"/>
        </w:numPr>
        <w:spacing w:after="80"/>
      </w:pPr>
      <w:r>
        <w:rPr>
          <w:b/>
          <w:bCs/>
        </w:rPr>
        <w:t xml:space="preserve">« Comment j'analyse un mail de phishing ? »</w:t>
      </w:r>
      <w:r>
        <w:t xml:space="preserve"> Section 14.</w:t>
      </w:r>
    </w:p>
    <w:p>
      <w:pPr>
        <w:pStyle w:val="ListParagraph"/>
        <w:numPr>
          <w:ilvl w:val="0"/>
          <w:numId w:val="1"/>
        </w:numPr>
        <w:spacing w:after="80"/>
      </w:pPr>
      <w:r>
        <w:rPr>
          <w:b/>
          <w:bCs/>
        </w:rPr>
        <w:t xml:space="preserve">« Où je récupère les en-têtes d'un mail dans Outlook ? »</w:t>
      </w:r>
      <w:r>
        <w:t xml:space="preserve"> Section 14.</w:t>
      </w:r>
    </w:p>
    <w:p>
      <w:pPr>
        <w:pStyle w:val="ListParagraph"/>
        <w:numPr>
          <w:ilvl w:val="0"/>
          <w:numId w:val="1"/>
        </w:numPr>
        <w:spacing w:after="80"/>
      </w:pPr>
      <w:r>
        <w:rPr>
          <w:b/>
          <w:bCs/>
        </w:rPr>
        <w:t xml:space="preserve">« À quoi sert l'extension ? »</w:t>
      </w:r>
      <w:r>
        <w:t xml:space="preserve"> Section 18.</w:t>
      </w:r>
    </w:p>
    <w:p>
      <w:pPr>
        <w:pStyle w:val="ListParagraph"/>
        <w:numPr>
          <w:ilvl w:val="0"/>
          <w:numId w:val="1"/>
        </w:numPr>
        <w:spacing w:after="80"/>
      </w:pPr>
      <w:r>
        <w:rPr>
          <w:b/>
          <w:bCs/>
        </w:rPr>
        <w:t xml:space="preserve">« L'extension ne marche pas, elle est vide. »</w:t>
      </w:r>
      <w:r>
        <w:t xml:space="preserve"> Section 18 et section 22.</w:t>
      </w:r>
    </w:p>
    <w:p>
      <w:pPr>
        <w:pStyle w:val="ListParagraph"/>
        <w:numPr>
          <w:ilvl w:val="0"/>
          <w:numId w:val="1"/>
        </w:numPr>
        <w:spacing w:after="80"/>
      </w:pPr>
      <w:r>
        <w:rPr>
          <w:b/>
          <w:bCs/>
        </w:rPr>
        <w:t xml:space="preserve">« C'est quoi l'étiquette Relais DNS actif ? »</w:t>
      </w:r>
      <w:r>
        <w:t xml:space="preserve"> Section 20.</w:t>
      </w:r>
    </w:p>
    <w:p>
      <w:pPr>
        <w:pStyle w:val="ListParagraph"/>
        <w:numPr>
          <w:ilvl w:val="0"/>
          <w:numId w:val="1"/>
        </w:numPr>
        <w:spacing w:after="80"/>
      </w:pPr>
      <w:r>
        <w:rPr>
          <w:b/>
          <w:bCs/>
        </w:rPr>
        <w:t xml:space="preserve">« C'est quoi mon rôle et qu'est-ce que je peux faire ? »</w:t>
      </w:r>
      <w:r>
        <w:t xml:space="preserve"> Section 3.</w:t>
      </w:r>
    </w:p>
    <w:p>
      <w:pPr>
        <w:pStyle w:val="ListParagraph"/>
        <w:numPr>
          <w:ilvl w:val="0"/>
          <w:numId w:val="1"/>
        </w:numPr>
        <w:spacing w:after="80"/>
      </w:pPr>
      <w:r>
        <w:rPr>
          <w:b/>
          <w:bCs/>
        </w:rPr>
        <w:t xml:space="preserve">« Comment je signale un bug ? »</w:t>
      </w:r>
      <w:r>
        <w:t xml:space="preserve"> Section 24.</w:t>
      </w:r>
    </w:p>
    <w:p>
      <w:pPr>
        <w:spacing w:after="60"/>
      </w:pPr>
    </w:p>
    <w:p>
      <w:pPr>
        <w:pStyle w:val="Heading2"/>
        <w:spacing w:after="140" w:before="320"/>
      </w:pPr>
      <w:r>
        <w:t xml:space="preserve">24. Aide dans l'application et signalement</w:t>
      </w:r>
    </w:p>
    <w:p>
      <w:pPr>
        <w:pStyle w:val="ListParagraph"/>
        <w:numPr>
          <w:ilvl w:val="0"/>
          <w:numId w:val="1"/>
        </w:numPr>
        <w:spacing w:after="80"/>
      </w:pPr>
      <w:r>
        <w:rPr>
          <w:b/>
          <w:bCs/>
        </w:rPr>
        <w:t xml:space="preserve">Guide intégré</w:t>
      </w:r>
      <w:r>
        <w:t xml:space="preserve"> : le bouton </w:t>
      </w:r>
      <w:r>
        <w:rPr>
          <w:b/>
          <w:bCs/>
        </w:rPr>
        <w:t xml:space="preserve">« i »</w:t>
      </w:r>
      <w:r>
        <w:t xml:space="preserve"> à côté du titre « Diagnostic Microsoft 365 » ouvre la fiche « Prise en main de TenantPulse », un résumé en dix points des fonctionnalités principales.</w:t>
      </w:r>
    </w:p>
    <w:p>
      <w:pPr>
        <w:pStyle w:val="ListParagraph"/>
        <w:numPr>
          <w:ilvl w:val="0"/>
          <w:numId w:val="1"/>
        </w:numPr>
        <w:spacing w:after="80"/>
      </w:pPr>
      <w:r>
        <w:rPr>
          <w:b/>
          <w:bCs/>
        </w:rPr>
        <w:t xml:space="preserve">Signaler un bug</w:t>
      </w:r>
      <w:r>
        <w:t xml:space="preserve"> : le lien </w:t>
      </w:r>
      <w:r>
        <w:rPr>
          <w:b/>
          <w:bCs/>
        </w:rPr>
        <w:t xml:space="preserve">« Report Bug(s) »</w:t>
      </w:r>
      <w:r>
        <w:t xml:space="preserve">, en haut à gauche de la barre noire, ouvre un e-mail pré-rempli à destination de l'équipe support.</w:t>
      </w:r>
    </w:p>
    <w:p>
      <w:pPr>
        <w:spacing w:after="60"/>
      </w:pPr>
    </w:p>
    <w:p>
      <w:pPr>
        <w:spacing w:after="140"/>
      </w:pPr>
      <w:r>
        <w:t xml:space="preserve">Éléments utiles à joindre à un signalement : le domaine testé, la profondeur d'analyse utilisée, la capture de l'écran de résultat, et le cas échéant les erreurs de la console du navigateur (</w:t>
      </w:r>
      <w:r>
        <w:rPr>
          <w:rFonts w:ascii="Consolas" w:cs="Consolas" w:eastAsia="Consolas" w:hAnsi="Consolas"/>
          <w:sz w:val="19"/>
          <w:szCs w:val="19"/>
        </w:rPr>
        <w:t xml:space="preserve">F12 &gt; Console</w:t>
      </w:r>
      <w:r>
        <w:t xml:space="preserve">).</w:t>
      </w:r>
    </w:p>
    <w:p>
      <w:pPr>
        <w:pStyle w:val="Heading2"/>
        <w:spacing w:after="140" w:before="320"/>
      </w:pPr>
      <w:r>
        <w:t xml:space="preserve">25. Limites connues</w:t>
      </w:r>
    </w:p>
    <w:p>
      <w:pPr>
        <w:pStyle w:val="ListParagraph"/>
        <w:numPr>
          <w:ilvl w:val="0"/>
          <w:numId w:val="1"/>
        </w:numPr>
        <w:spacing w:after="80"/>
      </w:pPr>
      <w:r>
        <w:rPr>
          <w:b/>
          <w:bCs/>
        </w:rPr>
        <w:t xml:space="preserve">Diagnostic Messagerie</w:t>
      </w:r>
      <w:r>
        <w:t xml:space="preserve"> est marqué </w:t>
      </w:r>
      <w:r>
        <w:rPr>
          <w:rFonts w:ascii="Consolas" w:cs="Consolas" w:eastAsia="Consolas" w:hAnsi="Consolas"/>
          <w:sz w:val="19"/>
          <w:szCs w:val="19"/>
        </w:rPr>
        <w:t xml:space="preserve">dev</w:t>
      </w:r>
      <w:r>
        <w:t xml:space="preserve"> : son affichage et ses blocs peuvent évoluer.</w:t>
      </w:r>
    </w:p>
    <w:p>
      <w:pPr>
        <w:pStyle w:val="ListParagraph"/>
        <w:numPr>
          <w:ilvl w:val="0"/>
          <w:numId w:val="1"/>
        </w:numPr>
        <w:spacing w:after="80"/>
      </w:pPr>
      <w:r>
        <w:t xml:space="preserve">Les données de </w:t>
      </w:r>
      <w:r>
        <w:rPr>
          <w:b/>
          <w:bCs/>
        </w:rPr>
        <w:t xml:space="preserve">posture</w:t>
      </w:r>
      <w:r>
        <w:t xml:space="preserve"> ne sont pas en temps réel et dépendent de l'éligibilité du tenant à Microsoft 365 Lighthouse.</w:t>
      </w:r>
    </w:p>
    <w:p>
      <w:pPr>
        <w:pStyle w:val="ListParagraph"/>
        <w:numPr>
          <w:ilvl w:val="0"/>
          <w:numId w:val="1"/>
        </w:numPr>
        <w:spacing w:after="80"/>
      </w:pPr>
      <w:r>
        <w:t xml:space="preserve">La </w:t>
      </w:r>
      <w:r>
        <w:rPr>
          <w:b/>
          <w:bCs/>
        </w:rPr>
        <w:t xml:space="preserve">recherche utilisateur</w:t>
      </w:r>
      <w:r>
        <w:t xml:space="preserve"> peut rendre une liste incomplète quand des tenants ne répondent pas. L'outil le signale, il ne le masque pas.</w:t>
      </w:r>
    </w:p>
    <w:p>
      <w:pPr>
        <w:pStyle w:val="ListParagraph"/>
        <w:numPr>
          <w:ilvl w:val="0"/>
          <w:numId w:val="1"/>
        </w:numPr>
        <w:spacing w:after="80"/>
      </w:pPr>
      <w:r>
        <w:t xml:space="preserve">Les </w:t>
      </w:r>
      <w:r>
        <w:rPr>
          <w:b/>
          <w:bCs/>
        </w:rPr>
        <w:t xml:space="preserve">profils et l'historique</w:t>
      </w:r>
      <w:r>
        <w:t xml:space="preserve"> sont locaux au navigateur : ils ne suivent pas d'un poste à l'autre, ni d'un profil de navigateur à l'autre.</w:t>
      </w:r>
    </w:p>
    <w:p>
      <w:pPr>
        <w:pStyle w:val="ListParagraph"/>
        <w:numPr>
          <w:ilvl w:val="0"/>
          <w:numId w:val="1"/>
        </w:numPr>
        <w:spacing w:after="80"/>
      </w:pPr>
      <w:r>
        <w:t xml:space="preserve">L'</w:t>
      </w:r>
      <w:r>
        <w:rPr>
          <w:b/>
          <w:bCs/>
        </w:rPr>
        <w:t xml:space="preserve">analyse complète</w:t>
      </w:r>
      <w:r>
        <w:t xml:space="preserve"> enchaîne une cinquantaine de résolutions DNS. Sur un réseau lent ou filtré, elle peut être sensiblement plus longue que l'analyse rapide.</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2026-08-26T15:43:39.422Z</dcterms:created>
  <dcterms:modified xsi:type="dcterms:W3CDTF">2026-08-26T15:43:39.423Z</dcterms:modified>
</cp:coreProperties>
</file>

<file path=docProps/custom.xml><?xml version="1.0" encoding="utf-8"?>
<Properties xmlns="http://schemas.openxmlformats.org/officeDocument/2006/custom-properties" xmlns:vt="http://schemas.openxmlformats.org/officeDocument/2006/docPropsVTypes"/>
</file>