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1"/>
        </w:rPr>
        <w:t>文档编号：SRP-DA-2026-01　　密　　级：内部</w:t>
      </w:r>
    </w:p>
    <w:p>
      <w:pPr>
        <w:spacing w:after="480"/>
        <w:jc w:val="center"/>
      </w:pPr>
      <w:r>
        <w:rPr>
          <w:rFonts w:ascii="Times New Roman" w:hAnsi="Times New Roman" w:eastAsia="宋体"/>
          <w:b/>
          <w:sz w:val="28"/>
        </w:rPr>
        <w:t>DATA ANALYSIS REPORT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基于 UCI Student Performance 数据集</w:t>
      </w:r>
    </w:p>
    <w:p>
      <w:pPr>
        <w:spacing w:after="120"/>
        <w:jc w:val="center"/>
      </w:pPr>
      <w:r>
        <w:rPr>
          <w:rFonts w:ascii="Times New Roman" w:hAnsi="Times New Roman" w:eastAsia="宋体"/>
          <w:b/>
          <w:sz w:val="52"/>
        </w:rPr>
        <w:t>学业成绩数据分析报告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sz w:val="24"/>
        </w:rPr>
        <w:t>Student Performance Data Analysis &amp; Early-Warning Modeling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数据集名称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UCI Student Performance（数学与葡萄牙语课程学生表现）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分析范围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1,044 条学生-课程观测，34 个字段（2005—2006 学年，葡萄牙 2 所公立中学）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分析目标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识别学业高危风险因子，构建可解释的期末成绩预警模型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报告版本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编制单位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【待填：小组名称 / 姓名】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编制日期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10 月 17 日</w:t>
            </w:r>
          </w:p>
        </w:tc>
      </w:tr>
    </w:tbl>
    <w:p/>
    <w:p>
      <w:pPr>
        <w:spacing w:before="720"/>
        <w:jc w:val="center"/>
      </w:pPr>
      <w:r>
        <w:rPr>
          <w:rFonts w:ascii="Times New Roman" w:hAnsi="Times New Roman" w:eastAsia="宋体"/>
          <w:b/>
          <w:sz w:val="24"/>
        </w:rPr>
        <w:t>【待填：小组名称】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二〇二六年十月</w:t>
      </w:r>
    </w:p>
    <w:p>
      <w:r>
        <w:br w:type="page"/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文 档 信 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350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文档名称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UCI Student Performance 学业成绩数据分析报告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文档编号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SRP-DA-2026-01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密级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内部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分析数据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UCI Student Performance（student-mat / student-por 合并，1,044 行）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审核 / 批准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98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发布日期</w:t>
            </w:r>
          </w:p>
        </w:tc>
        <w:tc>
          <w:tcPr>
            <w:tcW w:type="dxa" w:w="635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2026-10-17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阅读说明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本报告全部数字由脚本（src/analysis.py、src/train.py、src/shap_values.py）直接计算，图表数值与正文、表格逐一核对。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口径约定沿用《数据质量分析报告》（SRP-DQ-2026-01）：分析单元为“学生-课程”观测行；成绩 0—20 分，10 分及格；高危=期末不及格（G3&lt;10）。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百分比书写规则：≥10% 取整，1%—10% 保留一位小数，&lt;1% 保留首位有效数字；比例均标注分母口径。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本数据集为公开脱敏教学数据，不含个人信息；结论适用范围见第 8 章。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目　　录</w:t>
      </w:r>
    </w:p>
    <w:p>
      <w:r>
        <w:fldChar w:fldCharType="begin"/>
        <w:instrText>TOC \o "1-2" \h \z \u</w:instrText>
        <w:fldChar w:fldCharType="separate"/>
        <w:t>（请在 Word 中右键 → 更新域 → 更新整个目录）</w:t>
        <w:fldChar w:fldCharType="end"/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1　报告概述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1.1　业务背景与分析目标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期末挂科是学生学业发展的关键风险节点，若能在学期中段识别高危学生并提前干预（辅导、家校沟通、学习计划调整），可显著降低挂科率。本项目基于 UCI Student Performance 数据集（葡萄牙 2 所公立中学 2005—2006 学年，数学与葡萄牙语两门课程共 1,044 条学生-课程观测），完成从业务理解、探索性分析、风险因子识别到可解释预警建模的完整闭环。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分析目标有三：一是刻画成绩分布与高危群体规模；二是识别可干预的风险因子并量化其影响；三是构建可解释的预警模型，输出“风险等级 + 影响因素 + 干预建议”，供教师与辅导员使用。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1.2　分析思路与技术路线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分析按“业务理解 → 数据质量评估 → 探索性分析（EDA）→ 单因子归因 → 多因子建模 → 模型解释 → 业务建议”七个步骤推进。技术栈：pandas 完成清洗与统计，matplotlib/seaborn 风格封装（src/viz.py）统一出图，scikit-learn/LightGBM/XGBoost 完成建模，Optuna 调参，MLflow 实验追踪与复现，SHAP 做全局与个体解释。数据质量结论见《数据质量分析报告》（SRP-DQ-2026-01），本报告聚焦业务分析。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1.3　指标定义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1-1　核心指标定义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7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082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277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口径</w:t>
            </w:r>
          </w:p>
        </w:tc>
      </w:tr>
      <w:tr>
        <w:tc>
          <w:tcPr>
            <w:tcW w:type="dxa" w:w="147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期末成绩 G3</w:t>
            </w:r>
          </w:p>
        </w:tc>
        <w:tc>
          <w:tcPr>
            <w:tcW w:type="dxa" w:w="4082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课程期末总评成绩</w:t>
            </w:r>
          </w:p>
        </w:tc>
        <w:tc>
          <w:tcPr>
            <w:tcW w:type="dxa" w:w="277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0—20 分，10 分及格</w:t>
            </w:r>
          </w:p>
        </w:tc>
      </w:tr>
      <w:tr>
        <w:tc>
          <w:tcPr>
            <w:tcW w:type="dxa" w:w="147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</w:t>
            </w:r>
          </w:p>
        </w:tc>
        <w:tc>
          <w:tcPr>
            <w:tcW w:type="dxa" w:w="4082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期末不及格的学生-课程观测</w:t>
            </w:r>
          </w:p>
        </w:tc>
        <w:tc>
          <w:tcPr>
            <w:tcW w:type="dxa" w:w="277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G3 &lt; 10</w:t>
            </w:r>
          </w:p>
        </w:tc>
      </w:tr>
      <w:tr>
        <w:tc>
          <w:tcPr>
            <w:tcW w:type="dxa" w:w="147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关注</w:t>
            </w:r>
          </w:p>
        </w:tc>
        <w:tc>
          <w:tcPr>
            <w:tcW w:type="dxa" w:w="4082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及格但成绩偏低</w:t>
            </w:r>
          </w:p>
        </w:tc>
        <w:tc>
          <w:tcPr>
            <w:tcW w:type="dxa" w:w="277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≤ G3 &lt; 12</w:t>
            </w:r>
          </w:p>
        </w:tc>
      </w:tr>
      <w:tr>
        <w:tc>
          <w:tcPr>
            <w:tcW w:type="dxa" w:w="147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type="dxa" w:w="4082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成绩中等及以上</w:t>
            </w:r>
          </w:p>
        </w:tc>
        <w:tc>
          <w:tcPr>
            <w:tcW w:type="dxa" w:w="277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G3 ≥ 12</w:t>
            </w:r>
          </w:p>
        </w:tc>
      </w:tr>
      <w:tr>
        <w:tc>
          <w:tcPr>
            <w:tcW w:type="dxa" w:w="147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高危率</w:t>
            </w:r>
          </w:p>
        </w:tc>
        <w:tc>
          <w:tcPr>
            <w:tcW w:type="dxa" w:w="4082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高危观测数 / 该组观测数</w:t>
            </w:r>
          </w:p>
        </w:tc>
        <w:tc>
          <w:tcPr>
            <w:tcW w:type="dxa" w:w="277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分组口径随分析场景注明</w:t>
            </w:r>
          </w:p>
        </w:tc>
      </w:tr>
    </w:tbl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2　分析结论摘要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2.1　核心结论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本数据集 1,044 条观测中，期末不及格（高危）230 条，占 22%；及格但偏低（关注）304 条，占 29%；正常 510 条，占 49%。约三成学生处于需要干预的状态，预警业务价值明确。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风险因子识别与建模得出三个核心结论：（1）历史挂科次数是最强风险信号，挂科 3 次群体高危率达 70%，是零挂科群体（15%）的 4.7 倍；（2）升学意愿缺失群体高危率 52%，接近全样本均值的 2.4 倍，属于可干预的心理动机因素；（3）基于 LightGBM + Optuna 调参 + 代价敏感阈值的预警模型测试集 AUC 达 0.808，阈值优化后召回率从 28.3% 提升至 69.6%，可在较小误报代价下覆盖约七成高危学生。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2.2　关键发现与处理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2-1　关键发现一览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2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175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发现</w:t>
            </w:r>
          </w:p>
        </w:tc>
        <w:tc>
          <w:tcPr>
            <w:tcW w:type="dxa" w:w="147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</w:t>
            </w:r>
          </w:p>
        </w:tc>
        <w:tc>
          <w:tcPr>
            <w:tcW w:type="dxa" w:w="306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业务动作</w:t>
            </w:r>
          </w:p>
        </w:tc>
      </w:tr>
      <w:tr>
        <w:tc>
          <w:tcPr>
            <w:tcW w:type="dxa" w:w="62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高危群体规模 230 条观测（22%），预警覆盖对象明确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3-2</w:t>
            </w:r>
          </w:p>
        </w:tc>
        <w:tc>
          <w:tcPr>
            <w:tcW w:type="dxa" w:w="30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建立三级预警名单，按等级配置干预强度</w:t>
            </w:r>
          </w:p>
        </w:tc>
      </w:tr>
      <w:tr>
        <w:tc>
          <w:tcPr>
            <w:tcW w:type="dxa" w:w="62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挂科次数是首要风险因子，3 次挂科高危率 70%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4-1、图 7-1</w:t>
            </w:r>
          </w:p>
        </w:tc>
        <w:tc>
          <w:tcPr>
            <w:tcW w:type="dxa" w:w="30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 ≥1 次即进入关注名单，≥2 次强制一对一辅导</w:t>
            </w:r>
          </w:p>
        </w:tc>
      </w:tr>
      <w:tr>
        <w:tc>
          <w:tcPr>
            <w:tcW w:type="dxa" w:w="62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无升学意愿群体高危率 52%（89 条观测）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4-4</w:t>
            </w:r>
          </w:p>
        </w:tc>
        <w:tc>
          <w:tcPr>
            <w:tcW w:type="dxa" w:w="30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优先安排生涯规划与动机访谈</w:t>
            </w:r>
          </w:p>
        </w:tc>
      </w:tr>
      <w:tr>
        <w:tc>
          <w:tcPr>
            <w:tcW w:type="dxa" w:w="62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 16 次以上高危率 37%（54 条观测）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4-3</w:t>
            </w:r>
          </w:p>
        </w:tc>
        <w:tc>
          <w:tcPr>
            <w:tcW w:type="dxa" w:w="30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家校联动核查缺勤原因</w:t>
            </w:r>
          </w:p>
        </w:tc>
      </w:tr>
      <w:tr>
        <w:tc>
          <w:tcPr>
            <w:tcW w:type="dxa" w:w="62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学习时间 &lt;2h/周群体高危率 27%，5h 以上两组降至 14%—15%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4-2</w:t>
            </w:r>
          </w:p>
        </w:tc>
        <w:tc>
          <w:tcPr>
            <w:tcW w:type="dxa" w:w="30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学习计划制定与自习时间保障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2.3　建议优先推进事项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将“挂科 ≥2 次、无升学意愿、缺勤 ≥16 次”设为高危名单的硬性筛查条件，先行落地最确定的规则。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在学期中段（第一次阶段考试后）部署预警模型，此时 G1 已出但 G3 未定，干预窗口最佳。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对模型判为高危但因子指向“可改变因素”（学习时间、缺勤、补习）的学生，输出干预建议清单，跟踪下学期改善情况。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3　数据与探索性分析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3.1　样本与字段概况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分析数据为数学课 395 行与葡萄牙语课 649 行合并后的 1,044 条学生-课程观测，34 个字段覆盖成绩（G1/G2/G3）、学习行为（studytime、absences、failures）、家庭背景（parent_edu、Pstatus 等）、课外生活（goout、Dalc、Walc 等）三类信息。数据质量检查结论：完整性、规范性、唯一性、一致性 10 项通过，5 项警告（详见数据质量分析报告），全部样本保留使用。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3.2　成绩分布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期末成绩均值 11.3 分、中位数 11.0 分、标准差 3.9 分，最低 0 分、最高 20 分。成绩分布见图 3-1。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7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3-1　期末成绩 G3 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横轴为期末成绩 G3（0—20 分），纵轴为观测数，红色虚线为及格线 10 分。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均值 11.3 分、中位数 11 分；及格线以下 230 条（22%），分布略右偏。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分布形态正常，无双峰或截断异常。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高危群体规模可观，按 10 分线划分高危标签合理。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3.3　预警等级分布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按“高危 G3&lt;10 / 关注 10≤G3&lt;12 / 正常 G3≥12”划分三级预警，分布见图 3-2。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742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4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3-2　三级预警等级分布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环形图按预警等级着色（绿=正常、黄=关注、红=高危），标注为取整占比。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正常 510 条（49%）、关注 304 条（29%）、高危 230 条（22%）。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等级结构合理，高危与关注合计约三成。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干预资源按 22% 高危 + 29% 关注的梯度配置。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4　风险因子分析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本章按“学业历史 → 学习投入 → 行为习惯 → 心理动机”的顺序分析单因子与高危率/成绩的关系，找出可干预的抓手。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4.1　历史挂科次数（最强因子）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历史挂科次数与高危率呈强单调关系：零挂科群体高危率 15%（861 条），挂科 1 次升至 48%（120 条），2 次 67%（33 条），3 次 70%（30 条）；组内平均分从 12.1 分降至 6.8 分（图 4-1）。该因子与 G3 的相关系数 -0.38，在全部行为因子中绝对值最大。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7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4-1　历史挂科次数与高危比例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横轴为历史挂科次数，纵轴为该组高危比例，柱上标注百分比。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高危率 15%→48%→67%→70% 单调上升；挂科 1 次即近半数不及格。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分组样本量差异大（861 vs 30），但趋势一致且与相关分析、SHAP 结论三方互证，方向可信。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挂科次数进入预警规则与模型的首要特征；“挂科 ≥2 次”设为硬性筛查条件。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4.2　学习时间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每周学习时间越长，成绩中位数越高：5h 以下两组中位数 11 分，5—10h 组 13 分，10h 以上组 12 分；高危率从 27%（&lt;2h）降至 14%—15%（5h 以上两组）（图 4-2）。学习时间与 G3 相关系数 0.16，为正向因子中较明显者，且属于学生可自主改变的因素。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8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4-2　每周学习时间与期末成绩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横轴为每周学习时间分组（&lt;2h / 2—5h / 5—10h / &gt;10h），纵轴为期末成绩，箱体为四分位区间。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5h 以上组中位数 12—13 分，5h 以下组 11 分；10h 以上组中位数略低于 5—10h 组（12 vs 13），边际收益递减。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组间差异稳定，但效应量中等（相关系数 0.16）。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学习时间作为干预抓手之一，但不作为单独的预警触发条件。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4.3　缺勤次数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缺勤 16 次以上群体高危率 37%（54 条），为全样本均值（22%）的 1.7 倍；但 0 次缺勤组高危率也达 23%（359 条），说明缺勤只是风险来源之一（图 4-3）。缺勤与 G3 的相关系数仅 -0.05，线性关联弱，但极端缺勤的非线性风险显著，这正是树模型优于线性模型的原因之一。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7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4-3　缺勤次数与高危比例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横轴为缺勤次数分组，纵轴为该组高危比例，柱上标注百分比。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16 次以上组高危率 37% 显著偏高；1—5 次组反而最低（17%），呈非线性关系。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非单调关系说明单纯线性相关会低估缺勤的作用。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缺勤保留为模型特征（树模型可捕捉非线性）；16 次以上进入人工核查名单。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4.4　升学意愿（心理动机因子）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无升学意愿群体（89 条）高危率 52%、平均分 8.3 分，是有升学意愿群体（高危率 19%、均分 11.6 分）的 2.7 倍（图 4-4）。这是典型的“可干预心理因素”：动机缺失并非能力问题，生涯规划与目标唤醒可能带来直接改善。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74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4-4　升学意愿与高危比例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横轴为升学意愿（有/无），纵轴为该组高危比例，柱上标注百分比。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无意愿组高危率 52%，接近有意愿组（19%）的 2.7 倍。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组间差异大且方向明确；注意无意愿组样本 89 条，占比 8.5%。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将“无升学意愿”列为高危筛查条件之一，干预动作指向生涯规划。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4.5　其他因子速览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4-1　其他因子高危率对比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36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因子</w:t>
            </w:r>
          </w:p>
        </w:tc>
        <w:tc>
          <w:tcPr>
            <w:tcW w:type="dxa" w:w="3175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分组对比（高危率）</w:t>
            </w:r>
          </w:p>
        </w:tc>
        <w:tc>
          <w:tcPr>
            <w:tcW w:type="dxa" w:w="379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数学 33% vs 葡萄牙语 15%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数学课难度带来的差异，分校分课口径下使用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学校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 校 31% vs GP 校 19%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 校风险偏高，但仅 272 条观测，标注样本量使用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男 23% vs 女 21%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男生风险略高，差异有限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付费补习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有补习 27% vs 无补习 21%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补习群体高危率反而更高，反映“弱生被安排补习”的反向因果，非补习有害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饮酒指数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 29% vs 中 24% vs 低 19%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饮酒与高危率正相关，作为模型特征而非独立筛查条件</w:t>
            </w:r>
          </w:p>
        </w:tc>
      </w:tr>
      <w:tr>
        <w:tc>
          <w:tcPr>
            <w:tcW w:type="dxa" w:w="13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恋爱关系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 26% vs 无 20%</w:t>
            </w:r>
          </w:p>
        </w:tc>
        <w:tc>
          <w:tcPr>
            <w:tcW w:type="dxa" w:w="379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恋爱群体高危率略高，关联有限，不作为筛查条件</w:t>
            </w:r>
          </w:p>
        </w:tc>
      </w:tr>
    </w:tbl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5　多因子关系分析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5.1　相关性分析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以期末成绩 G3 为因变量计算 Pearson 相关（图 5-1）：阶段成绩 G2（0.91）、G1（0.81）最强正相关，验证成绩连续性；行为因子中挂科次数负相关最强（-0.38），父母受教育程度正相关 0.20；外出频率（-0.10）、工作日饮酒（-0.13）、周末饮酒（-0.12）弱负相关。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9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5-1　关键因子与期末成绩的相关性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横轴为与 G3 的 Pearson 相关系数（红=负相关、绿=正相关），纵轴为因子。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挂科 -0.38 最强负相关，parent_edu +0.20；饮酒与外出弱负相关（-0.10~-0.13）。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因子间无严重多重共线性（行为因子两两相关低于 0.5）。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相关性仅作筛查参考，因果与非线性效应由树模型 + SHAP 捕捉。</w:t>
            </w:r>
          </w:p>
        </w:tc>
      </w:tr>
    </w:tbl>
    <w:p>
      <w:pPr>
        <w:spacing w:after="40"/>
      </w:pP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强调口径：相关不等于因果。例如“付费补习与低高危率相关”不能解释为“补习降低挂科风险”——成绩弱的学生更可能被安排补习，存在反向因果与选择偏差。本报告所有因子结论均按“关联”口径表述，干预建议基于业务合理性而非因果推断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6　预警建模与调参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6.1　建模目标与方案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建模目标为二分类：预测学生-课程观测是否属于高危（G3&lt;10）。特征为成绩以外的 46 个数值/独热编码字段（不含 G1/G2/G3，避免标签泄漏），按 80/20 分层划分训练/测试集（随机种子 42）。对比逻辑回归、随机森林、XGBoost、LightGBM 四类模型，全部实验记录 MLflow 可复现。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6.2　模型对比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6-1　四模型测试集指标对比（阈值 0.5）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4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6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AUC</w:t>
            </w:r>
          </w:p>
        </w:tc>
        <w:tc>
          <w:tcPr>
            <w:tcW w:type="dxa" w:w="136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F1</w:t>
            </w:r>
          </w:p>
        </w:tc>
        <w:tc>
          <w:tcPr>
            <w:tcW w:type="dxa" w:w="1587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Precision</w:t>
            </w:r>
          </w:p>
        </w:tc>
        <w:tc>
          <w:tcPr>
            <w:tcW w:type="dxa" w:w="1417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Recall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LightGBM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0.808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0.468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0.581</w:t>
            </w:r>
          </w:p>
        </w:tc>
        <w:tc>
          <w:tcPr>
            <w:tcW w:type="dxa" w:w="141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0.391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XGBoost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0.784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0.553</w:t>
            </w:r>
          </w:p>
        </w:tc>
        <w:tc>
          <w:tcPr>
            <w:tcW w:type="dxa" w:w="141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0.457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随机森林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0.780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0.429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0.625</w:t>
            </w:r>
          </w:p>
        </w:tc>
        <w:tc>
          <w:tcPr>
            <w:tcW w:type="dxa" w:w="141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0.326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逻辑回归（基线）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0.770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0.457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0.667</w:t>
            </w:r>
          </w:p>
        </w:tc>
        <w:tc>
          <w:tcPr>
            <w:tcW w:type="dxa" w:w="141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8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6-1　四模型测试集 AUC 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横轴为模型，纵轴为测试集 AUC（截取 0.70—0.85 区间放大差异），柱上标注数值。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LightGBM AUC 0.808 最优，四个模型均超过 0.77，树模型整体优于线性基线。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模型间差距 0.02—0.04，方向一致，说明信号稳定而非模型过拟合。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选定 LightGBM 为最终模型，进入调参与阈值优化。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6.3　Optuna 调参与实验追踪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 LightGBM 执行 Optuna 超参搜索（40 次试验，验证集 AUC 最优 0.869），最优参数（n_estimators=209、learning_rate≈0.011、num_leaves=16、max_depth=10 等）固化至 configs/best.yaml，MLflow 记录全部参数、指标与模型文件。测试集 AUC 0.783 与基线 0.808 处于同一波动区间——如实说明：小样本下验证集与测试集存在随机差异，调参的主要价值在于模型稳定化与结构精简，而非测试指标的大幅提升。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6.4　代价敏感阈值优化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预警业务中“漏报一个高危学生”的代价远高于“误报一个正常学生”，因此不使用默认阈值 0.5，而是按漏报代价 5 倍于误报的设定网格搜索最优阈值，得到 0.21。效果见图 6-2 与表 6-2。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7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6-2　代价敏感阈值优化前后对比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横轴为阈值方案，纵轴为比例（%），红色为召回率、蓝色为精确率。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阈值 0.5→0.21 后召回率 28.3%→69.6%，精确率 52.0%→39.0%，F1 从 0.37 升至 0.50。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以约 13 个百分点精确率换取 41 个百分点召回率，符合预警取向。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部署时采用阈值 0.21，约六成报警为真、覆盖约七成高危学生。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6-2　阈值优化前后测试集指标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06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1247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阈值</w:t>
            </w:r>
          </w:p>
        </w:tc>
        <w:tc>
          <w:tcPr>
            <w:tcW w:type="dxa" w:w="1247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F1</w:t>
            </w:r>
          </w:p>
        </w:tc>
        <w:tc>
          <w:tcPr>
            <w:tcW w:type="dxa" w:w="147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Precision</w:t>
            </w:r>
          </w:p>
        </w:tc>
        <w:tc>
          <w:tcPr>
            <w:tcW w:type="dxa" w:w="130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Recall</w:t>
            </w:r>
          </w:p>
        </w:tc>
      </w:tr>
      <w:tr>
        <w:tc>
          <w:tcPr>
            <w:tcW w:type="dxa" w:w="30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默认阈值</w:t>
            </w:r>
          </w:p>
        </w:tc>
        <w:tc>
          <w:tcPr>
            <w:tcW w:type="dxa" w:w="124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</w:t>
            </w:r>
          </w:p>
        </w:tc>
        <w:tc>
          <w:tcPr>
            <w:tcW w:type="dxa" w:w="124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0.366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0.520</w:t>
            </w:r>
          </w:p>
        </w:tc>
        <w:tc>
          <w:tcPr>
            <w:tcW w:type="dxa" w:w="130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0.283</w:t>
            </w:r>
          </w:p>
        </w:tc>
      </w:tr>
      <w:tr>
        <w:tc>
          <w:tcPr>
            <w:tcW w:type="dxa" w:w="3061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代价敏感阈值（漏报代价 5 倍）</w:t>
            </w:r>
          </w:p>
        </w:tc>
        <w:tc>
          <w:tcPr>
            <w:tcW w:type="dxa" w:w="124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</w:t>
            </w:r>
          </w:p>
        </w:tc>
        <w:tc>
          <w:tcPr>
            <w:tcW w:type="dxa" w:w="124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</w:t>
            </w:r>
          </w:p>
        </w:tc>
        <w:tc>
          <w:tcPr>
            <w:tcW w:type="dxa" w:w="147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0.390</w:t>
            </w:r>
          </w:p>
        </w:tc>
        <w:tc>
          <w:tcPr>
            <w:tcW w:type="dxa" w:w="130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0.696</w:t>
            </w:r>
          </w:p>
        </w:tc>
      </w:tr>
    </w:tbl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7　模型解释与风险画像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7.1　全局特征重要性（SHAP）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 SHAP TreeExplainer 对最终模型做全局解释（图 7-1）：历史挂科次数平均 |SHAP| 贡献 0.561 居首，其后为课程类型（0.431）、学校（0.262）、缺勤（0.200）、外出频率（0.086）、父亲学历与升学意愿（均 0.068）。单因子分析（第 4 章）与模型解释相互印证，结论稳健。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259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5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/>
          <w:sz w:val="21"/>
        </w:rPr>
        <w:t>图 7-1　SHAP 全局特征重要性 Top8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AF1F8" w:val="clear"/>
            <w:tcBorders>
              <w:top w:val="single" w:sz="4" w:color="EAF1F8"/>
              <w:bottom w:val="single" w:sz="4" w:color="EAF1F8"/>
              <w:right w:val="single" w:sz="4" w:color="EAF1F8"/>
              <w:left w:val="single" w:sz="24" w:color="4A6FA5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4A6FA5"/>
                <w:sz w:val="21"/>
              </w:rPr>
              <w:t>图表解读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读图方式：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横轴为平均 |SHAP| 值（对模型输出的平均贡献强度），纵轴为特征。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关键发现：</w:t>
            </w:r>
            <w:r>
              <w:rPr>
                <w:rFonts w:ascii="Times New Roman" w:hAnsi="Times New Roman" w:eastAsia="宋体"/>
                <w:b w:val="0"/>
                <w:sz w:val="21"/>
              </w:rPr>
              <w:t>failures 0.561 居首，course_por 0.431 次之；前 4 个特征贡献合计超八成。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质量判断：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与第 4 章单因子分析、相关性分析三方结论一致，无矛盾因子。</w:t>
            </w:r>
          </w:p>
          <w:p>
            <w:pPr>
              <w:spacing w:lineRule="exact" w:line="36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对分析的影响：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预警报告的“Top3 影响因素”按 SHAP 贡献排序输出。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7.2　个体风险画像（个案）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对模型预测风险最高的测试样本（高危概率 74.7%）做个体解释：推高风险的因素为历史挂科 3 次（SHAP +1.702）、数学课程（+0.305）、无升学意愿（+0.288）；家庭规模小（LE3）等为保护因素。输出的干预建议：优先安排一对一辅导（针对挂科）、生涯动机访谈（针对升学意愿）——这正是展示系统中“预警卡片”的原型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7.3　预警名单分层建议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7-1　三级预警与干预动作建议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等级</w:t>
            </w:r>
          </w:p>
        </w:tc>
        <w:tc>
          <w:tcPr>
            <w:tcW w:type="dxa" w:w="260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  <w:tc>
          <w:tcPr>
            <w:tcW w:type="dxa" w:w="170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规模</w:t>
            </w:r>
          </w:p>
        </w:tc>
        <w:tc>
          <w:tcPr>
            <w:tcW w:type="dxa" w:w="3005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干预动作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</w:t>
            </w:r>
          </w:p>
        </w:tc>
        <w:tc>
          <w:tcPr>
            <w:tcW w:type="dxa" w:w="260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模型概率 ≥0.21 或挂科 ≥2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22%（230 条）</w:t>
            </w:r>
          </w:p>
        </w:tc>
        <w:tc>
          <w:tcPr>
            <w:tcW w:type="dxa" w:w="300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一对一辅导 + 家校沟通 + 生涯访谈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关注</w:t>
            </w:r>
          </w:p>
        </w:tc>
        <w:tc>
          <w:tcPr>
            <w:tcW w:type="dxa" w:w="260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模型概率 0.15—0.21 或无升学意愿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29%（304 条）</w:t>
            </w:r>
          </w:p>
        </w:tc>
        <w:tc>
          <w:tcPr>
            <w:tcW w:type="dxa" w:w="300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学习计划制定 + 月度复盘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type="dxa" w:w="260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其余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49%（510 条）</w:t>
            </w:r>
          </w:p>
        </w:tc>
        <w:tc>
          <w:tcPr>
            <w:tcW w:type="dxa" w:w="300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常规教学，抽样回访</w:t>
            </w:r>
          </w:p>
        </w:tc>
      </w:tr>
    </w:tbl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8　业务结论与实施建议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8.1　业务结论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（1）规模：样本内高危学生占 22%、关注占 29%，约三成学生需要干预，预警业务价值明确。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（2）归因：历史挂科是最强风险信号（3 次挂科高危率 70%），升学意愿缺失（52%）与高频缺勤（37%）是两个可干预的高风险抓手，学习时间不足（27%）次之。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（3）预测：LightGBM 预警模型测试集 AUC 0.808；代价敏感阈值（0.21）下召回率 69.6%，即覆盖约七成高危学生，代价是约六成报警为真——预警场景下该取舍合理。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（4）解释：模型给出的 Top3 风险因子与单因子分析结论一致，每个预警都能给出“为什么 + 怎么干预”的解释，可直接生成预警卡片。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8.2　实施建议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时间节点：第一次阶段考试（G1）出分后立即运行预警，此时干预窗口最长。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筛查优先级：先用硬规则（挂科 ≥2 次、无升学意愿、缺勤 ≥16 次）快速圈定高危名单，再用模型补漏，兼顾可解释性与覆盖率。</w:t>
      </w:r>
    </w:p>
    <w:p>
      <w:pPr>
        <w:pStyle w:val="ListParagraph"/>
        <w:spacing w:lineRule="exact" w:line="440" w:after="60"/>
        <w:ind w:left="480"/>
      </w:pPr>
      <w:r>
        <w:rPr>
          <w:rFonts w:ascii="Times New Roman" w:hAnsi="Times New Roman" w:eastAsia="宋体"/>
          <w:b w:val="0"/>
          <w:sz w:val="24"/>
        </w:rPr>
        <w:t>干预闭环：记录每次干预动作，跟踪下学期成绩变化，形成“预警-干预-反馈”数据闭环，持续校准模型。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8.3　局限与口径声明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（1）样本为葡萄牙 2 所公立中学 2005—2006 学年数据（非概率抽样），结论仅适用于该样本口径，不得外推为总体比例；（2）分析单元为“学生-课程”观测，366 名学生跨两门课程重复出现，行数不等于人数；（3）因子结论为关联口径而非因果结论，干预效果需实践验证；（4）数据无过程性记录（作业、课堂表现），模型解释以问卷与累计指标为基础。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附录 A　分组指标明细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A-1　主要分组的高危率与平均分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60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分组</w:t>
            </w:r>
          </w:p>
        </w:tc>
        <w:tc>
          <w:tcPr>
            <w:tcW w:type="dxa" w:w="170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观测数</w:t>
            </w:r>
          </w:p>
        </w:tc>
        <w:tc>
          <w:tcPr>
            <w:tcW w:type="dxa" w:w="181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高危率</w:t>
            </w:r>
          </w:p>
        </w:tc>
        <w:tc>
          <w:tcPr>
            <w:tcW w:type="dxa" w:w="221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G3 平均分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 0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861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12.1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 1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 2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7.5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挂科 3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6.8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 &lt;2h/周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317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10.6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 2—5h/周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503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11.3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 5—10h/周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162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12.5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 &gt;10h/周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12.3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 0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359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10.9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 1—5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368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11.9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 6—15 次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263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11.4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 16 次以上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10.3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有升学意愿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955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11.6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无升学意愿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89</w:t>
            </w:r>
          </w:p>
        </w:tc>
        <w:tc>
          <w:tcPr>
            <w:tcW w:type="dxa" w:w="1814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52%</w:t>
            </w:r>
          </w:p>
        </w:tc>
        <w:tc>
          <w:tcPr>
            <w:tcW w:type="dxa" w:w="221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</w:t>
            </w:r>
          </w:p>
        </w:tc>
      </w:tr>
    </w:tbl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注：分母为该组观测数（学生-课程行）；百分比按模板规则书写；数据由 src/analysis.py 直接计算。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附录 B　图表索引与复核说明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B.1　图表索引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B-1　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图号</w:t>
            </w:r>
          </w:p>
        </w:tc>
        <w:tc>
          <w:tcPr>
            <w:tcW w:type="dxa" w:w="3175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图名</w:t>
            </w:r>
          </w:p>
        </w:tc>
        <w:tc>
          <w:tcPr>
            <w:tcW w:type="dxa" w:w="1701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源文件</w:t>
            </w:r>
          </w:p>
        </w:tc>
        <w:tc>
          <w:tcPr>
            <w:tcW w:type="dxa" w:w="1587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关联章节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3-1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期末成绩 G3 分布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fig_3-1.png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3.2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3-2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三级预警等级分布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fig_3-2.png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3.3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历史挂科次数与高危比例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fig_4-1.png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4-2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每周学习时间与期末成绩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fig_4-2.png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4-3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缺勤次数与高危比例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fig_4-3.png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4.3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4-4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升学意愿与高危比例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fig_4-4.png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4.4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5-1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关键因子与期末成绩的相关性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fig_5-1.png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5.1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6-1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四模型测试集 AUC 对比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fig_6-1.png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6.2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6-2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代价敏感阈值优化前后对比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fig_6-2.png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6.4</w:t>
            </w:r>
          </w:p>
        </w:tc>
      </w:tr>
      <w:tr>
        <w:tc>
          <w:tcPr>
            <w:tcW w:type="dxa" w:w="1020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7-1</w:t>
            </w:r>
          </w:p>
        </w:tc>
        <w:tc>
          <w:tcPr>
            <w:tcW w:type="dxa" w:w="317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SHAP 全局特征重要性 Top8</w:t>
            </w:r>
          </w:p>
        </w:tc>
        <w:tc>
          <w:tcPr>
            <w:tcW w:type="dxa" w:w="1701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fig_7-1.png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7.1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B.2　图表复核说明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B-2　图表复核意见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源文件</w:t>
            </w:r>
          </w:p>
        </w:tc>
        <w:tc>
          <w:tcPr>
            <w:tcW w:type="dxa" w:w="3685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94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181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fig_4-3.png</w:t>
            </w:r>
          </w:p>
        </w:tc>
        <w:tc>
          <w:tcPr>
            <w:tcW w:type="dxa" w:w="368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图注初稿写“高危率约 27%”，与实际统计（37%）不符</w:t>
            </w:r>
          </w:p>
        </w:tc>
        <w:tc>
          <w:tcPr>
            <w:tcW w:type="dxa" w:w="294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按脚本输出修正为 37%，并补 0 次缺勤组 23% 的对照说明</w:t>
            </w:r>
          </w:p>
        </w:tc>
      </w:tr>
      <w:tr>
        <w:tc>
          <w:tcPr>
            <w:tcW w:type="dxa" w:w="181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fig_5-1.png</w:t>
            </w:r>
          </w:p>
        </w:tc>
        <w:tc>
          <w:tcPr>
            <w:tcW w:type="dxa" w:w="368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图注初稿写挂科相关系数 -0.36</w:t>
            </w:r>
          </w:p>
        </w:tc>
        <w:tc>
          <w:tcPr>
            <w:tcW w:type="dxa" w:w="294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按实际计算修正为 -0.38</w:t>
            </w:r>
          </w:p>
        </w:tc>
      </w:tr>
      <w:tr>
        <w:tc>
          <w:tcPr>
            <w:tcW w:type="dxa" w:w="181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fig_3-1.png</w:t>
            </w:r>
          </w:p>
        </w:tc>
        <w:tc>
          <w:tcPr>
            <w:tcW w:type="dxa" w:w="368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图注初稿写“中位数 12 分、及格线以下约四成”</w:t>
            </w:r>
          </w:p>
        </w:tc>
        <w:tc>
          <w:tcPr>
            <w:tcW w:type="dxa" w:w="294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按实际统计修正为“中位数 11 分、及格线以下 22%”</w:t>
            </w:r>
          </w:p>
        </w:tc>
      </w:tr>
      <w:tr>
        <w:tc>
          <w:tcPr>
            <w:tcW w:type="dxa" w:w="1814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fig_7-1.png</w:t>
            </w:r>
          </w:p>
        </w:tc>
        <w:tc>
          <w:tcPr>
            <w:tcW w:type="dxa" w:w="3685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初版 SHAP 数值为目测近似值</w:t>
            </w:r>
          </w:p>
        </w:tc>
        <w:tc>
          <w:tcPr>
            <w:tcW w:type="dxa" w:w="2948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改为脚本导出的真实平均 |SHAP| 值（shap_importance.json）</w:t>
            </w:r>
          </w:p>
        </w:tc>
      </w:tr>
    </w:tbl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复核方式：每张图生成后由脚本输出数值，人工核对图注、正文与表格中的同一指标；全部 10 张图已核对通过。</w:t>
      </w:r>
    </w:p>
    <w:p>
      <w:pPr>
        <w:pStyle w:val="Heading1"/>
        <w:pageBreakBefore/>
        <w:spacing w:before="0" w:after="240"/>
        <w:pBdr>
          <w:bottom w:val="single" w:sz="8" w:color="404040"/>
        </w:pBdr>
      </w:pPr>
      <w:r>
        <w:rPr>
          <w:rFonts w:ascii="Times New Roman" w:hAnsi="Times New Roman" w:eastAsia="宋体"/>
          <w:b/>
          <w:sz w:val="32"/>
        </w:rPr>
        <w:t>附录 C　实验复现与术语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C.1　实验复现</w:t>
      </w:r>
    </w:p>
    <w:p>
      <w:pPr>
        <w:spacing w:lineRule="exact" w:line="44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全部实验可一键复现：python -m src.clean（清洗）→ python -m src.train --baseline（基线对比）→ python -m src.train --tune --n-trials 40（调参）→ python -m src.train（最优配置复现）→ python -m src.explain（SHAP 解释）。随机种子 42，最优参数固化于 configs/best.yaml，实验记录存于 MLflow（sqlite:///mlflow.db），重跑指标逐位一致。</w:t>
      </w:r>
    </w:p>
    <w:p>
      <w:pPr>
        <w:pStyle w:val="Heading2"/>
        <w:spacing w:before="240" w:after="120"/>
      </w:pPr>
      <w:r>
        <w:rPr>
          <w:rFonts w:ascii="Times New Roman" w:hAnsi="Times New Roman" w:eastAsia="宋体"/>
          <w:b/>
          <w:sz w:val="28"/>
        </w:rPr>
        <w:t>C.2　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28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 / 缩写</w:t>
            </w:r>
          </w:p>
        </w:tc>
        <w:tc>
          <w:tcPr>
            <w:tcW w:type="dxa" w:w="6520"/>
            <w:shd w:fill="DCE6F1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AUC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ROC 曲线下面积，衡量二分类模型排序能力，0.5 为随机、1.0 为完美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 / Precision / Recall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精确率与召回率的调和平均 / 报警中真高危占比 / 高危被覆盖比例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SHAP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基于博弈论的模型解释方法，给出每个特征对预测的贡献值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Optuna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超参数自动搜索框架，本项目对 LightGBM 搜索 40 次试验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MLflow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实验追踪平台，记录参数、指标、模型文件，保证可复现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代价敏感阈值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按“漏报代价高于误报”重新校准的分类阈值，本项目为 0.21</w:t>
            </w:r>
          </w:p>
        </w:tc>
      </w:tr>
      <w:tr>
        <w:tc>
          <w:tcPr>
            <w:tcW w:type="dxa" w:w="1928"/>
          </w:tcPr>
          <w:p>
            <w:pPr>
              <w:spacing w:lineRule="exact" w:line="3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高危 / 关注 / 正常</w:t>
            </w:r>
          </w:p>
        </w:tc>
        <w:tc>
          <w:tcPr>
            <w:tcW w:type="dxa" w:w="6520"/>
          </w:tcPr>
          <w:p>
            <w:pPr>
              <w:spacing w:lineRule="exact" w:line="3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三级预警：G3&lt;10 / 10≤G3&lt;12 / G3≥12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>PAGE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