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60"/>
        <w:jc w:val="center"/>
      </w:pPr>
      <w:r>
        <w:rPr>
          <w:rFonts w:ascii="Times New Roman" w:hAnsi="Times New Roman" w:eastAsia="宋体"/>
          <w:b w:val="0"/>
          <w:sz w:val="21"/>
        </w:rPr>
        <w:t>文档编号：SRP-DA-2026-01　　密　　级：内部</w:t>
      </w:r>
    </w:p>
    <w:p>
      <w:pPr>
        <w:spacing w:after="480"/>
        <w:jc w:val="center"/>
      </w:pPr>
      <w:r>
        <w:rPr>
          <w:rFonts w:ascii="Times New Roman" w:hAnsi="Times New Roman" w:eastAsia="宋体"/>
          <w:b/>
          <w:sz w:val="28"/>
        </w:rPr>
        <w:t>DATA ANALYSIS REPORT</w:t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sz w:val="28"/>
        </w:rPr>
        <w:t>基于 UCI Student Performance 数据集</w:t>
      </w:r>
    </w:p>
    <w:p>
      <w:pPr>
        <w:spacing w:after="120"/>
        <w:jc w:val="center"/>
      </w:pPr>
      <w:r>
        <w:rPr>
          <w:rFonts w:ascii="Times New Roman" w:hAnsi="Times New Roman" w:eastAsia="宋体"/>
          <w:b/>
          <w:sz w:val="52"/>
        </w:rPr>
        <w:t>学业成绩数据分析报告</w:t>
      </w:r>
    </w:p>
    <w:p>
      <w:pPr>
        <w:spacing w:after="720"/>
        <w:jc w:val="center"/>
      </w:pPr>
      <w:r>
        <w:rPr>
          <w:rFonts w:ascii="Times New Roman" w:hAnsi="Times New Roman" w:eastAsia="宋体"/>
          <w:b w:val="0"/>
          <w:sz w:val="24"/>
        </w:rPr>
        <w:t>Student Performance Data Analysis &amp; Early-Warning Modeling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数据集名称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UCI Student Performance（数学与葡萄牙语课程学生表现）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分析范围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1,044 条学生-课程观测，34 个字段（2005—2006 学年，葡萄牙 2 所公立中学）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分析目标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识别学业高危风险因子，构建可解释的期末成绩预警模型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报告版本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V1.0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编制单位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【待填：小组名称 / 姓名】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编制日期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2026 年 10 月 17 日</w:t>
            </w:r>
          </w:p>
        </w:tc>
      </w:tr>
    </w:tbl>
    <w:p/>
    <w:p>
      <w:pPr>
        <w:spacing w:before="720"/>
        <w:jc w:val="center"/>
      </w:pPr>
      <w:r>
        <w:rPr>
          <w:rFonts w:ascii="Times New Roman" w:hAnsi="Times New Roman" w:eastAsia="宋体"/>
          <w:b/>
          <w:sz w:val="24"/>
        </w:rPr>
        <w:t>【待填：小组名称】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二〇二六年十月</w:t>
      </w:r>
    </w:p>
    <w:p>
      <w:r>
        <w:br w:type="page"/>
      </w:r>
    </w:p>
    <w:p>
      <w:pPr>
        <w:pStyle w:val="Heading1"/>
        <w:pageBreakBefore/>
        <w:pBdr>
          <w:bottom w:val="single" w:sz="8" w:color="404040"/>
        </w:pBdr>
        <w:spacing w:before="0" w:after="240"/>
      </w:pPr>
      <w:r>
        <w:rPr>
          <w:rFonts w:ascii="Times New Roman" w:hAnsi="Times New Roman" w:eastAsia="宋体"/>
          <w:b/>
          <w:sz w:val="32"/>
        </w:rPr>
        <w:t>文 档 信 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984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6350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98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文档名称</w:t>
            </w:r>
          </w:p>
        </w:tc>
        <w:tc>
          <w:tcPr>
            <w:tcW w:type="dxa" w:w="6350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UCI Student Performance 学业成绩数据分析报告</w:t>
            </w:r>
          </w:p>
        </w:tc>
      </w:tr>
      <w:tr>
        <w:tc>
          <w:tcPr>
            <w:tcW w:type="dxa" w:w="198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文档编号</w:t>
            </w:r>
          </w:p>
        </w:tc>
        <w:tc>
          <w:tcPr>
            <w:tcW w:type="dxa" w:w="6350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SRP-DA-2026-01</w:t>
            </w:r>
          </w:p>
        </w:tc>
      </w:tr>
      <w:tr>
        <w:tc>
          <w:tcPr>
            <w:tcW w:type="dxa" w:w="198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版本号</w:t>
            </w:r>
          </w:p>
        </w:tc>
        <w:tc>
          <w:tcPr>
            <w:tcW w:type="dxa" w:w="6350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V1.0</w:t>
            </w:r>
          </w:p>
        </w:tc>
      </w:tr>
      <w:tr>
        <w:tc>
          <w:tcPr>
            <w:tcW w:type="dxa" w:w="198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密级</w:t>
            </w:r>
          </w:p>
        </w:tc>
        <w:tc>
          <w:tcPr>
            <w:tcW w:type="dxa" w:w="6350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内部</w:t>
            </w:r>
          </w:p>
        </w:tc>
      </w:tr>
      <w:tr>
        <w:tc>
          <w:tcPr>
            <w:tcW w:type="dxa" w:w="198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分析数据</w:t>
            </w:r>
          </w:p>
        </w:tc>
        <w:tc>
          <w:tcPr>
            <w:tcW w:type="dxa" w:w="6350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UCI Student Performance（student-mat / student-por 合并，1,044 行）</w:t>
            </w:r>
          </w:p>
        </w:tc>
      </w:tr>
      <w:tr>
        <w:tc>
          <w:tcPr>
            <w:tcW w:type="dxa" w:w="198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编制</w:t>
            </w:r>
          </w:p>
        </w:tc>
        <w:tc>
          <w:tcPr>
            <w:tcW w:type="dxa" w:w="6350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【待填】</w:t>
            </w:r>
          </w:p>
        </w:tc>
      </w:tr>
      <w:tr>
        <w:tc>
          <w:tcPr>
            <w:tcW w:type="dxa" w:w="198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审核 / 批准</w:t>
            </w:r>
          </w:p>
        </w:tc>
        <w:tc>
          <w:tcPr>
            <w:tcW w:type="dxa" w:w="6350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【待填】</w:t>
            </w:r>
          </w:p>
        </w:tc>
      </w:tr>
      <w:tr>
        <w:tc>
          <w:tcPr>
            <w:tcW w:type="dxa" w:w="198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发布日期</w:t>
            </w:r>
          </w:p>
        </w:tc>
        <w:tc>
          <w:tcPr>
            <w:tcW w:type="dxa" w:w="6350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2026-10-17</w:t>
            </w:r>
          </w:p>
        </w:tc>
      </w:tr>
    </w:tbl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阅读说明</w:t>
      </w:r>
    </w:p>
    <w:p>
      <w:pPr>
        <w:pStyle w:val="ListParagraph"/>
        <w:spacing w:lineRule="exact" w:line="440" w:after="60"/>
        <w:ind w:left="480"/>
      </w:pPr>
      <w:r>
        <w:rPr>
          <w:rFonts w:ascii="Times New Roman" w:hAnsi="Times New Roman" w:eastAsia="宋体"/>
          <w:b w:val="0"/>
          <w:sz w:val="24"/>
        </w:rPr>
        <w:t>本报告全部数字由脚本（src/analysis.py、src/train.py、src/shap_values.py）直接计算，图表数值与正文、表格逐一核对。</w:t>
      </w:r>
    </w:p>
    <w:p>
      <w:pPr>
        <w:pStyle w:val="ListParagraph"/>
        <w:spacing w:lineRule="exact" w:line="440" w:after="60"/>
        <w:ind w:left="480"/>
      </w:pPr>
      <w:r>
        <w:rPr>
          <w:rFonts w:ascii="Times New Roman" w:hAnsi="Times New Roman" w:eastAsia="宋体"/>
          <w:b w:val="0"/>
          <w:sz w:val="24"/>
        </w:rPr>
        <w:t>口径约定沿用《数据质量分析报告》（SRP-DQ-2026-01）：分析单元为“学生-课程”观测行；成绩 0—20 分，10 分及格；高危=期末不及格（G3&lt;10）。</w:t>
      </w:r>
    </w:p>
    <w:p>
      <w:pPr>
        <w:pStyle w:val="ListParagraph"/>
        <w:spacing w:lineRule="exact" w:line="440" w:after="60"/>
        <w:ind w:left="480"/>
      </w:pPr>
      <w:r>
        <w:rPr>
          <w:rFonts w:ascii="Times New Roman" w:hAnsi="Times New Roman" w:eastAsia="宋体"/>
          <w:b w:val="0"/>
          <w:sz w:val="24"/>
        </w:rPr>
        <w:t>百分比书写规则：≥10% 取整，1%—10% 保留一位小数，&lt;1% 保留首位有效数字；比例均标注分母口径。</w:t>
      </w:r>
    </w:p>
    <w:p>
      <w:pPr>
        <w:pStyle w:val="ListParagraph"/>
        <w:spacing w:lineRule="exact" w:line="440" w:after="60"/>
        <w:ind w:left="480"/>
      </w:pPr>
      <w:r>
        <w:rPr>
          <w:rFonts w:ascii="Times New Roman" w:hAnsi="Times New Roman" w:eastAsia="宋体"/>
          <w:b w:val="0"/>
          <w:sz w:val="24"/>
        </w:rPr>
        <w:t>本数据集为公开脱敏教学数据，不含个人信息；结论适用范围见第 8 章。</w:t>
      </w:r>
    </w:p>
    <w:p>
      <w:pPr>
        <w:pStyle w:val="Heading1"/>
        <w:pageBreakBefore/>
        <w:pBdr>
          <w:bottom w:val="single" w:sz="8" w:color="404040"/>
        </w:pBdr>
        <w:spacing w:before="0" w:after="240"/>
      </w:pPr>
      <w:r>
        <w:rPr>
          <w:rFonts w:ascii="Times New Roman" w:hAnsi="Times New Roman" w:eastAsia="宋体"/>
          <w:b/>
          <w:sz w:val="32"/>
        </w:rPr>
        <w:t>目　　录</w:t>
      </w:r>
    </w:p>
    <w:p>
      <w:r>
        <w:fldChar w:fldCharType="begin"/>
        <w:instrText>TOC \o "1-2" \h \z \u</w:instrText>
        <w:fldChar w:fldCharType="separate"/>
        <w:t>（请在 Word 中右键 → 更新域 → 更新整个目录）</w:t>
        <w:fldChar w:fldCharType="end"/>
      </w:r>
    </w:p>
    <w:p>
      <w:pPr>
        <w:pStyle w:val="Heading1"/>
        <w:pageBreakBefore/>
        <w:pBdr>
          <w:bottom w:val="single" w:sz="8" w:color="404040"/>
        </w:pBdr>
        <w:spacing w:before="0" w:after="240"/>
      </w:pPr>
      <w:r>
        <w:rPr>
          <w:rFonts w:ascii="Times New Roman" w:hAnsi="Times New Roman" w:eastAsia="宋体"/>
          <w:b/>
          <w:sz w:val="32"/>
        </w:rPr>
        <w:t>1　报告概述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1.1　业务背景与分析目标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期末挂科是学生学业发展的关键风险节点，若能在学期中段识别高危学生并提前干预（辅导、家校沟通、学习计划调整），可显著降低挂科率。本项目基于 UCI Student Performance 数据集（葡萄牙 2 所公立中学 2005—2006 学年，数学与葡萄牙语两门课程共 1,044 条学生-课程观测），完成从业务理解、探索性分析、风险因子识别到可解释预警建模的完整闭环。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分析目标有三：一是刻画成绩分布与高危群体规模；二是识别可干预的风险因子并量化其影响；三是构建可解释的预警模型，输出“风险等级 + 影响因素 + 干预建议”，供教师与辅导员使用。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1.2　分析思路与技术路线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分析按“业务理解 → 数据质量评估 → 探索性分析（EDA）→ 单因子归因 → 多因子建模 → 模型解释 → 业务建议”七个步骤推进。技术栈：pandas 完成清洗与统计，matplotlib/seaborn 风格封装（src/viz.py）统一出图，scikit-learn/LightGBM/XGBoost 完成建模，Optuna 调参，MLflow 实验追踪与复现，SHAP 做全局与个体解释。数据质量结论见《数据质量分析报告》（SRP-DQ-2026-01），本报告聚焦业务分析。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1.3　指标定义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b/>
          <w:sz w:val="21"/>
        </w:rPr>
        <w:t>表 1-1　核心指标定义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1474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指标</w:t>
            </w:r>
          </w:p>
        </w:tc>
        <w:tc>
          <w:tcPr>
            <w:tcW w:type="dxa" w:w="4082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2778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口径</w:t>
            </w:r>
          </w:p>
        </w:tc>
      </w:tr>
      <w:tr>
        <w:tc>
          <w:tcPr>
            <w:tcW w:type="dxa" w:w="147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期末成绩 G3</w:t>
            </w:r>
          </w:p>
        </w:tc>
        <w:tc>
          <w:tcPr>
            <w:tcW w:type="dxa" w:w="4082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课程期末总评成绩</w:t>
            </w:r>
          </w:p>
        </w:tc>
        <w:tc>
          <w:tcPr>
            <w:tcW w:type="dxa" w:w="2778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0—20 分，10 分及格</w:t>
            </w:r>
          </w:p>
        </w:tc>
      </w:tr>
      <w:tr>
        <w:tc>
          <w:tcPr>
            <w:tcW w:type="dxa" w:w="147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高危</w:t>
            </w:r>
          </w:p>
        </w:tc>
        <w:tc>
          <w:tcPr>
            <w:tcW w:type="dxa" w:w="4082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期末不及格的学生-课程观测</w:t>
            </w:r>
          </w:p>
        </w:tc>
        <w:tc>
          <w:tcPr>
            <w:tcW w:type="dxa" w:w="2778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G3 &lt; 10</w:t>
            </w:r>
          </w:p>
        </w:tc>
      </w:tr>
      <w:tr>
        <w:tc>
          <w:tcPr>
            <w:tcW w:type="dxa" w:w="147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关注</w:t>
            </w:r>
          </w:p>
        </w:tc>
        <w:tc>
          <w:tcPr>
            <w:tcW w:type="dxa" w:w="4082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及格但成绩偏低</w:t>
            </w:r>
          </w:p>
        </w:tc>
        <w:tc>
          <w:tcPr>
            <w:tcW w:type="dxa" w:w="2778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 ≤ G3 &lt; 12</w:t>
            </w:r>
          </w:p>
        </w:tc>
      </w:tr>
      <w:tr>
        <w:tc>
          <w:tcPr>
            <w:tcW w:type="dxa" w:w="147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正常</w:t>
            </w:r>
          </w:p>
        </w:tc>
        <w:tc>
          <w:tcPr>
            <w:tcW w:type="dxa" w:w="4082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成绩中等及以上</w:t>
            </w:r>
          </w:p>
        </w:tc>
        <w:tc>
          <w:tcPr>
            <w:tcW w:type="dxa" w:w="2778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G3 ≥ 12</w:t>
            </w:r>
          </w:p>
        </w:tc>
      </w:tr>
      <w:tr>
        <w:tc>
          <w:tcPr>
            <w:tcW w:type="dxa" w:w="147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高危率</w:t>
            </w:r>
          </w:p>
        </w:tc>
        <w:tc>
          <w:tcPr>
            <w:tcW w:type="dxa" w:w="4082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高危观测数 / 该组观测数</w:t>
            </w:r>
          </w:p>
        </w:tc>
        <w:tc>
          <w:tcPr>
            <w:tcW w:type="dxa" w:w="2778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分组口径随分析场景注明</w:t>
            </w:r>
          </w:p>
        </w:tc>
      </w:tr>
    </w:tbl>
    <w:p>
      <w:pPr>
        <w:pStyle w:val="Heading1"/>
        <w:pageBreakBefore/>
        <w:pBdr>
          <w:bottom w:val="single" w:sz="8" w:color="404040"/>
        </w:pBdr>
        <w:spacing w:before="0" w:after="240"/>
      </w:pPr>
      <w:r>
        <w:rPr>
          <w:rFonts w:ascii="Times New Roman" w:hAnsi="Times New Roman" w:eastAsia="宋体"/>
          <w:b/>
          <w:sz w:val="32"/>
        </w:rPr>
        <w:t>2　分析结论摘要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2.1　核心结论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本数据集 1,044 条观测中，期末不及格（高危）230 条，占 22%；及格但偏低（关注）304 条，占 29%；正常 510 条，占 49%。约三成学生处于需要干预的状态，预警业务价值明确。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风险因子识别与建模得出三个核心结论：（1）历史挂科次数是最强风险信号，挂科 3 次群体高危率达 70%，是零挂科群体（15%）的 4.7 倍；（2）升学意愿缺失群体高危率 52%，接近全样本均值的 2.4 倍，属于可干预的心理动机因素；（3）基于 LightGBM + Optuna 调参 + 代价敏感阈值的预警模型测试集 AUC 达 0.808，阈值优化后召回率从 28.3% 提升至 69.6%，可在较小误报代价下覆盖约七成高危学生。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2.2　关键发现与处理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b/>
          <w:sz w:val="21"/>
        </w:rPr>
        <w:t>表 2-1　关键发现一览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624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3175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发现</w:t>
            </w:r>
          </w:p>
        </w:tc>
        <w:tc>
          <w:tcPr>
            <w:tcW w:type="dxa" w:w="1474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证据</w:t>
            </w:r>
          </w:p>
        </w:tc>
        <w:tc>
          <w:tcPr>
            <w:tcW w:type="dxa" w:w="3061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业务动作</w:t>
            </w:r>
          </w:p>
        </w:tc>
      </w:tr>
      <w:tr>
        <w:tc>
          <w:tcPr>
            <w:tcW w:type="dxa" w:w="62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高危群体规模 230 条观测（22%），预警覆盖对象明确</w:t>
            </w:r>
          </w:p>
        </w:tc>
        <w:tc>
          <w:tcPr>
            <w:tcW w:type="dxa" w:w="147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 3-2</w:t>
            </w:r>
          </w:p>
        </w:tc>
        <w:tc>
          <w:tcPr>
            <w:tcW w:type="dxa" w:w="306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建立三级预警名单，按等级配置干预强度</w:t>
            </w:r>
          </w:p>
        </w:tc>
      </w:tr>
      <w:tr>
        <w:tc>
          <w:tcPr>
            <w:tcW w:type="dxa" w:w="62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挂科次数是首要风险因子，3 次挂科高危率 70%</w:t>
            </w:r>
          </w:p>
        </w:tc>
        <w:tc>
          <w:tcPr>
            <w:tcW w:type="dxa" w:w="147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 4-1、图 7-1</w:t>
            </w:r>
          </w:p>
        </w:tc>
        <w:tc>
          <w:tcPr>
            <w:tcW w:type="dxa" w:w="306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挂科 ≥1 次即进入关注名单，≥2 次强制一对一辅导</w:t>
            </w:r>
          </w:p>
        </w:tc>
      </w:tr>
      <w:tr>
        <w:tc>
          <w:tcPr>
            <w:tcW w:type="dxa" w:w="62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无升学意愿群体高危率 52%（89 条观测）</w:t>
            </w:r>
          </w:p>
        </w:tc>
        <w:tc>
          <w:tcPr>
            <w:tcW w:type="dxa" w:w="147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 4-4</w:t>
            </w:r>
          </w:p>
        </w:tc>
        <w:tc>
          <w:tcPr>
            <w:tcW w:type="dxa" w:w="306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优先安排生涯规划与动机访谈</w:t>
            </w:r>
          </w:p>
        </w:tc>
      </w:tr>
      <w:tr>
        <w:tc>
          <w:tcPr>
            <w:tcW w:type="dxa" w:w="62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缺勤 16 次以上高危率 37%（54 条观测）</w:t>
            </w:r>
          </w:p>
        </w:tc>
        <w:tc>
          <w:tcPr>
            <w:tcW w:type="dxa" w:w="147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 4-3</w:t>
            </w:r>
          </w:p>
        </w:tc>
        <w:tc>
          <w:tcPr>
            <w:tcW w:type="dxa" w:w="306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家校联动核查缺勤原因</w:t>
            </w:r>
          </w:p>
        </w:tc>
      </w:tr>
      <w:tr>
        <w:tc>
          <w:tcPr>
            <w:tcW w:type="dxa" w:w="62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学习时间 &lt;2h/周群体高危率 27%，5h 以上两组降至 14%—15%</w:t>
            </w:r>
          </w:p>
        </w:tc>
        <w:tc>
          <w:tcPr>
            <w:tcW w:type="dxa" w:w="147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 4-2</w:t>
            </w:r>
          </w:p>
        </w:tc>
        <w:tc>
          <w:tcPr>
            <w:tcW w:type="dxa" w:w="306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学习计划制定与自习时间保障</w:t>
            </w:r>
          </w:p>
        </w:tc>
      </w:tr>
    </w:tbl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2.3　建议优先推进事项</w:t>
      </w:r>
    </w:p>
    <w:p>
      <w:pPr>
        <w:pStyle w:val="ListParagraph"/>
        <w:spacing w:lineRule="exact" w:line="440" w:after="60"/>
        <w:ind w:left="480"/>
      </w:pPr>
      <w:r>
        <w:rPr>
          <w:rFonts w:ascii="Times New Roman" w:hAnsi="Times New Roman" w:eastAsia="宋体"/>
          <w:b w:val="0"/>
          <w:sz w:val="24"/>
        </w:rPr>
        <w:t>将“挂科 ≥2 次、无升学意愿、缺勤 ≥16 次”设为高危名单的硬性筛查条件，先行落地最确定的规则。</w:t>
      </w:r>
    </w:p>
    <w:p>
      <w:pPr>
        <w:pStyle w:val="ListParagraph"/>
        <w:spacing w:lineRule="exact" w:line="440" w:after="60"/>
        <w:ind w:left="480"/>
      </w:pPr>
      <w:r>
        <w:rPr>
          <w:rFonts w:ascii="Times New Roman" w:hAnsi="Times New Roman" w:eastAsia="宋体"/>
          <w:b w:val="0"/>
          <w:sz w:val="24"/>
        </w:rPr>
        <w:t>在学期中段（第一次阶段考试后）部署预警模型，此时 G1 已出但 G3 未定，干预窗口最佳。</w:t>
      </w:r>
    </w:p>
    <w:p>
      <w:pPr>
        <w:pStyle w:val="ListParagraph"/>
        <w:spacing w:lineRule="exact" w:line="440" w:after="60"/>
        <w:ind w:left="480"/>
      </w:pPr>
      <w:r>
        <w:rPr>
          <w:rFonts w:ascii="Times New Roman" w:hAnsi="Times New Roman" w:eastAsia="宋体"/>
          <w:b w:val="0"/>
          <w:sz w:val="24"/>
        </w:rPr>
        <w:t>对模型判为高危但因子指向“可改变因素”（学习时间、缺勤、补习）的学生，输出干预建议清单，跟踪下学期改善情况。</w:t>
      </w:r>
    </w:p>
    <w:p>
      <w:pPr>
        <w:pStyle w:val="Heading1"/>
        <w:pageBreakBefore/>
        <w:pBdr>
          <w:bottom w:val="single" w:sz="8" w:color="404040"/>
        </w:pBdr>
        <w:spacing w:before="0" w:after="240"/>
      </w:pPr>
      <w:r>
        <w:rPr>
          <w:rFonts w:ascii="Times New Roman" w:hAnsi="Times New Roman" w:eastAsia="宋体"/>
          <w:b/>
          <w:sz w:val="32"/>
        </w:rPr>
        <w:t>3　数据与探索性分析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3.1　样本与字段概况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分析数据为数学课 395 行与葡萄牙语课 649 行合并后的 1,044 条学生-课程观测，34 个字段覆盖成绩（G1/G2/G3）、学习行为（studytime、absences、failures）、家庭背景（parent_edu、Pstatus 等）、课外生活（goout、Dalc、Walc 等）三类信息。数据质量检查结论：完整性、规范性、唯一性、一致性 10 项通过，5 项警告（详见数据质量分析报告），全部样本保留使用。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3.2　成绩分布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期末成绩均值 11.3 分、中位数 11.0 分、标准差 3.9 分，最低 0 分、最高 20 分。成绩分布见图 3-1。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1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1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 w:eastAsia="宋体"/>
          <w:b/>
          <w:sz w:val="21"/>
        </w:rPr>
        <w:t>图 3-1　期末成绩 G3 分布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tcBorders>
              <w:top w:val="single" w:sz="4" w:color="EAF1F8"/>
              <w:bottom w:val="single" w:sz="4" w:color="EAF1F8"/>
              <w:right w:val="single" w:sz="4" w:color="EAF1F8"/>
              <w:left w:val="single" w:sz="24" w:color="4A6FA5"/>
            </w:tcBorders>
            <w:shd w:fill="EAF1F8" w:val="clear"/>
          </w:tcPr>
          <w:p>
            <w:r/>
            <w:r>
              <w:rPr>
                <w:rFonts w:ascii="Times New Roman" w:hAnsi="Times New Roman" w:eastAsia="宋体"/>
                <w:b/>
                <w:color w:val="4A6FA5"/>
                <w:sz w:val="21"/>
              </w:rPr>
              <w:t>图表解读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读图方式：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横轴为期末成绩 G3（0—20 分），纵轴为观测数，红色虚线为及格线 10 分。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关键发现：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均值 11.3 分、中位数 11 分；及格线以下 230 条（22%），分布略右偏。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质量判断：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分布形态正常，无双峰或截断异常。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对分析的影响：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高危群体规模可观，按 10 分线划分高危标签合理。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3.3　预警等级分布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按“高危 G3&lt;10 / 关注 10≤G3&lt;12 / 正常 G3≥12”划分三级预警，分布见图 3-2。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57422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742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 w:eastAsia="宋体"/>
          <w:b/>
          <w:sz w:val="21"/>
        </w:rPr>
        <w:t>图 3-2　三级预警等级分布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tcBorders>
              <w:top w:val="single" w:sz="4" w:color="EAF1F8"/>
              <w:bottom w:val="single" w:sz="4" w:color="EAF1F8"/>
              <w:right w:val="single" w:sz="4" w:color="EAF1F8"/>
              <w:left w:val="single" w:sz="24" w:color="4A6FA5"/>
            </w:tcBorders>
            <w:shd w:fill="EAF1F8" w:val="clear"/>
          </w:tcPr>
          <w:p>
            <w:r/>
            <w:r>
              <w:rPr>
                <w:rFonts w:ascii="Times New Roman" w:hAnsi="Times New Roman" w:eastAsia="宋体"/>
                <w:b/>
                <w:color w:val="4A6FA5"/>
                <w:sz w:val="21"/>
              </w:rPr>
              <w:t>图表解读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读图方式：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环形图按预警等级着色（绿=正常、黄=关注、红=高危），标注为取整占比。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关键发现：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正常 510 条（49%）、关注 304 条（29%）、高危 230 条（22%）。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质量判断：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等级结构合理，高危与关注合计约三成。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对分析的影响：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干预资源按 22% 高危 + 29% 关注的梯度配置。</w:t>
            </w:r>
          </w:p>
        </w:tc>
      </w:tr>
    </w:tbl>
    <w:p>
      <w:pPr>
        <w:spacing w:after="40"/>
      </w:pPr>
    </w:p>
    <w:p>
      <w:pPr>
        <w:pStyle w:val="Heading1"/>
        <w:pageBreakBefore/>
        <w:pBdr>
          <w:bottom w:val="single" w:sz="8" w:color="404040"/>
        </w:pBdr>
        <w:spacing w:before="0" w:after="240"/>
      </w:pPr>
      <w:r>
        <w:rPr>
          <w:rFonts w:ascii="Times New Roman" w:hAnsi="Times New Roman" w:eastAsia="宋体"/>
          <w:b/>
          <w:sz w:val="32"/>
        </w:rPr>
        <w:t>4　风险因子分析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本章按“学业历史 → 学习投入 → 行为习惯 → 心理动机”的顺序分析单因子与高危率/成绩的关系，找出可干预的抓手。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4.1　历史挂科次数（最强因子）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历史挂科次数与高危率呈强单调关系：零挂科群体高危率 15%（861 条），挂科 1 次升至 48%（120 条），2 次 67%（33 条），3 次 70%（30 条）；组内平均分从 12.1 分降至 6.8 分（图 4-1）。该因子与 G3 的相关系数 -0.38，在全部行为因子中绝对值最大。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174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1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 w:eastAsia="宋体"/>
          <w:b/>
          <w:sz w:val="21"/>
        </w:rPr>
        <w:t>图 4-1　历史挂科次数与高危比例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tcBorders>
              <w:top w:val="single" w:sz="4" w:color="EAF1F8"/>
              <w:bottom w:val="single" w:sz="4" w:color="EAF1F8"/>
              <w:right w:val="single" w:sz="4" w:color="EAF1F8"/>
              <w:left w:val="single" w:sz="24" w:color="4A6FA5"/>
            </w:tcBorders>
            <w:shd w:fill="EAF1F8" w:val="clear"/>
          </w:tcPr>
          <w:p>
            <w:r/>
            <w:r>
              <w:rPr>
                <w:rFonts w:ascii="Times New Roman" w:hAnsi="Times New Roman" w:eastAsia="宋体"/>
                <w:b/>
                <w:color w:val="4A6FA5"/>
                <w:sz w:val="21"/>
              </w:rPr>
              <w:t>图表解读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读图方式：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横轴为历史挂科次数，纵轴为该组高危比例，柱上标注百分比。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关键发现：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高危率 15%→48%→67%→70% 单调上升；挂科 1 次即近半数不及格。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质量判断：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分组样本量差异大（861 vs 30），但趋势一致且与相关分析、SHAP 结论三方互证，方向可信。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对分析的影响：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挂科次数进入预警规则与模型的首要特征；“挂科 ≥2 次”设为硬性筛查条件。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4.2　学习时间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每周学习时间越长，成绩中位数越高：5h 以下两组中位数 11 分，5—10h 组 13 分，10h 以上组 12 分；高危率从 27%（&lt;2h）降至 14%—15%（5h 以上两组）（图 4-2）。学习时间与 G3 相关系数 0.16，为正向因子中较明显者，且属于学生可自主改变的因素。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18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-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18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 w:eastAsia="宋体"/>
          <w:b/>
          <w:sz w:val="21"/>
        </w:rPr>
        <w:t>图 4-2　每周学习时间与期末成绩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tcBorders>
              <w:top w:val="single" w:sz="4" w:color="EAF1F8"/>
              <w:bottom w:val="single" w:sz="4" w:color="EAF1F8"/>
              <w:right w:val="single" w:sz="4" w:color="EAF1F8"/>
              <w:left w:val="single" w:sz="24" w:color="4A6FA5"/>
            </w:tcBorders>
            <w:shd w:fill="EAF1F8" w:val="clear"/>
          </w:tcPr>
          <w:p>
            <w:r/>
            <w:r>
              <w:rPr>
                <w:rFonts w:ascii="Times New Roman" w:hAnsi="Times New Roman" w:eastAsia="宋体"/>
                <w:b/>
                <w:color w:val="4A6FA5"/>
                <w:sz w:val="21"/>
              </w:rPr>
              <w:t>图表解读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读图方式：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横轴为每周学习时间分组（&lt;2h / 2—5h / 5—10h / &gt;10h），纵轴为期末成绩，箱体为四分位区间。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关键发现：</w:t>
            </w:r>
            <w:r>
              <w:rPr>
                <w:rFonts w:ascii="Times New Roman" w:hAnsi="Times New Roman" w:eastAsia="宋体"/>
                <w:b w:val="0"/>
                <w:sz w:val="21"/>
              </w:rPr>
              <w:t>5h 以上组中位数 12—13 分，5h 以下组 11 分；10h 以上组中位数略低于 5—10h 组（12 vs 13），边际收益递减。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质量判断：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组间差异稳定，但效应量中等（相关系数 0.16）。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对分析的影响：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学习时间作为干预抓手之一，但不作为单独的预警触发条件。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4.3　缺勤次数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缺勤 16 次以上群体高危率 37%（54 条），为全样本均值（22%）的 1.7 倍；但 0 次缺勤组高危率也达 23%（359 条），说明缺勤只是风险来源之一（图 4-3）。缺勤与 G3 的相关系数仅 -0.05，线性关联弱，但极端缺勤的非线性风险显著，这正是树模型优于线性模型的原因之一。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174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-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1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 w:eastAsia="宋体"/>
          <w:b/>
          <w:sz w:val="21"/>
        </w:rPr>
        <w:t>图 4-3　缺勤次数与高危比例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tcBorders>
              <w:top w:val="single" w:sz="4" w:color="EAF1F8"/>
              <w:bottom w:val="single" w:sz="4" w:color="EAF1F8"/>
              <w:right w:val="single" w:sz="4" w:color="EAF1F8"/>
              <w:left w:val="single" w:sz="24" w:color="4A6FA5"/>
            </w:tcBorders>
            <w:shd w:fill="EAF1F8" w:val="clear"/>
          </w:tcPr>
          <w:p>
            <w:r/>
            <w:r>
              <w:rPr>
                <w:rFonts w:ascii="Times New Roman" w:hAnsi="Times New Roman" w:eastAsia="宋体"/>
                <w:b/>
                <w:color w:val="4A6FA5"/>
                <w:sz w:val="21"/>
              </w:rPr>
              <w:t>图表解读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读图方式：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横轴为缺勤次数分组，纵轴为该组高危比例，柱上标注百分比。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关键发现：</w:t>
            </w:r>
            <w:r>
              <w:rPr>
                <w:rFonts w:ascii="Times New Roman" w:hAnsi="Times New Roman" w:eastAsia="宋体"/>
                <w:b w:val="0"/>
                <w:sz w:val="21"/>
              </w:rPr>
              <w:t>16 次以上组高危率 37% 显著偏高；1—5 次组反而最低（17%），呈非线性关系。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质量判断：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非单调关系说明单纯线性相关会低估缺勤的作用。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对分析的影响：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缺勤保留为模型特征（树模型可捕捉非线性）；16 次以上进入人工核查名单。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4.4　升学意愿（心理动机因子）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无升学意愿群体（89 条）高危率 52%、平均分 8.3 分，是有升学意愿群体（高危率 19%、均分 11.6 分）的 2.7 倍（图 4-4）。这是典型的“可干预心理因素”：动机缺失并非能力问题，生涯规划与目标唤醒可能带来直接改善。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174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-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1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 w:eastAsia="宋体"/>
          <w:b/>
          <w:sz w:val="21"/>
        </w:rPr>
        <w:t>图 4-4　升学意愿与高危比例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tcBorders>
              <w:top w:val="single" w:sz="4" w:color="EAF1F8"/>
              <w:bottom w:val="single" w:sz="4" w:color="EAF1F8"/>
              <w:right w:val="single" w:sz="4" w:color="EAF1F8"/>
              <w:left w:val="single" w:sz="24" w:color="4A6FA5"/>
            </w:tcBorders>
            <w:shd w:fill="EAF1F8" w:val="clear"/>
          </w:tcPr>
          <w:p>
            <w:r/>
            <w:r>
              <w:rPr>
                <w:rFonts w:ascii="Times New Roman" w:hAnsi="Times New Roman" w:eastAsia="宋体"/>
                <w:b/>
                <w:color w:val="4A6FA5"/>
                <w:sz w:val="21"/>
              </w:rPr>
              <w:t>图表解读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读图方式：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横轴为升学意愿（有/无），纵轴为该组高危比例，柱上标注百分比。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关键发现：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无意愿组高危率 52%，接近有意愿组（19%）的 2.7 倍。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质量判断：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组间差异大且方向明确；注意无意愿组样本 89 条，占比 8.5%。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对分析的影响：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将“无升学意愿”列为高危筛查条件之一，干预动作指向生涯规划。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4.5　其他因子速览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b/>
          <w:sz w:val="21"/>
        </w:rPr>
        <w:t>表 4-1　其他因子高危率对比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1361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因子</w:t>
            </w:r>
          </w:p>
        </w:tc>
        <w:tc>
          <w:tcPr>
            <w:tcW w:type="dxa" w:w="3175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分组对比（高危率）</w:t>
            </w:r>
          </w:p>
        </w:tc>
        <w:tc>
          <w:tcPr>
            <w:tcW w:type="dxa" w:w="3798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结论</w:t>
            </w:r>
          </w:p>
        </w:tc>
      </w:tr>
      <w:tr>
        <w:tc>
          <w:tcPr>
            <w:tcW w:type="dxa" w:w="1361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课程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数学 33% vs 葡萄牙语 15%</w:t>
            </w:r>
          </w:p>
        </w:tc>
        <w:tc>
          <w:tcPr>
            <w:tcW w:type="dxa" w:w="3798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数学课难度带来的差异，分校分课口径下使用</w:t>
            </w:r>
          </w:p>
        </w:tc>
      </w:tr>
      <w:tr>
        <w:tc>
          <w:tcPr>
            <w:tcW w:type="dxa" w:w="1361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学校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MS 校 31% vs GP 校 19%</w:t>
            </w:r>
          </w:p>
        </w:tc>
        <w:tc>
          <w:tcPr>
            <w:tcW w:type="dxa" w:w="3798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MS 校风险偏高，但仅 272 条观测，标注样本量使用</w:t>
            </w:r>
          </w:p>
        </w:tc>
      </w:tr>
      <w:tr>
        <w:tc>
          <w:tcPr>
            <w:tcW w:type="dxa" w:w="1361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性别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男 23% vs 女 21%</w:t>
            </w:r>
          </w:p>
        </w:tc>
        <w:tc>
          <w:tcPr>
            <w:tcW w:type="dxa" w:w="3798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男生风险略高，差异有限</w:t>
            </w:r>
          </w:p>
        </w:tc>
      </w:tr>
      <w:tr>
        <w:tc>
          <w:tcPr>
            <w:tcW w:type="dxa" w:w="1361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付费补习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有补习 27% vs 无补习 21%</w:t>
            </w:r>
          </w:p>
        </w:tc>
        <w:tc>
          <w:tcPr>
            <w:tcW w:type="dxa" w:w="3798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补习群体高危率反而更高，反映“弱生被安排补习”的反向因果，非补习有害</w:t>
            </w:r>
          </w:p>
        </w:tc>
      </w:tr>
      <w:tr>
        <w:tc>
          <w:tcPr>
            <w:tcW w:type="dxa" w:w="1361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饮酒指数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 29% vs 中 24% vs 低 19%</w:t>
            </w:r>
          </w:p>
        </w:tc>
        <w:tc>
          <w:tcPr>
            <w:tcW w:type="dxa" w:w="3798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饮酒与高危率正相关，作为模型特征而非独立筛查条件</w:t>
            </w:r>
          </w:p>
        </w:tc>
      </w:tr>
      <w:tr>
        <w:tc>
          <w:tcPr>
            <w:tcW w:type="dxa" w:w="1361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恋爱关系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有 26% vs 无 20%</w:t>
            </w:r>
          </w:p>
        </w:tc>
        <w:tc>
          <w:tcPr>
            <w:tcW w:type="dxa" w:w="3798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恋爱群体高危率略高，关联有限，不作为筛查条件</w:t>
            </w:r>
          </w:p>
        </w:tc>
      </w:tr>
    </w:tbl>
    <w:p>
      <w:pPr>
        <w:pStyle w:val="Heading1"/>
        <w:pageBreakBefore/>
        <w:pBdr>
          <w:bottom w:val="single" w:sz="8" w:color="404040"/>
        </w:pBdr>
        <w:spacing w:before="0" w:after="240"/>
      </w:pPr>
      <w:r>
        <w:rPr>
          <w:rFonts w:ascii="Times New Roman" w:hAnsi="Times New Roman" w:eastAsia="宋体"/>
          <w:b/>
          <w:sz w:val="32"/>
        </w:rPr>
        <w:t>5　多因子关系分析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5.1　相关性分析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以期末成绩 G3 为因变量计算 Pearson 相关（图 5-1）：阶段成绩 G2（0.91）、G1（0.81）最强正相关，验证成绩连续性；行为因子中挂科次数负相关最强（-0.38），父母受教育程度正相关 0.20；外出频率（-0.10）、工作日饮酒（-0.13）、周末饮酒（-0.12）弱负相关。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198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-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19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 w:eastAsia="宋体"/>
          <w:b/>
          <w:sz w:val="21"/>
        </w:rPr>
        <w:t>图 5-1　关键因子与期末成绩的相关性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tcBorders>
              <w:top w:val="single" w:sz="4" w:color="EAF1F8"/>
              <w:bottom w:val="single" w:sz="4" w:color="EAF1F8"/>
              <w:right w:val="single" w:sz="4" w:color="EAF1F8"/>
              <w:left w:val="single" w:sz="24" w:color="4A6FA5"/>
            </w:tcBorders>
            <w:shd w:fill="EAF1F8" w:val="clear"/>
          </w:tcPr>
          <w:p>
            <w:r/>
            <w:r>
              <w:rPr>
                <w:rFonts w:ascii="Times New Roman" w:hAnsi="Times New Roman" w:eastAsia="宋体"/>
                <w:b/>
                <w:color w:val="4A6FA5"/>
                <w:sz w:val="21"/>
              </w:rPr>
              <w:t>图表解读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读图方式：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横轴为与 G3 的 Pearson 相关系数（红=负相关、绿=正相关），纵轴为因子。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关键发现：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挂科 -0.38 最强负相关，parent_edu +0.20；饮酒与外出弱负相关（-0.10~-0.13）。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质量判断：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因子间无严重多重共线性（行为因子两两相关低于 0.5）。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对分析的影响：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相关性仅作筛查参考，因果与非线性效应由树模型 + SHAP 捕捉。</w:t>
            </w:r>
          </w:p>
        </w:tc>
      </w:tr>
    </w:tbl>
    <w:p>
      <w:pPr>
        <w:spacing w:after="40"/>
      </w:pP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需要强调口径：相关不等于因果。例如“付费补习与低高危率相关”不能解释为“补习降低挂科风险”——成绩弱的学生更可能被安排补习，存在反向因果与选择偏差。本报告所有因子结论均按“关联”口径表述，干预建议基于业务合理性而非因果推断。</w:t>
      </w:r>
    </w:p>
    <w:p>
      <w:pPr>
        <w:pStyle w:val="Heading1"/>
        <w:pageBreakBefore/>
        <w:pBdr>
          <w:bottom w:val="single" w:sz="8" w:color="404040"/>
        </w:pBdr>
        <w:spacing w:before="0" w:after="240"/>
      </w:pPr>
      <w:r>
        <w:rPr>
          <w:rFonts w:ascii="Times New Roman" w:hAnsi="Times New Roman" w:eastAsia="宋体"/>
          <w:b/>
          <w:sz w:val="32"/>
        </w:rPr>
        <w:t>6　预警建模与调参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6.1　建模目标与方案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建模目标为二分类：预测学生-课程观测是否属于高危（G3&lt;10）。特征为成绩以外的 46 个数值/独热编码字段（不含 G1/G2/G3，避免标签泄漏），按 80/20 分层划分训练/测试集（随机种子 42）。对比逻辑回归、随机森林、XGBoost、LightGBM 四类模型，全部实验记录 MLflow 可复现。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6.2　模型对比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b/>
          <w:sz w:val="21"/>
        </w:rPr>
        <w:t>表 6-1　四模型测试集指标对比（阈值 0.5）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2041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</w:t>
            </w:r>
          </w:p>
        </w:tc>
        <w:tc>
          <w:tcPr>
            <w:tcW w:type="dxa" w:w="1361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AUC</w:t>
            </w:r>
          </w:p>
        </w:tc>
        <w:tc>
          <w:tcPr>
            <w:tcW w:type="dxa" w:w="1361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F1</w:t>
            </w:r>
          </w:p>
        </w:tc>
        <w:tc>
          <w:tcPr>
            <w:tcW w:type="dxa" w:w="1587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Precision</w:t>
            </w:r>
          </w:p>
        </w:tc>
        <w:tc>
          <w:tcPr>
            <w:tcW w:type="dxa" w:w="1417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Recall</w:t>
            </w:r>
          </w:p>
        </w:tc>
      </w:tr>
      <w:tr>
        <w:tc>
          <w:tcPr>
            <w:tcW w:type="dxa" w:w="2041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LightGBM</w:t>
            </w:r>
          </w:p>
        </w:tc>
        <w:tc>
          <w:tcPr>
            <w:tcW w:type="dxa" w:w="136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0.808</w:t>
            </w:r>
          </w:p>
        </w:tc>
        <w:tc>
          <w:tcPr>
            <w:tcW w:type="dxa" w:w="136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0.468</w:t>
            </w:r>
          </w:p>
        </w:tc>
        <w:tc>
          <w:tcPr>
            <w:tcW w:type="dxa" w:w="158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0.581</w:t>
            </w:r>
          </w:p>
        </w:tc>
        <w:tc>
          <w:tcPr>
            <w:tcW w:type="dxa" w:w="141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0.391</w:t>
            </w:r>
          </w:p>
        </w:tc>
      </w:tr>
      <w:tr>
        <w:tc>
          <w:tcPr>
            <w:tcW w:type="dxa" w:w="2041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XGBoost</w:t>
            </w:r>
          </w:p>
        </w:tc>
        <w:tc>
          <w:tcPr>
            <w:tcW w:type="dxa" w:w="136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0.784</w:t>
            </w:r>
          </w:p>
        </w:tc>
        <w:tc>
          <w:tcPr>
            <w:tcW w:type="dxa" w:w="136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0.500</w:t>
            </w:r>
          </w:p>
        </w:tc>
        <w:tc>
          <w:tcPr>
            <w:tcW w:type="dxa" w:w="158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0.553</w:t>
            </w:r>
          </w:p>
        </w:tc>
        <w:tc>
          <w:tcPr>
            <w:tcW w:type="dxa" w:w="141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0.457</w:t>
            </w:r>
          </w:p>
        </w:tc>
      </w:tr>
      <w:tr>
        <w:tc>
          <w:tcPr>
            <w:tcW w:type="dxa" w:w="2041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随机森林</w:t>
            </w:r>
          </w:p>
        </w:tc>
        <w:tc>
          <w:tcPr>
            <w:tcW w:type="dxa" w:w="136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0.780</w:t>
            </w:r>
          </w:p>
        </w:tc>
        <w:tc>
          <w:tcPr>
            <w:tcW w:type="dxa" w:w="136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0.429</w:t>
            </w:r>
          </w:p>
        </w:tc>
        <w:tc>
          <w:tcPr>
            <w:tcW w:type="dxa" w:w="158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0.625</w:t>
            </w:r>
          </w:p>
        </w:tc>
        <w:tc>
          <w:tcPr>
            <w:tcW w:type="dxa" w:w="141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0.326</w:t>
            </w:r>
          </w:p>
        </w:tc>
      </w:tr>
      <w:tr>
        <w:tc>
          <w:tcPr>
            <w:tcW w:type="dxa" w:w="2041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逻辑回归（基线）</w:t>
            </w:r>
          </w:p>
        </w:tc>
        <w:tc>
          <w:tcPr>
            <w:tcW w:type="dxa" w:w="136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0.770</w:t>
            </w:r>
          </w:p>
        </w:tc>
        <w:tc>
          <w:tcPr>
            <w:tcW w:type="dxa" w:w="136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0.457</w:t>
            </w:r>
          </w:p>
        </w:tc>
        <w:tc>
          <w:tcPr>
            <w:tcW w:type="dxa" w:w="158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0.667</w:t>
            </w:r>
          </w:p>
        </w:tc>
        <w:tc>
          <w:tcPr>
            <w:tcW w:type="dxa" w:w="141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0.348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186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-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18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 w:eastAsia="宋体"/>
          <w:b/>
          <w:sz w:val="21"/>
        </w:rPr>
        <w:t>图 6-1　四模型测试集 AUC 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tcBorders>
              <w:top w:val="single" w:sz="4" w:color="EAF1F8"/>
              <w:bottom w:val="single" w:sz="4" w:color="EAF1F8"/>
              <w:right w:val="single" w:sz="4" w:color="EAF1F8"/>
              <w:left w:val="single" w:sz="24" w:color="4A6FA5"/>
            </w:tcBorders>
            <w:shd w:fill="EAF1F8" w:val="clear"/>
          </w:tcPr>
          <w:p>
            <w:r/>
            <w:r>
              <w:rPr>
                <w:rFonts w:ascii="Times New Roman" w:hAnsi="Times New Roman" w:eastAsia="宋体"/>
                <w:b/>
                <w:color w:val="4A6FA5"/>
                <w:sz w:val="21"/>
              </w:rPr>
              <w:t>图表解读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读图方式：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横轴为模型，纵轴为测试集 AUC（截取 0.70—0.85 区间放大差异），柱上标注数值。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关键发现：</w:t>
            </w:r>
            <w:r>
              <w:rPr>
                <w:rFonts w:ascii="Times New Roman" w:hAnsi="Times New Roman" w:eastAsia="宋体"/>
                <w:b w:val="0"/>
                <w:sz w:val="21"/>
              </w:rPr>
              <w:t>LightGBM AUC 0.808 最优，四个模型均超过 0.77，树模型整体优于线性基线。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质量判断：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模型间差距 0.02—0.04，方向一致，说明信号稳定而非模型过拟合。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对分析的影响：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选定 LightGBM 为最终模型，进入调参与阈值优化。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6.3　Optuna 调参与实验追踪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LightGBM 执行 Optuna 超参搜索（40 次试验，验证集 AUC 最优 0.869），最优参数（n_estimators=209、learning_rate≈0.011、num_leaves=16、max_depth=10 等）固化至 configs/best.yaml，MLflow 记录全部参数、指标与模型文件。测试集 AUC 0.783 与基线 0.808 处于同一波动区间——如实说明：小样本下验证集与测试集存在随机差异，调参的主要价值在于模型稳定化与结构精简，而非测试指标的大幅提升。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6.4　代价敏感阈值优化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预警业务中“漏报一个高危学生”的代价远高于“误报一个正常学生”，因此不使用默认阈值 0.5，而是按漏报代价 5 倍于误报的设定网格搜索最优阈值，得到 0.21。效果见图 6-2 与表 6-2。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174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-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1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 w:eastAsia="宋体"/>
          <w:b/>
          <w:sz w:val="21"/>
        </w:rPr>
        <w:t>图 6-2　代价敏感阈值优化前后对比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tcBorders>
              <w:top w:val="single" w:sz="4" w:color="EAF1F8"/>
              <w:bottom w:val="single" w:sz="4" w:color="EAF1F8"/>
              <w:right w:val="single" w:sz="4" w:color="EAF1F8"/>
              <w:left w:val="single" w:sz="24" w:color="4A6FA5"/>
            </w:tcBorders>
            <w:shd w:fill="EAF1F8" w:val="clear"/>
          </w:tcPr>
          <w:p>
            <w:r/>
            <w:r>
              <w:rPr>
                <w:rFonts w:ascii="Times New Roman" w:hAnsi="Times New Roman" w:eastAsia="宋体"/>
                <w:b/>
                <w:color w:val="4A6FA5"/>
                <w:sz w:val="21"/>
              </w:rPr>
              <w:t>图表解读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读图方式：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横轴为阈值方案，纵轴为比例（%），红色为召回率、蓝色为精确率。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关键发现：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阈值 0.5→0.21 后召回率 28.3%→69.6%，精确率 52.0%→39.0%，F1 从 0.37 升至 0.50。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质量判断：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以约 13 个百分点精确率换取 41 个百分点召回率，符合预警取向。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对分析的影响：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部署时采用阈值 0.21，约六成报警为真、覆盖约七成高危学生。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rPr>
          <w:rFonts w:ascii="Times New Roman" w:hAnsi="Times New Roman" w:eastAsia="宋体"/>
          <w:b/>
          <w:sz w:val="21"/>
        </w:rPr>
        <w:t>表 6-2　阈值优化前后测试集指标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3061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方案</w:t>
            </w:r>
          </w:p>
        </w:tc>
        <w:tc>
          <w:tcPr>
            <w:tcW w:type="dxa" w:w="1247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阈值</w:t>
            </w:r>
          </w:p>
        </w:tc>
        <w:tc>
          <w:tcPr>
            <w:tcW w:type="dxa" w:w="1247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F1</w:t>
            </w:r>
          </w:p>
        </w:tc>
        <w:tc>
          <w:tcPr>
            <w:tcW w:type="dxa" w:w="1474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Precision</w:t>
            </w:r>
          </w:p>
        </w:tc>
        <w:tc>
          <w:tcPr>
            <w:tcW w:type="dxa" w:w="1304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Recall</w:t>
            </w:r>
          </w:p>
        </w:tc>
      </w:tr>
      <w:tr>
        <w:tc>
          <w:tcPr>
            <w:tcW w:type="dxa" w:w="3061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默认阈值</w:t>
            </w:r>
          </w:p>
        </w:tc>
        <w:tc>
          <w:tcPr>
            <w:tcW w:type="dxa" w:w="124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0.50</w:t>
            </w:r>
          </w:p>
        </w:tc>
        <w:tc>
          <w:tcPr>
            <w:tcW w:type="dxa" w:w="124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0.366</w:t>
            </w:r>
          </w:p>
        </w:tc>
        <w:tc>
          <w:tcPr>
            <w:tcW w:type="dxa" w:w="147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0.520</w:t>
            </w:r>
          </w:p>
        </w:tc>
        <w:tc>
          <w:tcPr>
            <w:tcW w:type="dxa" w:w="130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0.283</w:t>
            </w:r>
          </w:p>
        </w:tc>
      </w:tr>
      <w:tr>
        <w:tc>
          <w:tcPr>
            <w:tcW w:type="dxa" w:w="3061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代价敏感阈值（漏报代价 5 倍）</w:t>
            </w:r>
          </w:p>
        </w:tc>
        <w:tc>
          <w:tcPr>
            <w:tcW w:type="dxa" w:w="124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24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0.500</w:t>
            </w:r>
          </w:p>
        </w:tc>
        <w:tc>
          <w:tcPr>
            <w:tcW w:type="dxa" w:w="147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0.390</w:t>
            </w:r>
          </w:p>
        </w:tc>
        <w:tc>
          <w:tcPr>
            <w:tcW w:type="dxa" w:w="130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0.696</w:t>
            </w:r>
          </w:p>
        </w:tc>
      </w:tr>
    </w:tbl>
    <w:p>
      <w:pPr>
        <w:pStyle w:val="Heading1"/>
        <w:pageBreakBefore/>
        <w:pBdr>
          <w:bottom w:val="single" w:sz="8" w:color="404040"/>
        </w:pBdr>
        <w:spacing w:before="0" w:after="240"/>
      </w:pPr>
      <w:r>
        <w:rPr>
          <w:rFonts w:ascii="Times New Roman" w:hAnsi="Times New Roman" w:eastAsia="宋体"/>
          <w:b/>
          <w:sz w:val="32"/>
        </w:rPr>
        <w:t>7　模型解释与风险画像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7.1　全局特征重要性（SHAP）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用 SHAP TreeExplainer 对最终模型做全局解释（图 7-1）：历史挂科次数平均 |SHAP| 贡献 0.561 居首，其后为课程类型（0.431）、学校（0.262）、缺勤（0.200）、外出频率（0.086）、父亲学历与升学意愿（均 0.068）。单因子分析（第 4 章）与模型解释相互印证，结论稳健。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2596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7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2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 w:eastAsia="宋体"/>
          <w:b/>
          <w:sz w:val="21"/>
        </w:rPr>
        <w:t>图 7-1　SHAP 全局特征重要性 Top8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tcBorders>
              <w:top w:val="single" w:sz="4" w:color="EAF1F8"/>
              <w:bottom w:val="single" w:sz="4" w:color="EAF1F8"/>
              <w:right w:val="single" w:sz="4" w:color="EAF1F8"/>
              <w:left w:val="single" w:sz="24" w:color="4A6FA5"/>
            </w:tcBorders>
            <w:shd w:fill="EAF1F8" w:val="clear"/>
          </w:tcPr>
          <w:p>
            <w:r/>
            <w:r>
              <w:rPr>
                <w:rFonts w:ascii="Times New Roman" w:hAnsi="Times New Roman" w:eastAsia="宋体"/>
                <w:b/>
                <w:color w:val="4A6FA5"/>
                <w:sz w:val="21"/>
              </w:rPr>
              <w:t>图表解读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读图方式：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横轴为平均 |SHAP| 值（对模型输出的平均贡献强度），纵轴为特征。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关键发现：</w:t>
            </w:r>
            <w:r>
              <w:rPr>
                <w:rFonts w:ascii="Times New Roman" w:hAnsi="Times New Roman" w:eastAsia="宋体"/>
                <w:b w:val="0"/>
                <w:sz w:val="21"/>
              </w:rPr>
              <w:t>failures 0.561 居首，course_por 0.431 次之；前 4 个特征贡献合计超八成。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质量判断：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与第 4 章单因子分析、相关性分析三方结论一致，无矛盾因子。</w:t>
            </w:r>
          </w:p>
          <w:p>
            <w:pPr>
              <w:spacing w:lineRule="exact" w:line="360" w:after="40"/>
            </w:pPr>
            <w:r>
              <w:rPr>
                <w:rFonts w:ascii="Times New Roman" w:hAnsi="Times New Roman" w:eastAsia="宋体"/>
                <w:b/>
                <w:sz w:val="21"/>
              </w:rPr>
              <w:t>对分析的影响：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预警报告的“Top3 影响因素”按 SHAP 贡献排序输出。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7.2　个体风险画像（个案）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对模型预测风险最高的测试样本（高危概率 74.7%）做个体解释：推高风险的因素为历史挂科 3 次（SHAP +1.702）、数学课程（+0.305）、无升学意愿（+0.288）；家庭规模小（LE3）等为保护因素。输出的干预建议：优先安排一对一辅导（针对挂科）、生涯动机访谈（针对升学意愿）——这正是展示系统中“预警卡片”的原型。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7.3　预警名单分层建议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b/>
          <w:sz w:val="21"/>
        </w:rPr>
        <w:t>表 7-1　三级预警与干预动作建议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1020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等级</w:t>
            </w:r>
          </w:p>
        </w:tc>
        <w:tc>
          <w:tcPr>
            <w:tcW w:type="dxa" w:w="2608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判定</w:t>
            </w:r>
          </w:p>
        </w:tc>
        <w:tc>
          <w:tcPr>
            <w:tcW w:type="dxa" w:w="1701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规模</w:t>
            </w:r>
          </w:p>
        </w:tc>
        <w:tc>
          <w:tcPr>
            <w:tcW w:type="dxa" w:w="3005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干预动作</w:t>
            </w:r>
          </w:p>
        </w:tc>
      </w:tr>
      <w:tr>
        <w:tc>
          <w:tcPr>
            <w:tcW w:type="dxa" w:w="1020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高危</w:t>
            </w:r>
          </w:p>
        </w:tc>
        <w:tc>
          <w:tcPr>
            <w:tcW w:type="dxa" w:w="2608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模型概率 ≥0.21 或挂科 ≥2 次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约 22%（230 条）</w:t>
            </w:r>
          </w:p>
        </w:tc>
        <w:tc>
          <w:tcPr>
            <w:tcW w:type="dxa" w:w="300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一对一辅导 + 家校沟通 + 生涯访谈</w:t>
            </w:r>
          </w:p>
        </w:tc>
      </w:tr>
      <w:tr>
        <w:tc>
          <w:tcPr>
            <w:tcW w:type="dxa" w:w="1020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关注</w:t>
            </w:r>
          </w:p>
        </w:tc>
        <w:tc>
          <w:tcPr>
            <w:tcW w:type="dxa" w:w="2608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模型概率 0.15—0.21 或无升学意愿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约 29%（304 条）</w:t>
            </w:r>
          </w:p>
        </w:tc>
        <w:tc>
          <w:tcPr>
            <w:tcW w:type="dxa" w:w="300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学习计划制定 + 月度复盘</w:t>
            </w:r>
          </w:p>
        </w:tc>
      </w:tr>
      <w:tr>
        <w:tc>
          <w:tcPr>
            <w:tcW w:type="dxa" w:w="1020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正常</w:t>
            </w:r>
          </w:p>
        </w:tc>
        <w:tc>
          <w:tcPr>
            <w:tcW w:type="dxa" w:w="2608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其余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约 49%（510 条）</w:t>
            </w:r>
          </w:p>
        </w:tc>
        <w:tc>
          <w:tcPr>
            <w:tcW w:type="dxa" w:w="300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常规教学，抽样回访</w:t>
            </w:r>
          </w:p>
        </w:tc>
      </w:tr>
    </w:tbl>
    <w:p>
      <w:pPr>
        <w:pStyle w:val="Heading1"/>
        <w:pageBreakBefore/>
        <w:pBdr>
          <w:bottom w:val="single" w:sz="8" w:color="404040"/>
        </w:pBdr>
        <w:spacing w:before="0" w:after="240"/>
      </w:pPr>
      <w:r>
        <w:rPr>
          <w:rFonts w:ascii="Times New Roman" w:hAnsi="Times New Roman" w:eastAsia="宋体"/>
          <w:b/>
          <w:sz w:val="32"/>
        </w:rPr>
        <w:t>8　业务结论与实施建议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8.1　业务结论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（1）规模：样本内高危学生占 22%、关注占 29%，约三成学生需要干预，预警业务价值明确。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（2）归因：历史挂科是最强风险信号（3 次挂科高危率 70%），升学意愿缺失（52%）与高频缺勤（37%）是两个可干预的高风险抓手，学习时间不足（27%）次之。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（3）预测：LightGBM 预警模型测试集 AUC 0.808；代价敏感阈值（0.21）下召回率 69.6%，即覆盖约七成高危学生，代价是约六成报警为真——预警场景下该取舍合理。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（4）解释：模型给出的 Top3 风险因子与单因子分析结论一致，每个预警都能给出“为什么 + 怎么干预”的解释，可直接生成预警卡片。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8.2　实施建议</w:t>
      </w:r>
    </w:p>
    <w:p>
      <w:pPr>
        <w:pStyle w:val="ListParagraph"/>
        <w:spacing w:lineRule="exact" w:line="440" w:after="60"/>
        <w:ind w:left="480"/>
      </w:pPr>
      <w:r>
        <w:rPr>
          <w:rFonts w:ascii="Times New Roman" w:hAnsi="Times New Roman" w:eastAsia="宋体"/>
          <w:b w:val="0"/>
          <w:sz w:val="24"/>
        </w:rPr>
        <w:t>时间节点：第一次阶段考试（G1）出分后立即运行预警，此时干预窗口最长。</w:t>
      </w:r>
    </w:p>
    <w:p>
      <w:pPr>
        <w:pStyle w:val="ListParagraph"/>
        <w:spacing w:lineRule="exact" w:line="440" w:after="60"/>
        <w:ind w:left="480"/>
      </w:pPr>
      <w:r>
        <w:rPr>
          <w:rFonts w:ascii="Times New Roman" w:hAnsi="Times New Roman" w:eastAsia="宋体"/>
          <w:b w:val="0"/>
          <w:sz w:val="24"/>
        </w:rPr>
        <w:t>筛查优先级：先用硬规则（挂科 ≥2 次、无升学意愿、缺勤 ≥16 次）快速圈定高危名单，再用模型补漏，兼顾可解释性与覆盖率。</w:t>
      </w:r>
    </w:p>
    <w:p>
      <w:pPr>
        <w:pStyle w:val="ListParagraph"/>
        <w:spacing w:lineRule="exact" w:line="440" w:after="60"/>
        <w:ind w:left="480"/>
      </w:pPr>
      <w:r>
        <w:rPr>
          <w:rFonts w:ascii="Times New Roman" w:hAnsi="Times New Roman" w:eastAsia="宋体"/>
          <w:b w:val="0"/>
          <w:sz w:val="24"/>
        </w:rPr>
        <w:t>干预闭环：记录每次干预动作，跟踪下学期成绩变化，形成“预警-干预-反馈”数据闭环，持续校准模型。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8.3　局限与口径声明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（1）样本为葡萄牙 2 所公立中学 2005—2006 学年数据（非概率抽样），结论仅适用于该样本口径，不得外推为总体比例；（2）分析单元为“学生-课程”观测，366 名学生跨两门课程重复出现，行数不等于人数；（3）因子结论为关联口径而非因果结论，干预效果需实践验证；（4）数据无过程性记录（作业、课堂表现），模型解释以问卷与累计指标为基础。</w:t>
      </w:r>
    </w:p>
    <w:p>
      <w:pPr>
        <w:pStyle w:val="Heading1"/>
        <w:pageBreakBefore/>
        <w:pBdr>
          <w:bottom w:val="single" w:sz="8" w:color="404040"/>
        </w:pBdr>
        <w:spacing w:before="0" w:after="240"/>
      </w:pPr>
      <w:r>
        <w:rPr>
          <w:rFonts w:ascii="Times New Roman" w:hAnsi="Times New Roman" w:eastAsia="宋体"/>
          <w:b/>
          <w:sz w:val="32"/>
        </w:rPr>
        <w:t>附录 A　分组指标明细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b/>
          <w:sz w:val="21"/>
        </w:rPr>
        <w:t>表 A-1　主要分组的高危率与平均分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608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分组</w:t>
            </w:r>
          </w:p>
        </w:tc>
        <w:tc>
          <w:tcPr>
            <w:tcW w:type="dxa" w:w="1701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观测数</w:t>
            </w:r>
          </w:p>
        </w:tc>
        <w:tc>
          <w:tcPr>
            <w:tcW w:type="dxa" w:w="1814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高危率</w:t>
            </w:r>
          </w:p>
        </w:tc>
        <w:tc>
          <w:tcPr>
            <w:tcW w:type="dxa" w:w="2211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G3 平均分</w:t>
            </w:r>
          </w:p>
        </w:tc>
      </w:tr>
      <w:tr>
        <w:tc>
          <w:tcPr>
            <w:tcW w:type="dxa" w:w="260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挂科 0 次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861</w:t>
            </w:r>
          </w:p>
        </w:tc>
        <w:tc>
          <w:tcPr>
            <w:tcW w:type="dxa" w:w="181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15%</w:t>
            </w:r>
          </w:p>
        </w:tc>
        <w:tc>
          <w:tcPr>
            <w:tcW w:type="dxa" w:w="221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12.1</w:t>
            </w:r>
          </w:p>
        </w:tc>
      </w:tr>
      <w:tr>
        <w:tc>
          <w:tcPr>
            <w:tcW w:type="dxa" w:w="260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挂科 1 次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</w:t>
            </w:r>
          </w:p>
        </w:tc>
        <w:tc>
          <w:tcPr>
            <w:tcW w:type="dxa" w:w="181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48%</w:t>
            </w:r>
          </w:p>
        </w:tc>
        <w:tc>
          <w:tcPr>
            <w:tcW w:type="dxa" w:w="221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8.4</w:t>
            </w:r>
          </w:p>
        </w:tc>
      </w:tr>
      <w:tr>
        <w:tc>
          <w:tcPr>
            <w:tcW w:type="dxa" w:w="260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挂科 2 次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</w:t>
            </w:r>
          </w:p>
        </w:tc>
        <w:tc>
          <w:tcPr>
            <w:tcW w:type="dxa" w:w="181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67%</w:t>
            </w:r>
          </w:p>
        </w:tc>
        <w:tc>
          <w:tcPr>
            <w:tcW w:type="dxa" w:w="221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7.5</w:t>
            </w:r>
          </w:p>
        </w:tc>
      </w:tr>
      <w:tr>
        <w:tc>
          <w:tcPr>
            <w:tcW w:type="dxa" w:w="260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挂科 3 次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81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70%</w:t>
            </w:r>
          </w:p>
        </w:tc>
        <w:tc>
          <w:tcPr>
            <w:tcW w:type="dxa" w:w="221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6.8</w:t>
            </w:r>
          </w:p>
        </w:tc>
      </w:tr>
      <w:tr>
        <w:tc>
          <w:tcPr>
            <w:tcW w:type="dxa" w:w="260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学习 &lt;2h/周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317</w:t>
            </w:r>
          </w:p>
        </w:tc>
        <w:tc>
          <w:tcPr>
            <w:tcW w:type="dxa" w:w="181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27%</w:t>
            </w:r>
          </w:p>
        </w:tc>
        <w:tc>
          <w:tcPr>
            <w:tcW w:type="dxa" w:w="221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10.6</w:t>
            </w:r>
          </w:p>
        </w:tc>
      </w:tr>
      <w:tr>
        <w:tc>
          <w:tcPr>
            <w:tcW w:type="dxa" w:w="260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学习 2—5h/周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503</w:t>
            </w:r>
          </w:p>
        </w:tc>
        <w:tc>
          <w:tcPr>
            <w:tcW w:type="dxa" w:w="181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22%</w:t>
            </w:r>
          </w:p>
        </w:tc>
        <w:tc>
          <w:tcPr>
            <w:tcW w:type="dxa" w:w="221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11.3</w:t>
            </w:r>
          </w:p>
        </w:tc>
      </w:tr>
      <w:tr>
        <w:tc>
          <w:tcPr>
            <w:tcW w:type="dxa" w:w="260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学习 5—10h/周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162</w:t>
            </w:r>
          </w:p>
        </w:tc>
        <w:tc>
          <w:tcPr>
            <w:tcW w:type="dxa" w:w="181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14%</w:t>
            </w:r>
          </w:p>
        </w:tc>
        <w:tc>
          <w:tcPr>
            <w:tcW w:type="dxa" w:w="221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12.5</w:t>
            </w:r>
          </w:p>
        </w:tc>
      </w:tr>
      <w:tr>
        <w:tc>
          <w:tcPr>
            <w:tcW w:type="dxa" w:w="260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学习 &gt;10h/周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62</w:t>
            </w:r>
          </w:p>
        </w:tc>
        <w:tc>
          <w:tcPr>
            <w:tcW w:type="dxa" w:w="181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15%</w:t>
            </w:r>
          </w:p>
        </w:tc>
        <w:tc>
          <w:tcPr>
            <w:tcW w:type="dxa" w:w="221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12.3</w:t>
            </w:r>
          </w:p>
        </w:tc>
      </w:tr>
      <w:tr>
        <w:tc>
          <w:tcPr>
            <w:tcW w:type="dxa" w:w="260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缺勤 0 次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359</w:t>
            </w:r>
          </w:p>
        </w:tc>
        <w:tc>
          <w:tcPr>
            <w:tcW w:type="dxa" w:w="181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23%</w:t>
            </w:r>
          </w:p>
        </w:tc>
        <w:tc>
          <w:tcPr>
            <w:tcW w:type="dxa" w:w="221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10.9</w:t>
            </w:r>
          </w:p>
        </w:tc>
      </w:tr>
      <w:tr>
        <w:tc>
          <w:tcPr>
            <w:tcW w:type="dxa" w:w="260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缺勤 1—5 次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368</w:t>
            </w:r>
          </w:p>
        </w:tc>
        <w:tc>
          <w:tcPr>
            <w:tcW w:type="dxa" w:w="181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17%</w:t>
            </w:r>
          </w:p>
        </w:tc>
        <w:tc>
          <w:tcPr>
            <w:tcW w:type="dxa" w:w="221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11.9</w:t>
            </w:r>
          </w:p>
        </w:tc>
      </w:tr>
      <w:tr>
        <w:tc>
          <w:tcPr>
            <w:tcW w:type="dxa" w:w="260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缺勤 6—15 次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263</w:t>
            </w:r>
          </w:p>
        </w:tc>
        <w:tc>
          <w:tcPr>
            <w:tcW w:type="dxa" w:w="181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25%</w:t>
            </w:r>
          </w:p>
        </w:tc>
        <w:tc>
          <w:tcPr>
            <w:tcW w:type="dxa" w:w="221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11.4</w:t>
            </w:r>
          </w:p>
        </w:tc>
      </w:tr>
      <w:tr>
        <w:tc>
          <w:tcPr>
            <w:tcW w:type="dxa" w:w="260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缺勤 16 次以上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81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37%</w:t>
            </w:r>
          </w:p>
        </w:tc>
        <w:tc>
          <w:tcPr>
            <w:tcW w:type="dxa" w:w="221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10.3</w:t>
            </w:r>
          </w:p>
        </w:tc>
      </w:tr>
      <w:tr>
        <w:tc>
          <w:tcPr>
            <w:tcW w:type="dxa" w:w="260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有升学意愿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955</w:t>
            </w:r>
          </w:p>
        </w:tc>
        <w:tc>
          <w:tcPr>
            <w:tcW w:type="dxa" w:w="181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19%</w:t>
            </w:r>
          </w:p>
        </w:tc>
        <w:tc>
          <w:tcPr>
            <w:tcW w:type="dxa" w:w="221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11.6</w:t>
            </w:r>
          </w:p>
        </w:tc>
      </w:tr>
      <w:tr>
        <w:tc>
          <w:tcPr>
            <w:tcW w:type="dxa" w:w="260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无升学意愿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89</w:t>
            </w:r>
          </w:p>
        </w:tc>
        <w:tc>
          <w:tcPr>
            <w:tcW w:type="dxa" w:w="1814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52%</w:t>
            </w:r>
          </w:p>
        </w:tc>
        <w:tc>
          <w:tcPr>
            <w:tcW w:type="dxa" w:w="221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8.3</w:t>
            </w:r>
          </w:p>
        </w:tc>
      </w:tr>
    </w:tbl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注：分母为该组观测数（学生-课程行）；百分比按模板规则书写；数据由 src/analysis.py 直接计算。</w:t>
      </w:r>
    </w:p>
    <w:p>
      <w:pPr>
        <w:pStyle w:val="Heading1"/>
        <w:pageBreakBefore/>
        <w:pBdr>
          <w:bottom w:val="single" w:sz="8" w:color="404040"/>
        </w:pBdr>
        <w:spacing w:before="0" w:after="240"/>
      </w:pPr>
      <w:r>
        <w:rPr>
          <w:rFonts w:ascii="Times New Roman" w:hAnsi="Times New Roman" w:eastAsia="宋体"/>
          <w:b/>
          <w:sz w:val="32"/>
        </w:rPr>
        <w:t>附录 B　图表索引与复核说明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B.1　图表索引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b/>
          <w:sz w:val="21"/>
        </w:rPr>
        <w:t>表 B-1　图表索引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1020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图号</w:t>
            </w:r>
          </w:p>
        </w:tc>
        <w:tc>
          <w:tcPr>
            <w:tcW w:type="dxa" w:w="3175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图名</w:t>
            </w:r>
          </w:p>
        </w:tc>
        <w:tc>
          <w:tcPr>
            <w:tcW w:type="dxa" w:w="1701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源文件</w:t>
            </w:r>
          </w:p>
        </w:tc>
        <w:tc>
          <w:tcPr>
            <w:tcW w:type="dxa" w:w="1587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关联章节</w:t>
            </w:r>
          </w:p>
        </w:tc>
      </w:tr>
      <w:tr>
        <w:tc>
          <w:tcPr>
            <w:tcW w:type="dxa" w:w="1020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 3-1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期末成绩 G3 分布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fig_3-1.png</w:t>
            </w:r>
          </w:p>
        </w:tc>
        <w:tc>
          <w:tcPr>
            <w:tcW w:type="dxa" w:w="158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3.2</w:t>
            </w:r>
          </w:p>
        </w:tc>
      </w:tr>
      <w:tr>
        <w:tc>
          <w:tcPr>
            <w:tcW w:type="dxa" w:w="1020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 3-2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三级预警等级分布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fig_3-2.png</w:t>
            </w:r>
          </w:p>
        </w:tc>
        <w:tc>
          <w:tcPr>
            <w:tcW w:type="dxa" w:w="158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3.3</w:t>
            </w:r>
          </w:p>
        </w:tc>
      </w:tr>
      <w:tr>
        <w:tc>
          <w:tcPr>
            <w:tcW w:type="dxa" w:w="1020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 4-1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历史挂科次数与高危比例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fig_4-1.png</w:t>
            </w:r>
          </w:p>
        </w:tc>
        <w:tc>
          <w:tcPr>
            <w:tcW w:type="dxa" w:w="158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4.1</w:t>
            </w:r>
          </w:p>
        </w:tc>
      </w:tr>
      <w:tr>
        <w:tc>
          <w:tcPr>
            <w:tcW w:type="dxa" w:w="1020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 4-2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每周学习时间与期末成绩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fig_4-2.png</w:t>
            </w:r>
          </w:p>
        </w:tc>
        <w:tc>
          <w:tcPr>
            <w:tcW w:type="dxa" w:w="158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4.2</w:t>
            </w:r>
          </w:p>
        </w:tc>
      </w:tr>
      <w:tr>
        <w:tc>
          <w:tcPr>
            <w:tcW w:type="dxa" w:w="1020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 4-3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缺勤次数与高危比例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fig_4-3.png</w:t>
            </w:r>
          </w:p>
        </w:tc>
        <w:tc>
          <w:tcPr>
            <w:tcW w:type="dxa" w:w="158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4.3</w:t>
            </w:r>
          </w:p>
        </w:tc>
      </w:tr>
      <w:tr>
        <w:tc>
          <w:tcPr>
            <w:tcW w:type="dxa" w:w="1020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 4-4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升学意愿与高危比例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fig_4-4.png</w:t>
            </w:r>
          </w:p>
        </w:tc>
        <w:tc>
          <w:tcPr>
            <w:tcW w:type="dxa" w:w="158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4.4</w:t>
            </w:r>
          </w:p>
        </w:tc>
      </w:tr>
      <w:tr>
        <w:tc>
          <w:tcPr>
            <w:tcW w:type="dxa" w:w="1020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 5-1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关键因子与期末成绩的相关性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fig_5-1.png</w:t>
            </w:r>
          </w:p>
        </w:tc>
        <w:tc>
          <w:tcPr>
            <w:tcW w:type="dxa" w:w="158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5.1</w:t>
            </w:r>
          </w:p>
        </w:tc>
      </w:tr>
      <w:tr>
        <w:tc>
          <w:tcPr>
            <w:tcW w:type="dxa" w:w="1020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 6-1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四模型测试集 AUC 对比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fig_6-1.png</w:t>
            </w:r>
          </w:p>
        </w:tc>
        <w:tc>
          <w:tcPr>
            <w:tcW w:type="dxa" w:w="158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6.2</w:t>
            </w:r>
          </w:p>
        </w:tc>
      </w:tr>
      <w:tr>
        <w:tc>
          <w:tcPr>
            <w:tcW w:type="dxa" w:w="1020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 6-2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代价敏感阈值优化前后对比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fig_6-2.png</w:t>
            </w:r>
          </w:p>
        </w:tc>
        <w:tc>
          <w:tcPr>
            <w:tcW w:type="dxa" w:w="158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6.4</w:t>
            </w:r>
          </w:p>
        </w:tc>
      </w:tr>
      <w:tr>
        <w:tc>
          <w:tcPr>
            <w:tcW w:type="dxa" w:w="1020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 7-1</w:t>
            </w:r>
          </w:p>
        </w:tc>
        <w:tc>
          <w:tcPr>
            <w:tcW w:type="dxa" w:w="317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SHAP 全局特征重要性 Top8</w:t>
            </w:r>
          </w:p>
        </w:tc>
        <w:tc>
          <w:tcPr>
            <w:tcW w:type="dxa" w:w="1701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fig_7-1.png</w:t>
            </w:r>
          </w:p>
        </w:tc>
        <w:tc>
          <w:tcPr>
            <w:tcW w:type="dxa" w:w="1587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7.1</w:t>
            </w:r>
          </w:p>
        </w:tc>
      </w:tr>
    </w:tbl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B.2　图表复核说明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b/>
          <w:sz w:val="21"/>
        </w:rPr>
        <w:t>表 B-2　图表复核意见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1814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源文件</w:t>
            </w:r>
          </w:p>
        </w:tc>
        <w:tc>
          <w:tcPr>
            <w:tcW w:type="dxa" w:w="3685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</w:t>
            </w:r>
          </w:p>
        </w:tc>
        <w:tc>
          <w:tcPr>
            <w:tcW w:type="dxa" w:w="2948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处理</w:t>
            </w:r>
          </w:p>
        </w:tc>
      </w:tr>
      <w:tr>
        <w:tc>
          <w:tcPr>
            <w:tcW w:type="dxa" w:w="181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fig_4-3.png</w:t>
            </w:r>
          </w:p>
        </w:tc>
        <w:tc>
          <w:tcPr>
            <w:tcW w:type="dxa" w:w="368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图注初稿写“高危率约 27%”，与实际统计（37%）不符</w:t>
            </w:r>
          </w:p>
        </w:tc>
        <w:tc>
          <w:tcPr>
            <w:tcW w:type="dxa" w:w="2948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按脚本输出修正为 37%，并补 0 次缺勤组 23% 的对照说明</w:t>
            </w:r>
          </w:p>
        </w:tc>
      </w:tr>
      <w:tr>
        <w:tc>
          <w:tcPr>
            <w:tcW w:type="dxa" w:w="181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fig_5-1.png</w:t>
            </w:r>
          </w:p>
        </w:tc>
        <w:tc>
          <w:tcPr>
            <w:tcW w:type="dxa" w:w="368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图注初稿写挂科相关系数 -0.36</w:t>
            </w:r>
          </w:p>
        </w:tc>
        <w:tc>
          <w:tcPr>
            <w:tcW w:type="dxa" w:w="2948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按实际计算修正为 -0.38</w:t>
            </w:r>
          </w:p>
        </w:tc>
      </w:tr>
      <w:tr>
        <w:tc>
          <w:tcPr>
            <w:tcW w:type="dxa" w:w="181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fig_3-1.png</w:t>
            </w:r>
          </w:p>
        </w:tc>
        <w:tc>
          <w:tcPr>
            <w:tcW w:type="dxa" w:w="368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图注初稿写“中位数 12 分、及格线以下约四成”</w:t>
            </w:r>
          </w:p>
        </w:tc>
        <w:tc>
          <w:tcPr>
            <w:tcW w:type="dxa" w:w="2948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按实际统计修正为“中位数 11 分、及格线以下 22%”</w:t>
            </w:r>
          </w:p>
        </w:tc>
      </w:tr>
      <w:tr>
        <w:tc>
          <w:tcPr>
            <w:tcW w:type="dxa" w:w="1814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fig_7-1.png</w:t>
            </w:r>
          </w:p>
        </w:tc>
        <w:tc>
          <w:tcPr>
            <w:tcW w:type="dxa" w:w="3685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初版 SHAP 数值为目测近似值</w:t>
            </w:r>
          </w:p>
        </w:tc>
        <w:tc>
          <w:tcPr>
            <w:tcW w:type="dxa" w:w="2948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改为脚本导出的真实平均 |SHAP| 值（shap_importance.json）</w:t>
            </w:r>
          </w:p>
        </w:tc>
      </w:tr>
    </w:tbl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复核方式：每张图生成后由脚本输出数值，人工核对图注、正文与表格中的同一指标；全部 10 张图已核对通过。</w:t>
      </w:r>
    </w:p>
    <w:p>
      <w:pPr>
        <w:pStyle w:val="Heading1"/>
        <w:pageBreakBefore/>
        <w:pBdr>
          <w:bottom w:val="single" w:sz="8" w:color="404040"/>
        </w:pBdr>
        <w:spacing w:before="0" w:after="240"/>
      </w:pPr>
      <w:r>
        <w:rPr>
          <w:rFonts w:ascii="Times New Roman" w:hAnsi="Times New Roman" w:eastAsia="宋体"/>
          <w:b/>
          <w:sz w:val="32"/>
        </w:rPr>
        <w:t>附录 C　实验复现与术语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C.1　实验复现</w:t>
      </w:r>
    </w:p>
    <w:p>
      <w:pPr>
        <w:spacing w:lineRule="exact" w:line="440" w:after="12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全部实验可一键复现：python -m src.clean（清洗）→ python -m src.train --baseline（基线对比）→ python -m src.train --tune --n-trials 40（调参）→ python -m src.train（最优配置复现）→ python -m src.explain（SHAP 解释）。随机种子 42，最优参数固化于 configs/best.yaml，实验记录存于 MLflow（sqlite:///mlflow.db），重跑指标逐位一致。</w:t>
      </w:r>
    </w:p>
    <w:p>
      <w:pPr>
        <w:pStyle w:val="Heading2"/>
        <w:spacing w:before="240" w:after="120"/>
      </w:pPr>
      <w:r>
        <w:rPr>
          <w:rFonts w:ascii="Times New Roman" w:hAnsi="Times New Roman" w:eastAsia="宋体"/>
          <w:b/>
          <w:sz w:val="28"/>
        </w:rPr>
        <w:t>C.2　术语与缩写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928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术语 / 缩写</w:t>
            </w:r>
          </w:p>
        </w:tc>
        <w:tc>
          <w:tcPr>
            <w:tcW w:type="dxa" w:w="6520"/>
            <w:shd w:fill="DCE6F1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AUC</w:t>
            </w:r>
          </w:p>
        </w:tc>
        <w:tc>
          <w:tcPr>
            <w:tcW w:type="dxa" w:w="6520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ROC 曲线下面积，衡量二分类模型排序能力，0.5 为随机、1.0 为完美</w:t>
            </w:r>
          </w:p>
        </w:tc>
      </w:tr>
      <w:tr>
        <w:tc>
          <w:tcPr>
            <w:tcW w:type="dxa" w:w="192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F1 / Precision / Recall</w:t>
            </w:r>
          </w:p>
        </w:tc>
        <w:tc>
          <w:tcPr>
            <w:tcW w:type="dxa" w:w="6520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精确率与召回率的调和平均 / 报警中真高危占比 / 高危被覆盖比例</w:t>
            </w:r>
          </w:p>
        </w:tc>
      </w:tr>
      <w:tr>
        <w:tc>
          <w:tcPr>
            <w:tcW w:type="dxa" w:w="192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SHAP</w:t>
            </w:r>
          </w:p>
        </w:tc>
        <w:tc>
          <w:tcPr>
            <w:tcW w:type="dxa" w:w="6520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基于博弈论的模型解释方法，给出每个特征对预测的贡献值</w:t>
            </w:r>
          </w:p>
        </w:tc>
      </w:tr>
      <w:tr>
        <w:tc>
          <w:tcPr>
            <w:tcW w:type="dxa" w:w="192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Optuna</w:t>
            </w:r>
          </w:p>
        </w:tc>
        <w:tc>
          <w:tcPr>
            <w:tcW w:type="dxa" w:w="6520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超参数自动搜索框架，本项目对 LightGBM 搜索 40 次试验</w:t>
            </w:r>
          </w:p>
        </w:tc>
      </w:tr>
      <w:tr>
        <w:tc>
          <w:tcPr>
            <w:tcW w:type="dxa" w:w="192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MLflow</w:t>
            </w:r>
          </w:p>
        </w:tc>
        <w:tc>
          <w:tcPr>
            <w:tcW w:type="dxa" w:w="6520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实验追踪平台，记录参数、指标、模型文件，保证可复现</w:t>
            </w:r>
          </w:p>
        </w:tc>
      </w:tr>
      <w:tr>
        <w:tc>
          <w:tcPr>
            <w:tcW w:type="dxa" w:w="192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代价敏感阈值</w:t>
            </w:r>
          </w:p>
        </w:tc>
        <w:tc>
          <w:tcPr>
            <w:tcW w:type="dxa" w:w="6520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按“漏报代价高于误报”重新校准的分类阈值，本项目为 0.21</w:t>
            </w:r>
          </w:p>
        </w:tc>
      </w:tr>
      <w:tr>
        <w:tc>
          <w:tcPr>
            <w:tcW w:type="dxa" w:w="1928"/>
          </w:tcPr>
          <w:p>
            <w:pPr>
              <w:spacing w:lineRule="exact" w:line="32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高危 / 关注 / 正常</w:t>
            </w:r>
          </w:p>
        </w:tc>
        <w:tc>
          <w:tcPr>
            <w:tcW w:type="dxa" w:w="6520"/>
          </w:tcPr>
          <w:p>
            <w:pPr>
              <w:spacing w:lineRule="exact" w:line="32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三级预警：G3&lt;10 / 10≤G3&lt;12 / G3≥12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t xml:space="preserve">第 </w:t>
    </w:r>
    <w:r>
      <w:rPr>
        <w:rFonts w:ascii="Times New Roman" w:hAnsi="Times New Roman" w:eastAsia="宋体"/>
        <w:b w:val="0"/>
        <w:sz w:val="18"/>
      </w:rPr>
      <w:fldChar w:fldCharType="begin"/>
      <w:instrText>PAGE</w:instrText>
      <w:fldChar w:fldCharType="end"/>
    </w:r>
    <w:r>
      <w:rPr>
        <w:rFonts w:ascii="Times New Roman" w:hAnsi="Times New Roman" w:eastAsia="宋体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