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pacing w:val="30"/>
          <w:sz w:val="44"/>
          <w:szCs w:val="44"/>
        </w:rPr>
      </w:pPr>
      <w:r>
        <w:rPr>
          <w:rFonts w:ascii="黑体" w:hAnsi="黑体" w:eastAsia="黑体"/>
          <w:spacing w:val="30"/>
          <w:sz w:val="44"/>
          <w:szCs w:val="44"/>
        </w:rPr>
        <w:t>广州航海学院</w:t>
      </w:r>
    </w:p>
    <w:p>
      <w:pPr>
        <w:jc w:val="center"/>
        <w:rPr>
          <w:rFonts w:ascii="黑体" w:hAnsi="黑体" w:eastAsia="黑体"/>
          <w:spacing w:val="30"/>
          <w:sz w:val="44"/>
          <w:szCs w:val="44"/>
        </w:rPr>
      </w:pPr>
      <w:r>
        <w:rPr>
          <w:rFonts w:hint="eastAsia" w:ascii="黑体" w:hAnsi="黑体" w:eastAsia="黑体"/>
          <w:sz w:val="32"/>
          <w:szCs w:val="32"/>
          <w:u w:val="single"/>
        </w:rPr>
        <w:t xml:space="preserve">   信号与系统    </w:t>
      </w:r>
      <w:r>
        <w:rPr>
          <w:rFonts w:hint="eastAsia" w:ascii="黑体" w:hAnsi="黑体" w:eastAsia="黑体"/>
          <w:sz w:val="32"/>
          <w:szCs w:val="32"/>
        </w:rPr>
        <w:t>实验报告</w:t>
      </w:r>
    </w:p>
    <w:tbl>
      <w:tblPr>
        <w:tblStyle w:val="4"/>
        <w:tblpPr w:leftFromText="180" w:rightFromText="180" w:vertAnchor="text" w:horzAnchor="margin" w:tblpXSpec="right" w:tblpY="105"/>
        <w:tblW w:w="10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2"/>
        <w:gridCol w:w="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392" w:type="dxa"/>
          </w:tcPr>
          <w:p>
            <w:pPr>
              <w:jc w:val="center"/>
              <w:rPr>
                <w:rFonts w:ascii="黑体" w:hAnsi="黑体" w:eastAsia="黑体"/>
                <w:spacing w:val="30"/>
                <w:szCs w:val="21"/>
              </w:rPr>
            </w:pPr>
            <w:r>
              <w:rPr>
                <w:rFonts w:ascii="黑体" w:hAnsi="黑体" w:eastAsia="黑体"/>
                <w:spacing w:val="30"/>
                <w:szCs w:val="21"/>
              </w:rPr>
              <w:t>成绩</w:t>
            </w:r>
          </w:p>
        </w:tc>
        <w:tc>
          <w:tcPr>
            <w:tcW w:w="661" w:type="dxa"/>
            <w:vAlign w:val="center"/>
          </w:tcPr>
          <w:p>
            <w:pPr>
              <w:jc w:val="center"/>
              <w:rPr>
                <w:rFonts w:ascii="黑体" w:hAnsi="黑体" w:eastAsia="黑体"/>
                <w:spacing w:val="30"/>
                <w:szCs w:val="21"/>
              </w:rPr>
            </w:pPr>
          </w:p>
        </w:tc>
      </w:tr>
    </w:tbl>
    <w:p>
      <w:pPr>
        <w:rPr>
          <w:rFonts w:ascii="黑体" w:hAnsi="黑体" w:eastAsia="黑体"/>
        </w:rPr>
      </w:pPr>
    </w:p>
    <w:p>
      <w:pPr>
        <w:rPr>
          <w:rFonts w:ascii="黑体" w:hAnsi="黑体" w:eastAsia="黑体"/>
        </w:rPr>
      </w:pPr>
    </w:p>
    <w:p>
      <w:pPr>
        <w:rPr>
          <w:rFonts w:ascii="黑体" w:hAnsi="黑体" w:eastAsia="黑体"/>
        </w:rPr>
      </w:pPr>
    </w:p>
    <w:tbl>
      <w:tblPr>
        <w:tblStyle w:val="4"/>
        <w:tblW w:w="84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3686"/>
        <w:gridCol w:w="1417"/>
        <w:gridCol w:w="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84" w:type="dxa"/>
            <w:vAlign w:val="bottom"/>
          </w:tcPr>
          <w:p>
            <w:pPr>
              <w:jc w:val="center"/>
              <w:rPr>
                <w:rFonts w:ascii="黑体" w:hAnsi="黑体" w:eastAsia="黑体"/>
                <w:sz w:val="28"/>
                <w:szCs w:val="28"/>
              </w:rPr>
            </w:pPr>
            <w:r>
              <w:rPr>
                <w:rFonts w:hint="eastAsia" w:ascii="黑体" w:hAnsi="黑体" w:eastAsia="黑体"/>
                <w:sz w:val="28"/>
                <w:szCs w:val="28"/>
              </w:rPr>
              <w:t>专业班级</w:t>
            </w:r>
          </w:p>
        </w:tc>
        <w:tc>
          <w:tcPr>
            <w:tcW w:w="3686" w:type="dxa"/>
            <w:tcBorders>
              <w:bottom w:val="single" w:color="auto" w:sz="8" w:space="0"/>
            </w:tcBorders>
            <w:vAlign w:val="bottom"/>
          </w:tcPr>
          <w:p>
            <w:pPr>
              <w:jc w:val="center"/>
              <w:rPr>
                <w:rFonts w:hint="eastAsia" w:ascii="黑体" w:hAnsi="黑体" w:eastAsia="黑体"/>
                <w:sz w:val="28"/>
                <w:szCs w:val="28"/>
                <w:lang w:val="en-US" w:eastAsia="zh-CN"/>
              </w:rPr>
            </w:pPr>
            <w:bookmarkStart w:id="0" w:name="_GoBack"/>
            <w:bookmarkEnd w:id="0"/>
          </w:p>
        </w:tc>
        <w:tc>
          <w:tcPr>
            <w:tcW w:w="1417" w:type="dxa"/>
            <w:vAlign w:val="bottom"/>
          </w:tcPr>
          <w:p>
            <w:pPr>
              <w:jc w:val="center"/>
              <w:rPr>
                <w:rFonts w:ascii="黑体" w:hAnsi="黑体" w:eastAsia="黑体"/>
                <w:sz w:val="28"/>
                <w:szCs w:val="28"/>
              </w:rPr>
            </w:pPr>
            <w:r>
              <w:rPr>
                <w:rFonts w:hint="eastAsia" w:ascii="黑体" w:hAnsi="黑体" w:eastAsia="黑体"/>
                <w:sz w:val="28"/>
                <w:szCs w:val="28"/>
              </w:rPr>
              <w:t>实验日期</w:t>
            </w:r>
          </w:p>
        </w:tc>
        <w:tc>
          <w:tcPr>
            <w:tcW w:w="1985" w:type="dxa"/>
            <w:tcBorders>
              <w:bottom w:val="single" w:color="auto" w:sz="8" w:space="0"/>
            </w:tcBorders>
            <w:vAlign w:val="bottom"/>
          </w:tcPr>
          <w:p>
            <w:pPr>
              <w:jc w:val="center"/>
              <w:rPr>
                <w:rFonts w:hint="eastAsia" w:ascii="黑体" w:hAnsi="黑体" w:eastAsia="黑体"/>
                <w:sz w:val="28"/>
                <w:szCs w:val="28"/>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84" w:type="dxa"/>
            <w:vAlign w:val="bottom"/>
          </w:tcPr>
          <w:p>
            <w:pPr>
              <w:jc w:val="center"/>
              <w:rPr>
                <w:rFonts w:ascii="黑体" w:hAnsi="黑体" w:eastAsia="黑体"/>
                <w:sz w:val="28"/>
                <w:szCs w:val="28"/>
              </w:rPr>
            </w:pPr>
            <w:r>
              <w:rPr>
                <w:rFonts w:hint="eastAsia" w:ascii="黑体" w:hAnsi="黑体" w:eastAsia="黑体"/>
                <w:sz w:val="28"/>
                <w:szCs w:val="28"/>
              </w:rPr>
              <w:t>姓    名</w:t>
            </w:r>
          </w:p>
        </w:tc>
        <w:tc>
          <w:tcPr>
            <w:tcW w:w="3686" w:type="dxa"/>
            <w:tcBorders>
              <w:top w:val="single" w:color="auto" w:sz="8" w:space="0"/>
              <w:bottom w:val="single" w:color="auto" w:sz="8" w:space="0"/>
            </w:tcBorders>
            <w:vAlign w:val="bottom"/>
          </w:tcPr>
          <w:p>
            <w:pPr>
              <w:jc w:val="center"/>
              <w:rPr>
                <w:rFonts w:hint="eastAsia" w:ascii="黑体" w:hAnsi="黑体" w:eastAsia="黑体"/>
                <w:sz w:val="28"/>
                <w:szCs w:val="28"/>
                <w:lang w:val="en-US" w:eastAsia="zh-CN"/>
              </w:rPr>
            </w:pPr>
          </w:p>
        </w:tc>
        <w:tc>
          <w:tcPr>
            <w:tcW w:w="1417" w:type="dxa"/>
            <w:vAlign w:val="bottom"/>
          </w:tcPr>
          <w:p>
            <w:pPr>
              <w:jc w:val="center"/>
              <w:rPr>
                <w:rFonts w:ascii="黑体" w:hAnsi="黑体" w:eastAsia="黑体"/>
                <w:sz w:val="28"/>
                <w:szCs w:val="28"/>
              </w:rPr>
            </w:pPr>
            <w:r>
              <w:rPr>
                <w:rFonts w:hint="eastAsia" w:ascii="黑体" w:hAnsi="黑体" w:eastAsia="黑体"/>
                <w:sz w:val="28"/>
                <w:szCs w:val="28"/>
              </w:rPr>
              <w:t>学    号</w:t>
            </w:r>
          </w:p>
        </w:tc>
        <w:tc>
          <w:tcPr>
            <w:tcW w:w="1985" w:type="dxa"/>
            <w:tcBorders>
              <w:top w:val="single" w:color="auto" w:sz="8" w:space="0"/>
              <w:bottom w:val="single" w:color="auto" w:sz="8" w:space="0"/>
            </w:tcBorders>
            <w:vAlign w:val="bottom"/>
          </w:tcPr>
          <w:p>
            <w:pPr>
              <w:jc w:val="center"/>
              <w:rPr>
                <w:rFonts w:hint="eastAsia" w:ascii="黑体" w:hAnsi="黑体" w:eastAsia="黑体"/>
                <w:sz w:val="28"/>
                <w:szCs w:val="28"/>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84" w:type="dxa"/>
            <w:vAlign w:val="bottom"/>
          </w:tcPr>
          <w:p>
            <w:pPr>
              <w:jc w:val="center"/>
              <w:rPr>
                <w:rFonts w:ascii="黑体" w:hAnsi="黑体" w:eastAsia="黑体"/>
                <w:sz w:val="28"/>
                <w:szCs w:val="28"/>
              </w:rPr>
            </w:pPr>
            <w:r>
              <w:rPr>
                <w:rFonts w:hint="eastAsia" w:ascii="黑体" w:hAnsi="黑体" w:eastAsia="黑体"/>
                <w:sz w:val="28"/>
                <w:szCs w:val="28"/>
              </w:rPr>
              <w:t>实验名称</w:t>
            </w:r>
          </w:p>
        </w:tc>
        <w:tc>
          <w:tcPr>
            <w:tcW w:w="3686" w:type="dxa"/>
            <w:tcBorders>
              <w:top w:val="single" w:color="auto" w:sz="8" w:space="0"/>
              <w:bottom w:val="single" w:color="auto" w:sz="8" w:space="0"/>
            </w:tcBorders>
            <w:vAlign w:val="bottom"/>
          </w:tcPr>
          <w:p>
            <w:pPr>
              <w:jc w:val="center"/>
              <w:rPr>
                <w:rFonts w:ascii="黑体" w:hAnsi="黑体" w:eastAsia="黑体"/>
                <w:sz w:val="28"/>
                <w:szCs w:val="28"/>
              </w:rPr>
            </w:pPr>
            <w:r>
              <w:rPr>
                <w:rFonts w:hint="eastAsia" w:ascii="黑体" w:hAnsi="黑体" w:eastAsia="黑体"/>
                <w:sz w:val="28"/>
                <w:szCs w:val="28"/>
                <w:lang w:val="en-US" w:eastAsia="zh-CN"/>
              </w:rPr>
              <w:t>双踪示波器的使用</w:t>
            </w:r>
          </w:p>
        </w:tc>
        <w:tc>
          <w:tcPr>
            <w:tcW w:w="1417" w:type="dxa"/>
            <w:vAlign w:val="bottom"/>
          </w:tcPr>
          <w:p>
            <w:pPr>
              <w:jc w:val="center"/>
              <w:rPr>
                <w:rFonts w:ascii="黑体" w:hAnsi="黑体" w:eastAsia="黑体"/>
                <w:sz w:val="28"/>
                <w:szCs w:val="28"/>
                <w:u w:val="single"/>
              </w:rPr>
            </w:pPr>
            <w:r>
              <w:rPr>
                <w:rFonts w:hint="eastAsia" w:ascii="黑体" w:hAnsi="黑体" w:eastAsia="黑体"/>
                <w:sz w:val="28"/>
                <w:szCs w:val="28"/>
              </w:rPr>
              <w:t>指导教师</w:t>
            </w:r>
          </w:p>
        </w:tc>
        <w:tc>
          <w:tcPr>
            <w:tcW w:w="1985" w:type="dxa"/>
            <w:tcBorders>
              <w:top w:val="single" w:color="auto" w:sz="8" w:space="0"/>
              <w:bottom w:val="single" w:color="auto" w:sz="8" w:space="0"/>
            </w:tcBorders>
            <w:vAlign w:val="bottom"/>
          </w:tcPr>
          <w:p>
            <w:pPr>
              <w:jc w:val="center"/>
              <w:rPr>
                <w:rFonts w:hint="eastAsia" w:ascii="黑体" w:hAnsi="黑体" w:eastAsia="黑体"/>
                <w:sz w:val="28"/>
                <w:szCs w:val="28"/>
                <w:lang w:val="en-US" w:eastAsia="zh-CN"/>
              </w:rPr>
            </w:pPr>
          </w:p>
        </w:tc>
      </w:tr>
    </w:tbl>
    <w:p>
      <w:pPr>
        <w:rPr>
          <w:rFonts w:ascii="黑体" w:hAnsi="黑体" w:eastAsia="黑体"/>
        </w:rPr>
      </w:pPr>
    </w:p>
    <w:p>
      <w:pPr>
        <w:rPr>
          <w:rFonts w:hint="eastAsia" w:ascii="黑体" w:hAnsi="黑体" w:eastAsia="黑体"/>
        </w:rPr>
      </w:pPr>
      <w:r>
        <w:rPr>
          <w:rFonts w:hint="eastAsia" w:ascii="黑体" w:hAnsi="黑体" w:eastAsia="黑体"/>
        </w:rPr>
        <w:t>（报告内容包括实验目的、实验设备及器材、实验步骤、程序框图、代码、运行结果、实验小结等）</w:t>
      </w:r>
    </w:p>
    <w:p>
      <w:pPr>
        <w:rPr>
          <w:rFonts w:hint="eastAsia" w:ascii="黑体" w:hAnsi="黑体" w:eastAsia="黑体"/>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一、实验目的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1．了解示波器的工作原理和技术指标。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2．熟悉示波器面板上各旋钮的作用及其正确使用方法。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3．用示波器测量信号的幅值、频率及观察两个同频率正弦信号的相位关系。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4．学习使用低频信号发生器。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二、实验原理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1．示波器调节控制机构的作用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XJ4316B 型双踪示波器外形图见图 1-1。</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3675" cy="3082290"/>
            <wp:effectExtent l="0" t="0" r="14605" b="11430"/>
            <wp:docPr id="1" name="图片 1" descr="微信截图_202006101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00610155339"/>
                    <pic:cNvPicPr>
                      <a:picLocks noChangeAspect="1"/>
                    </pic:cNvPicPr>
                  </pic:nvPicPr>
                  <pic:blipFill>
                    <a:blip r:embed="rId4"/>
                    <a:stretch>
                      <a:fillRect/>
                    </a:stretch>
                  </pic:blipFill>
                  <pic:spPr>
                    <a:xfrm>
                      <a:off x="0" y="0"/>
                      <a:ext cx="5273675" cy="308229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图 1-1 XJ4316B 型双踪示波器面板图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CRT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6 ——电源开关：仪器的电源总开关，揿入接通。当此开关开时发光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二极管发亮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 ——指示灯：当电源接通时，指示灯发红光。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 ——辉度：控制荧光屏光迹的明暗程度，顺时针方向旋转为增亮，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逆时针方向旋转为减弱。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 ——聚焦：调节聚焦可使光点圆而小，达到波形清晰。4 ——光迹旋转：使基线和水平座标线平行。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垂直轴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8 19 ——输入插座：是CH1、CH2输入插座，作为被测信号的输入端。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9 17 ——DC、⊥、AC：分别为 Y 放大器 CH1 和 CH2 二个通道的输入选择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开关，可使输入端为交流耦合、接地、直流耦合。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7 20 ——垂直衰减开关：调节垂直偏转因数，从5mV～5V／div按1-2-5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进制共分十个档级。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10 18 ——垂直微调：微调灵敏度大于或等于1/2.5标志值，在校正位置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时，灵敏度校正为标示值。当该旋钮拉出后（*5MAG状态）放大器的灵敏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度乘以5。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12 16 ——垂直位移：控制 CH1、CH2 光迹在荧光屏 Y 轴方向的位置，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顺时针旋转时，光迹向上，逆时针旋转时，光迹向下。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13 ——垂直方式开关：控制电子开关工作状态，可显示CH1、CH2、DUAL、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ADD四种工作方式。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CH1：单独显示CH1输入信号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CH2：单独显示CH2输入信号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DUAL：两个通道同时显示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ADD：显示两个通道的代数和CH1+CH2。按下CH2 INV 15 按钮，为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代数差CH1-CH2。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11 道1与通道2交替显示（通常用在扫描速度较快的情况下）；当此键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按下时，通道1与通道2同时的连续显示，（通常用于扫描速度较慢的情况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15 ——CH2 INV：通道2的信号反向，当此键按下时，通道2的信号以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及通道2的触发信号也同时反向。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触发：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23 ——外触发输入端子：用于外触发信号，当使用该功能时，开关 22 设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置在EXT的位置上。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22 ——触发源选择：选择内（INT）或外（EXT）触发CH1：当垂直方式选择开关 13 设定在DUAL或ADD状态时，选择通道1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作为内部触发信号源。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CH2：当垂直方式选择开关 13 设定在DUAL或ADD状态时，选择通道2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作为内部触发信号源。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LINE：选择交流电源作为触发信号。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EXT：外部触发信号接于 23 作为触发信号源。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26 ——TRIG.ALT：当垂直方式选择开关 13 设定在DUAL或ADD状态，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而且触发源开关 22 选在通道1或通道2上，按下 26 时，它会交替选择通道1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和通道2作为内触发信号源。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25 ——极性：触发信号选择，“+”上升沿触发，“—”选择信号的下降沿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触发。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27 ——触发电平：显示一个同步稳定的波形，设定一个波形的起始点。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向“+ ”旋转触发电平向上移，向“—”旋转触发电平向下移。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24 ——触发方式：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AUTO:自动，当没有触发信号输入时扫描在自由模式下。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NORM: 常态，当没有触发信号时 ，踪迹处于待命状态并不显示。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TV-V：电视场，当想要观察一场的电视信号时。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TV-H：电视行，当想要观察一行的电视信号时。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21 触发电平锁定：将触发电平旋钮 27 向顺时针方向转到底听见咔嗒一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声后，触发电平被锁定在一个固定电平上，这时改变扫描速度或信号幅度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时，不再需要调节触发电平即可获得同步信号。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水平调节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28 ——水平扫描速度开关：扫描速度可以分20档，从0.2us/div到0.5s/div。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当设置到X-Y位置时用作X-Y位置时用作X-Y示波器。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29 ——水平微调：用以连续改变扫描速度的细调装置，顺时针方向旋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足并接通开关时是“校准”位置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31 ——X位移：控制光迹在荧光屏X方向的位置。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30 ——扫描扩展开关：按下时，扫描速度扩展10倍。</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其他：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 ——CAL：提供幅度为2Vp-p频率1KHz的方波信号，用于校正10：1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探头的补偿电容器和检测示波器垂直于水平的偏转因数。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14 ——GND：示波器机箱的接地端子。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2. XJ4316B型双踪示波器的使用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（1）使用前的注意事项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① 检查电源电压应适应220V±10％。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② 使用环境温度为0°～+40°C，湿度≤90％(+40°C)，工作环境应无强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烈的电磁场干扰。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③ 输入端不应馈入超过企业标准所规定的电压。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④ 显示光点的辉度不宜过亮，以免损坏屏幕。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（2）仪器使用前的自校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① 用本仪器附件中的探极，分别接到CH输出端和校准信号输出端，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仪器各控制机件按表1-1所示。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表1-1</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面板控制机件</w:t>
            </w:r>
          </w:p>
        </w:tc>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作用位置</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面板控制机件</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作用位置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垂直方式</w:t>
            </w:r>
          </w:p>
        </w:tc>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CH1</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AC、⊥、CD</w:t>
            </w:r>
          </w:p>
        </w:tc>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AC或DC</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扫描方式</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V/div</w:t>
            </w:r>
          </w:p>
        </w:tc>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50mV/div</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触发源</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CH1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X、Y微调</w:t>
            </w:r>
          </w:p>
        </w:tc>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校准</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极性</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X、Y位移</w:t>
            </w:r>
          </w:p>
        </w:tc>
        <w:tc>
          <w:tcPr>
            <w:tcW w:w="2130"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居中</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t/div</w:t>
            </w:r>
          </w:p>
        </w:tc>
        <w:tc>
          <w:tcPr>
            <w:tcW w:w="213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ImS/div</w:t>
            </w:r>
          </w:p>
        </w:tc>
      </w:tr>
    </w:tbl>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② 按电源开关，指示灯亮，表示电源接通。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③ 经预热后，调节“辉度”“聚焦”电位器，使亮度适中，聚焦最佳，再调节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“触发电平”使波形同步，呈现图1-2所示波形，说明仪器工作基本正常。</w:t>
      </w: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3589020" cy="2491740"/>
            <wp:effectExtent l="0" t="0" r="7620" b="7620"/>
            <wp:docPr id="2" name="图片 2" descr="微信截图_2020061115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00611154319"/>
                    <pic:cNvPicPr>
                      <a:picLocks noChangeAspect="1"/>
                    </pic:cNvPicPr>
                  </pic:nvPicPr>
                  <pic:blipFill>
                    <a:blip r:embed="rId5"/>
                    <a:stretch>
                      <a:fillRect/>
                    </a:stretch>
                  </pic:blipFill>
                  <pic:spPr>
                    <a:xfrm>
                      <a:off x="0" y="0"/>
                      <a:ext cx="3589020" cy="24917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（3）交流分量电压测量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一般是测量被测电压波形峰与峰之间的数值或者测量峰到某一波谷之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间的数值，测量时通常将输入选择置于“AC”位置，将信号中的直流成份隔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开，以免使信号偏离Y轴中心，甚至使测量无法进行，当测量重复频率低的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交流分量时，应将输入选择置于“DC”位置，否则因频率的限制，产生不真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实的测试结果，测量步骤如下：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①垂直系统的输入选择开关置于“AC”、“V／div”档极开关和“t／div” 档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极开关，根据被测量信号的的电压和频率选择适当的档极，并将被测信号直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接或通过10:1探极输入仪器的Y轴输入端，调节“触发电平”使波形稳定。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②根据屏幕上波形的坐标刻度，读出所显示信号波形的峰一峰值。如图1-3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所示，图中显示信号波形占2div，如果仪器“V／div”档级标称值为0.1V／diV，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则被测信号的峰一峰值应为VP—P＝0．1V／div×2div＝0.2V，如果Y输入端使用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10:1的衰减探极，则被测信号的峰值应为VP—P＝0.1V／div×2div×10＝2V。</w:t>
      </w:r>
    </w:p>
    <w:p>
      <w:pPr>
        <w:keepNext w:val="0"/>
        <w:keepLines w:val="0"/>
        <w:pageBreakBefore w:val="0"/>
        <w:kinsoku/>
        <w:wordWrap/>
        <w:overflowPunct/>
        <w:topLinePunct w:val="0"/>
        <w:autoSpaceDE/>
        <w:autoSpaceDN/>
        <w:bidi w:val="0"/>
        <w:adjustRightInd/>
        <w:snapToGrid/>
        <w:spacing w:line="360" w:lineRule="auto"/>
        <w:ind w:firstLine="343"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389120" cy="2247900"/>
            <wp:effectExtent l="0" t="0" r="0" b="7620"/>
            <wp:docPr id="3" name="图片 3" descr="微信截图_2020061115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00611154441"/>
                    <pic:cNvPicPr>
                      <a:picLocks noChangeAspect="1"/>
                    </pic:cNvPicPr>
                  </pic:nvPicPr>
                  <pic:blipFill>
                    <a:blip r:embed="rId6"/>
                    <a:stretch>
                      <a:fillRect/>
                    </a:stretch>
                  </pic:blipFill>
                  <pic:spPr>
                    <a:xfrm>
                      <a:off x="0" y="0"/>
                      <a:ext cx="4389120" cy="2247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kern w:val="2"/>
          <w:sz w:val="24"/>
          <w:szCs w:val="24"/>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（4）瞬时电压测量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测试瞬时电压，首先应注意输入信号的幅度，选择合适的Y偏转因数，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同时还要选择相对的参考电平，通常是地电平，也可选择其他的参考电平。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测量步骤如下：①将测试探极接入所需的参考电位，触发选择置于“自动”时出现一扫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描线，调节Y位移，使光迹移到屏幕的合适位置(基准电平线)，此时Y位移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不再调节。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②将探极接至被测信号端，调节触发电平，使波形稳定显示。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③读出被测波形上某一瞬时相对于基准刻度在Y轴上的距离Bdiv，则被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测瞬时电压为n×A×B。式中，n为探极衰减比，A为Y轴V／diV开关所处的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档级。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（5）时间测量——利用定量扫速法。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在扫描微调处于校准位置，扫描时间因数开关t／div值是定量的，可直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接计算出被测信号各点的时间关系。测量步骤如下：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①调节有关控制使显示波形稳定，将“t／div”置于适当的档级a（t／div）。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②借助刻度即可读出波形上被测二点间在方向上的距离b(div)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③则被测两点之间的时间间隔为a×b。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例：如图1-4所示，扫描因数t／div置于2mS／div，被测二点PQ之间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距离为5div，则PQ二点时间间隔为t＝2mS／div×5div＝10mS。</w:t>
      </w:r>
    </w:p>
    <w:p>
      <w:pPr>
        <w:keepNext w:val="0"/>
        <w:keepLines w:val="0"/>
        <w:pageBreakBefore w:val="0"/>
        <w:kinsoku/>
        <w:wordWrap/>
        <w:overflowPunct/>
        <w:topLinePunct w:val="0"/>
        <w:autoSpaceDE/>
        <w:autoSpaceDN/>
        <w:bidi w:val="0"/>
        <w:adjustRightInd/>
        <w:snapToGrid/>
        <w:spacing w:line="360" w:lineRule="auto"/>
        <w:ind w:firstLine="391"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939540" cy="2324100"/>
            <wp:effectExtent l="0" t="0" r="7620" b="7620"/>
            <wp:docPr id="4" name="图片 4" descr="微信截图_2020061115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00611154543"/>
                    <pic:cNvPicPr>
                      <a:picLocks noChangeAspect="1"/>
                    </pic:cNvPicPr>
                  </pic:nvPicPr>
                  <pic:blipFill>
                    <a:blip r:embed="rId7"/>
                    <a:stretch>
                      <a:fillRect/>
                    </a:stretch>
                  </pic:blipFill>
                  <pic:spPr>
                    <a:xfrm>
                      <a:off x="0" y="0"/>
                      <a:ext cx="3939540" cy="23241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（6）相位测量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垂直方式开关置于“交替”，分别将二个正弦信号输入CH1和CH2，调节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有关旋钮使波形稳定，并调节CH1和CH2位移，使两踪波形均移到上下对称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于O—Oˊ轴，如图1-5所示。测得：</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drawing>
          <wp:inline distT="0" distB="0" distL="114300" distR="114300">
            <wp:extent cx="1226185" cy="541020"/>
            <wp:effectExtent l="0" t="0" r="8255" b="7620"/>
            <wp:docPr id="5" name="图片 5" descr="微信截图_2020061115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00611154645"/>
                    <pic:cNvPicPr>
                      <a:picLocks noChangeAspect="1"/>
                    </pic:cNvPicPr>
                  </pic:nvPicPr>
                  <pic:blipFill>
                    <a:blip r:embed="rId8"/>
                    <a:stretch>
                      <a:fillRect/>
                    </a:stretch>
                  </pic:blipFill>
                  <pic:spPr>
                    <a:xfrm>
                      <a:off x="0" y="0"/>
                      <a:ext cx="1226185" cy="54102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则CH2信号滞后于CH1信号φ角。</w:t>
      </w:r>
    </w:p>
    <w:p>
      <w:pPr>
        <w:keepNext w:val="0"/>
        <w:keepLines w:val="0"/>
        <w:pageBreakBefore w:val="0"/>
        <w:tabs>
          <w:tab w:val="left" w:pos="643"/>
        </w:tabs>
        <w:kinsoku/>
        <w:wordWrap/>
        <w:overflowPunct/>
        <w:topLinePunct w:val="0"/>
        <w:autoSpaceDE/>
        <w:autoSpaceDN/>
        <w:bidi w:val="0"/>
        <w:adjustRightInd/>
        <w:snapToGrid/>
        <w:spacing w:line="360"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328160" cy="3063240"/>
            <wp:effectExtent l="0" t="0" r="0" b="0"/>
            <wp:docPr id="6" name="图片 6" descr="微信截图_2020061115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00611154707"/>
                    <pic:cNvPicPr>
                      <a:picLocks noChangeAspect="1"/>
                    </pic:cNvPicPr>
                  </pic:nvPicPr>
                  <pic:blipFill>
                    <a:blip r:embed="rId9"/>
                    <a:stretch>
                      <a:fillRect/>
                    </a:stretch>
                  </pic:blipFill>
                  <pic:spPr>
                    <a:xfrm>
                      <a:off x="0" y="0"/>
                      <a:ext cx="4328160" cy="30632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三、实验器材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1．通用电学实验台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2．双踪示波器一台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3．其它按图选用元器件插座及导线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四、实验内容和步骤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1．示波器的检查试验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按照“仪器使用前的自校”说明，调节示波器面板上的旋钮，接通本机的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校准信号（接线时注意信号源不可短路），使屏幕上显示出如图 1-2 的波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形。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2．观察信号波形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（1）从实验箱上的函数信号发生器取出正弦波电压信号（调节其频率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为 1KHZ，幅值约为 0.4V），送入示波器的 CH1 或 CH2 端，调节有关旋钮，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使在屏幕上出现清晰的波形。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（2）改变函数信号发生器的正弦波电压信号的频率及幅值，重新调节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有关旋钮，使在屏幕上出现清晰的波形。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（3）从实验箱上的函数信号发生器取出方波及三角波电压信号，重复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（1）（2）的步骤。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3．测量电压幅值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(1)从实验箱上的函数信号发生器取出正弦波电压信号（调节其频率为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1KHZ，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(2)幅值约为 0.4V，送入示波器的 CH1 或 CH2 端，调节有关旋钮，使在屏幕上出现清晰的波形。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(3)根据屏幕上的坐标刻度，读出显示信号波形的峰一峰值 VP—P，填入表 1-1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中。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(4)用万用表测量该信号的值（注：什么值？），与 VP—P 进行比较，并填入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表中。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(5)调节输入信号幅值约为 1V，重复上述步骤，并填入表中。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表 1-1</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1"/>
        <w:gridCol w:w="1296"/>
        <w:gridCol w:w="1211"/>
        <w:gridCol w:w="1195"/>
        <w:gridCol w:w="1204"/>
        <w:gridCol w:w="1212"/>
        <w:gridCol w:w="1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1" w:type="dxa"/>
            <w:vMerge w:val="restart"/>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测量内容</w:t>
            </w:r>
          </w:p>
        </w:tc>
        <w:tc>
          <w:tcPr>
            <w:tcW w:w="6118" w:type="dxa"/>
            <w:gridSpan w:val="5"/>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示波器测量</w:t>
            </w:r>
          </w:p>
        </w:tc>
        <w:tc>
          <w:tcPr>
            <w:tcW w:w="1213"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万用表测量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1" w:type="dxa"/>
            <w:vMerge w:val="continue"/>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296"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“V/div”档极</w:t>
            </w:r>
          </w:p>
        </w:tc>
        <w:tc>
          <w:tcPr>
            <w:tcW w:w="121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“div”</w:t>
            </w:r>
          </w:p>
        </w:tc>
        <w:tc>
          <w:tcPr>
            <w:tcW w:w="1195"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探极衰减</w:t>
            </w:r>
          </w:p>
        </w:tc>
        <w:tc>
          <w:tcPr>
            <w:tcW w:w="1204"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VP—P</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值</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212"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有效值</w:t>
            </w:r>
          </w:p>
        </w:tc>
        <w:tc>
          <w:tcPr>
            <w:tcW w:w="1213"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有效值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正弦波1</w:t>
            </w:r>
          </w:p>
        </w:tc>
        <w:tc>
          <w:tcPr>
            <w:tcW w:w="1296"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5ms/div</w:t>
            </w:r>
          </w:p>
        </w:tc>
        <w:tc>
          <w:tcPr>
            <w:tcW w:w="121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0.2</w:t>
            </w:r>
          </w:p>
        </w:tc>
        <w:tc>
          <w:tcPr>
            <w:tcW w:w="1195"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1:1</w:t>
            </w:r>
          </w:p>
        </w:tc>
        <w:tc>
          <w:tcPr>
            <w:tcW w:w="120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0.8V</w:t>
            </w:r>
          </w:p>
        </w:tc>
        <w:tc>
          <w:tcPr>
            <w:tcW w:w="1212"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0.5656V</w:t>
            </w:r>
          </w:p>
        </w:tc>
        <w:tc>
          <w:tcPr>
            <w:tcW w:w="1213"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0.5700V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正弦波2</w:t>
            </w:r>
          </w:p>
        </w:tc>
        <w:tc>
          <w:tcPr>
            <w:tcW w:w="1296"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5ms/div</w:t>
            </w:r>
          </w:p>
        </w:tc>
        <w:tc>
          <w:tcPr>
            <w:tcW w:w="1211"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0.2</w:t>
            </w:r>
          </w:p>
        </w:tc>
        <w:tc>
          <w:tcPr>
            <w:tcW w:w="1195"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1:1</w:t>
            </w:r>
          </w:p>
        </w:tc>
        <w:tc>
          <w:tcPr>
            <w:tcW w:w="120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2V</w:t>
            </w:r>
          </w:p>
        </w:tc>
        <w:tc>
          <w:tcPr>
            <w:tcW w:w="1212"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1.414V</w:t>
            </w:r>
          </w:p>
        </w:tc>
        <w:tc>
          <w:tcPr>
            <w:tcW w:w="1213"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1.5300V</w:t>
            </w:r>
          </w:p>
        </w:tc>
      </w:tr>
    </w:tbl>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4．测量信号频率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（1）从实验箱上的函数信号发生器取出正弦波电压信号（调节其频率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为 1KHZ，幅值约为 0.4V），送入示波器的 CH1 或 CH2 端，调节有关旋钮，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使在屏幕上出现清晰的波形。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（2）根据屏幕上的坐标刻度，读出显示信号波形的峰一峰间的时间间隔值，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并换算为频率值，填入表 1-2 中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（3）调节输入信号频率为 10KHZ，重复上述步骤，并填入表中。 </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表 1-2</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测量内容</w:t>
            </w:r>
          </w:p>
        </w:tc>
        <w:tc>
          <w:tcPr>
            <w:tcW w:w="1704"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“t／div”档极</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704"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“div”</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705"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周期</w:t>
            </w:r>
          </w:p>
        </w:tc>
        <w:tc>
          <w:tcPr>
            <w:tcW w:w="1705"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正弦波1</w:t>
            </w:r>
          </w:p>
        </w:tc>
        <w:tc>
          <w:tcPr>
            <w:tcW w:w="170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5ms/div</w:t>
            </w:r>
          </w:p>
        </w:tc>
        <w:tc>
          <w:tcPr>
            <w:tcW w:w="170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0.2</w:t>
            </w:r>
          </w:p>
        </w:tc>
        <w:tc>
          <w:tcPr>
            <w:tcW w:w="1705"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1ms</w:t>
            </w:r>
          </w:p>
        </w:tc>
        <w:tc>
          <w:tcPr>
            <w:tcW w:w="1705"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1kHZ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正弦波2</w:t>
            </w:r>
          </w:p>
        </w:tc>
        <w:tc>
          <w:tcPr>
            <w:tcW w:w="170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5mv/div</w:t>
            </w:r>
          </w:p>
        </w:tc>
        <w:tc>
          <w:tcPr>
            <w:tcW w:w="170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0.02</w:t>
            </w:r>
          </w:p>
        </w:tc>
        <w:tc>
          <w:tcPr>
            <w:tcW w:w="1705"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0.1ms</w:t>
            </w:r>
          </w:p>
        </w:tc>
        <w:tc>
          <w:tcPr>
            <w:tcW w:w="1705"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10kHZ</w:t>
            </w:r>
          </w:p>
        </w:tc>
      </w:tr>
    </w:tbl>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5．测量两同频率正弦电压信号的相位差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（1）从实验箱上的函数信号发生器取出正弦波电压信号（调节其频率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为 1KHZ，幅值约为 0.4V），同时送入示波器的 CH1 和 CH2 端。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（2）垂直方式开关置于“交替”，调节有关旋钮使波形稳定，并调节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CH1 和 CH2 位移，使两踪波形均移到上下对称于 O—Oˊ轴，如上图 1-5 所示。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（3）根据屏幕上的坐标刻度，读出显示两信号波形的相位差，填入表 1-3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中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表 1-3</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4"/>
        <w:gridCol w:w="1296"/>
        <w:gridCol w:w="1296"/>
        <w:gridCol w:w="1296"/>
        <w:gridCol w:w="1196"/>
        <w:gridCol w:w="1196"/>
        <w:gridCol w:w="1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测量内容</w:t>
            </w:r>
          </w:p>
        </w:tc>
        <w:tc>
          <w:tcPr>
            <w:tcW w:w="129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t／div 档极</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29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A“div”</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29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B“div”</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19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A 时间间</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隔</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19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B 时间间</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隔</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128"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相位差</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4"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24"/>
                <w:vertAlign w:val="baseline"/>
                <w:lang w:val="en-US" w:eastAsia="zh-CN" w:bidi="ar-SA"/>
              </w:rPr>
            </w:pPr>
          </w:p>
        </w:tc>
        <w:tc>
          <w:tcPr>
            <w:tcW w:w="1296"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100us/div</w:t>
            </w:r>
          </w:p>
        </w:tc>
        <w:tc>
          <w:tcPr>
            <w:tcW w:w="1296"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200mV/div</w:t>
            </w:r>
          </w:p>
        </w:tc>
        <w:tc>
          <w:tcPr>
            <w:tcW w:w="1296"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200mV/div</w:t>
            </w:r>
          </w:p>
        </w:tc>
        <w:tc>
          <w:tcPr>
            <w:tcW w:w="1196"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1.000ms</w:t>
            </w:r>
          </w:p>
        </w:tc>
        <w:tc>
          <w:tcPr>
            <w:tcW w:w="1196"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1.000ms</w:t>
            </w:r>
          </w:p>
        </w:tc>
        <w:tc>
          <w:tcPr>
            <w:tcW w:w="1128" w:type="dxa"/>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54</w:t>
            </w:r>
            <w:r>
              <w:rPr>
                <w:rFonts w:hint="eastAsia" w:ascii="微软雅黑" w:hAnsi="微软雅黑" w:eastAsia="微软雅黑" w:cs="微软雅黑"/>
                <w:kern w:val="2"/>
                <w:sz w:val="24"/>
                <w:szCs w:val="24"/>
                <w:vertAlign w:val="baseline"/>
                <w:lang w:val="en-US" w:eastAsia="zh-CN" w:bidi="ar-SA"/>
              </w:rPr>
              <w:t>°</w:t>
            </w:r>
          </w:p>
        </w:tc>
      </w:tr>
    </w:tbl>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五、预习内容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1．参阅图 1-1，了解 XJ4316B 型双踪示波器上各旋钮的作用和调节方法。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2．在使用本机的校准信号来检查示波器时，若“t／div”旋至 0.1ms／div 位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置，屏幕 X 方向每格显示一个周期，如图 1-2 所示，求校准信号的频率。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color w:val="000000"/>
          <w:kern w:val="0"/>
          <w:sz w:val="24"/>
          <w:szCs w:val="24"/>
          <w:lang w:val="en-US" w:eastAsia="zh-CN" w:bidi="ar"/>
        </w:rPr>
        <w:t xml:space="preserve">六、实验报告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1．整理实验数据，总结用示波器测量正弦波幅值、频率、相位差的方法。</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答： 测量相位差：调节好示波器，使它工作在x-y方式；调到对应的两信号频率输入到x-y偏转板；通从图中读出一个信号周期所占的格数n（T）对应的格数n()；整理到表格。</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电子示波器测量信号电压就直接看Y轴上波峰谷间幅值的大小再乘以倍率。周期就是看一个波占X轴的格数乘上每个格子的时间。频率可用周期的倒数。</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2．分析用万用表测量与用示波器测量电压幅值的误差及产生误差的原因。</w:t>
      </w:r>
    </w:p>
    <w:p>
      <w:pPr>
        <w:keepNext w:val="0"/>
        <w:keepLines w:val="0"/>
        <w:pageBreakBefore w:val="0"/>
        <w:kinsoku/>
        <w:wordWrap/>
        <w:overflowPunct/>
        <w:topLinePunct w:val="0"/>
        <w:autoSpaceDE/>
        <w:autoSpaceDN/>
        <w:bidi w:val="0"/>
        <w:adjustRightInd/>
        <w:snapToGrid/>
        <w:spacing w:line="360" w:lineRule="auto"/>
        <w:jc w:val="left"/>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答：万用表测量的是平均值，示波器默认测量的是幅度值。示波器测量的结果要大于万用表测量的结果。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876832"/>
    <w:rsid w:val="219E3FBA"/>
    <w:rsid w:val="27831298"/>
    <w:rsid w:val="2A377760"/>
    <w:rsid w:val="2E540293"/>
    <w:rsid w:val="40EA34E0"/>
    <w:rsid w:val="47AD51B2"/>
    <w:rsid w:val="530A4A47"/>
    <w:rsid w:val="53752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Office_11.1.0.7849_F1E327BC-269C-435d-A152-05C5408002CA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SkYe</cp:lastModifiedBy>
  <dcterms:modified xsi:type="dcterms:W3CDTF">2020-06-12T07:01:25Z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2052-11.1.0.7849</vt:lpwstr>
  </property>
</Properties>
</file>