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478301"/>
    <w:p w14:paraId="43123166"/>
    <w:p w14:paraId="002C88AD"/>
    <w:p w14:paraId="79248F3E"/>
    <w:p w14:paraId="38593FE6">
      <w:pPr>
        <w:jc w:val="center"/>
      </w:pPr>
      <w:r>
        <w:rPr>
          <w:rFonts w:ascii="SimHei" w:hAnsi="SimHei" w:eastAsia="SimHei"/>
          <w:b/>
          <w:color w:val="1B6B4A"/>
          <w:sz w:val="44"/>
        </w:rPr>
        <w:t>基于多模态大模型的个性化</w:t>
      </w:r>
      <w:r>
        <w:rPr>
          <w:rFonts w:ascii="SimHei" w:hAnsi="SimHei" w:eastAsia="SimHei"/>
          <w:b/>
          <w:color w:val="1B6B4A"/>
          <w:sz w:val="44"/>
        </w:rPr>
        <w:br w:type="textWrapping"/>
      </w:r>
      <w:r>
        <w:rPr>
          <w:rFonts w:ascii="SimHei" w:hAnsi="SimHei" w:eastAsia="SimHei"/>
          <w:b/>
          <w:color w:val="1B6B4A"/>
          <w:sz w:val="44"/>
        </w:rPr>
        <w:t>全周期健康管理与智能预警系统</w:t>
      </w:r>
    </w:p>
    <w:p w14:paraId="083CFCFC">
      <w:pPr>
        <w:jc w:val="center"/>
      </w:pPr>
      <w:r>
        <w:rPr>
          <w:rFonts w:ascii="SimHei" w:hAnsi="SimHei" w:eastAsia="SimHei"/>
          <w:color w:val="5C6F66"/>
          <w:sz w:val="28"/>
        </w:rPr>
        <w:t>—— 「嗨 Hai」系统设计文档 ——</w:t>
      </w:r>
    </w:p>
    <w:p w14:paraId="7BF1A862"/>
    <w:p w14:paraId="3455653C"/>
    <w:p w14:paraId="38733B5D"/>
    <w:p w14:paraId="12AB6367">
      <w:pPr>
        <w:jc w:val="center"/>
      </w:pPr>
      <w:r>
        <w:rPr>
          <w:sz w:val="24"/>
        </w:rPr>
        <w:t>课程名称：医学人工智能</w:t>
      </w:r>
    </w:p>
    <w:p w14:paraId="29ADAE8A">
      <w:pPr>
        <w:jc w:val="center"/>
      </w:pPr>
      <w:r>
        <w:rPr>
          <w:sz w:val="24"/>
        </w:rPr>
        <w:t>项目名称：嗨 Hai — 全周期健康管理与智能预警平台</w:t>
      </w:r>
    </w:p>
    <w:p w14:paraId="4A5F1E7A">
      <w:pPr>
        <w:jc w:val="center"/>
        <w:rPr>
          <w:rFonts w:hint="default" w:eastAsia="SimSun"/>
          <w:lang w:val="en-US" w:eastAsia="zh-CN"/>
        </w:rPr>
      </w:pPr>
      <w:r>
        <w:rPr>
          <w:sz w:val="24"/>
        </w:rPr>
        <w:t>日期：2026 年 4 月</w:t>
      </w:r>
      <w:r>
        <w:rPr>
          <w:rFonts w:hint="eastAsia"/>
          <w:sz w:val="24"/>
          <w:lang w:val="en-US" w:eastAsia="zh-CN"/>
        </w:rPr>
        <w:t xml:space="preserve"> 11 日</w:t>
      </w:r>
    </w:p>
    <w:p w14:paraId="4909A148">
      <w:r>
        <w:br w:type="page"/>
      </w:r>
      <w:r>
        <w:br w:type="textWrapping"/>
      </w:r>
      <w:r>
        <w:t>1  选题背景与需求分析</w:t>
      </w:r>
    </w:p>
    <w:p w14:paraId="13B1CE71">
      <w:pPr>
        <w:pStyle w:val="4"/>
      </w:pPr>
      <w:r>
        <w:t>1.1  研究背景</w:t>
      </w:r>
    </w:p>
    <w:p w14:paraId="56FA2DB5">
      <w:r>
        <w:t>随着慢性非传染性疾病（NCD）负担日益加重，世界卫生组织（WHO）数据表明，全球约 74% 的死亡归因于心血管疾病、糖尿病、慢性呼吸系统疾病与癌症等慢性病 [1]。中国作为慢病高发国家，2 型糖尿病患病率已超过 11%，高血压患病率约 27.5% [2]。传统的就医模式以「事后治疗」为核心，患者往往在出现显著症状后才寻求医疗干预，导致疾病管理的最佳窗口期被错过。</w:t>
      </w:r>
    </w:p>
    <w:p w14:paraId="10BA6BF7">
      <w:r>
        <w:t>近年来，以大语言模型（LLM）为代表的生成式人工智能技术取得突破性进展。GPT-4、DeepSeek、LLaMA 等模型在自然语言理解与生成任务上展现出接近甚至超越人类的表现 [3]。将这类技术应用于健康管理领域，有望实现从「被动治疗」到「主动预防与全周期管理」的范式转变。检索增强生成（RAG）技术可在不重新训练模型的前提下，注入领域特定的知识片段，有效降低大模型的「幻觉」风险 [4]，使其输出更贴合医学科普的严谨性要求。</w:t>
      </w:r>
    </w:p>
    <w:p w14:paraId="32FA2004">
      <w:pPr>
        <w:pStyle w:val="4"/>
      </w:pPr>
      <w:r>
        <w:t>1.2  需求分析</w:t>
      </w:r>
    </w:p>
    <w:p w14:paraId="7E4F88FC">
      <w:r>
        <w:t>通过调研面向普通用户（非临床专业人员）的健康管理需求，本项目归纳出以下核心需求：</w:t>
      </w:r>
    </w:p>
    <w:p w14:paraId="24DB8E46">
      <w:pPr>
        <w:pStyle w:val="16"/>
      </w:pPr>
      <w:r>
        <w:t>个人健康档案数字化：用户可录入身高、体重、年龄、饮食与运动偏好、既往病史，并上传体检报告（PDF/TXT），系统自动解析关键检验指标。</w:t>
      </w:r>
    </w:p>
    <w:p w14:paraId="13CDF56C">
      <w:pPr>
        <w:pStyle w:val="16"/>
      </w:pPr>
      <w:r>
        <w:t>综合健康评估与可视化：在总览页以 BMI、综合健康指数、饮食营养雷达图、运动负荷柱图、康复阶段路径等多维度呈现健康状态，便于用户直观理解。</w:t>
      </w:r>
    </w:p>
    <w:p w14:paraId="2FE4B1E9">
      <w:pPr>
        <w:pStyle w:val="16"/>
      </w:pPr>
      <w:r>
        <w:t>智能明日规划：基于用户档案与昨日回顾（步数、运动、饮食、睡眠等），结合营养学公式与大模型推理，生成次日饮食、运动与作息建议。</w:t>
      </w:r>
    </w:p>
    <w:p w14:paraId="4D752D44">
      <w:pPr>
        <w:pStyle w:val="16"/>
      </w:pPr>
      <w:r>
        <w:t>体征监测与规则预警：导入或模拟心率、血氧、血压、血糖等时序数据，通过规则引擎检测连续越界趋势，触发可视化预警。</w:t>
      </w:r>
    </w:p>
    <w:p w14:paraId="1E8EF816">
      <w:pPr>
        <w:pStyle w:val="16"/>
      </w:pPr>
      <w:r>
        <w:t>AI 科普问答：多轮对话结合 RAG 知识库，回答用户健康相关疑问，严格遵守「不诊断、不开药」的安全约束。</w:t>
      </w:r>
    </w:p>
    <w:p w14:paraId="4D287B20">
      <w:pPr>
        <w:pStyle w:val="16"/>
      </w:pPr>
      <w:r>
        <w:t>数据安全与审计：所有数据本地存储（SQLite），操作全程审计日志记录，输入数据经过严格校验，保障数据合规性。</w:t>
      </w:r>
    </w:p>
    <w:p w14:paraId="01EB8CCC">
      <w:pPr>
        <w:pStyle w:val="4"/>
      </w:pPr>
      <w:r>
        <w:t>1.3  目标用户与使用场景</w:t>
      </w:r>
    </w:p>
    <w:p w14:paraId="054B49D8">
      <w:r>
        <w:t>目标用户为具有自我健康管理意识的普通成年人群，包括但不限于：慢病（高血压、糖尿病、血脂异常）患者的日常自我管理、术后康复期的渐进性活动追踪、以及健康人群的膳食与运动科学规划。系统定位为科普级健康助手，明确声明不替代执业医师面诊。</w:t>
      </w:r>
    </w:p>
    <w:p w14:paraId="7AA33E30">
      <w:pPr>
        <w:pStyle w:val="3"/>
      </w:pPr>
      <w:r>
        <w:t>2  相关研究</w:t>
      </w:r>
    </w:p>
    <w:p w14:paraId="3CA24818">
      <w:pPr>
        <w:pStyle w:val="4"/>
      </w:pPr>
      <w:r>
        <w:t>2.1  大语言模型在医疗健康领域的应用</w:t>
      </w:r>
    </w:p>
    <w:p w14:paraId="2BC99F8F">
      <w:r>
        <w:t>大语言模型（LLM）在医疗领域的应用研究近年来迅速增长。Google 的 Med-PaLM 2 在 USMLE 风格的医学问答中达到专家级水平 [5]，表明 LLM 具备处理复杂医学知识的潜力。然而，直接将通用 LLM 用于医疗建议面临「幻觉」风险——模型可能生成看似合理但事实错误的内容。为此，RAG（Retrieval-Augmented Generation）架构被广泛采用：先从可信知识库中检索相关片段，再将其注入模型上下文 [4]，从而在保持生成能力的同时提升事实准确性。</w:t>
      </w:r>
    </w:p>
    <w:p w14:paraId="29C92FE1">
      <w:pPr>
        <w:pStyle w:val="4"/>
      </w:pPr>
      <w:r>
        <w:t>2.2  个性化健康管理系统</w:t>
      </w:r>
    </w:p>
    <w:p w14:paraId="317E6882">
      <w:r>
        <w:t>现有健康管理应用可分为两类：一类以硬件为核心（如 Apple Health、华为健康），依赖可穿戴设备采集生理数据；另一类以软件为核心（如 MyFitnessPal、薄荷健康），侧重饮食与运动记录。两者均存在局限：前者对非智能设备用户不友好，后者缺乏 AI 驱动的个性化推理能力。本项目尝试融合两者优势，通过模拟体征数据接入与 LLM 驱动的推理引擎，构建一个不依赖特定硬件的全周期管理方案。</w:t>
      </w:r>
    </w:p>
    <w:p w14:paraId="633E7957">
      <w:pPr>
        <w:pStyle w:val="4"/>
      </w:pPr>
      <w:r>
        <w:t>2.3  体征预警规则引擎</w:t>
      </w:r>
    </w:p>
    <w:p w14:paraId="288DE558">
      <w:r>
        <w:t>临床危急值（Critical Values）管理是医疗安全的核心环节。传统做法基于阈值规则（如心率 &gt;140 或 &lt;45 持续 N 次触发告警）[6]。本项目借鉴该思路，在本地实现轻量级规则引擎，对心率、血氧、血压与血糖等指标进行连续越界检测。告警的最终判定不依赖大模型（避免 LLM 误判危重），而由规则引擎确定性输出，大模型仅负责自然语言解释。</w:t>
      </w:r>
    </w:p>
    <w:p w14:paraId="55616026">
      <w:pPr>
        <w:pStyle w:val="4"/>
      </w:pPr>
      <w:r>
        <w:t>2.4  营养学估算模型</w:t>
      </w:r>
    </w:p>
    <w:p w14:paraId="3C559086">
      <w:r>
        <w:t>Mifflin-St Jeor 公式是目前公认较为准确的基础代谢率（BMR）估算方法 [7]。本项目采用该公式结合活动因子与步数调整系数，估算每日总能量消耗（TDEE）及三大营养素参考摄入量，作为大模型生成明日饮食建议的量化锚点。</w:t>
      </w:r>
    </w:p>
    <w:p w14:paraId="01A22E0A">
      <w:pPr>
        <w:pStyle w:val="3"/>
      </w:pPr>
      <w:r>
        <w:t>3  系统设计</w:t>
      </w:r>
    </w:p>
    <w:p w14:paraId="28E7D60A">
      <w:pPr>
        <w:pStyle w:val="4"/>
      </w:pPr>
      <w:r>
        <w:t>3.1  系统架构概述</w:t>
      </w:r>
    </w:p>
    <w:p w14:paraId="7B852A06">
      <w:r>
        <w:t>「嗨 Hai」采用「前置流处理 + 后置多模态推理」的分层架构。系统由输入层、预处理层、上下文融合层、推理层与输出层五部分组成，数据流向为：多模态输入 → 结构化处理 → 档案与知识融合 → Prompt 组装 → LLM 生成 → 可视化呈现。</w:t>
      </w:r>
    </w:p>
    <w:p w14:paraId="6915D0A4">
      <w:r>
        <w:t>系统整体数据流如下（对应 Mermaid 流程图）：</w:t>
      </w:r>
    </w:p>
    <w:p w14:paraId="11231F3A">
      <w:r>
        <w:t>输入模态（文本咨询 / PDF体检单 / 体征时序模拟） → 前置处理（文本清洗与意图粗分 / OCR正则结构化 / 规则阈值滑动统计） → 上下文融合（用户档案JSON + 历史摘要 + RAG检索Top-K） → 后置推理（Prompt组装 → DeepSeek大模型生成） → 输出（Web可视化展示 + 趋势图/仪表盘 + 免责声明）</w:t>
      </w:r>
    </w:p>
    <w:p w14:paraId="6F56BBAF">
      <w:pPr>
        <w:pStyle w:val="4"/>
      </w:pPr>
      <w:r>
        <w:t>3.2  技术栈选型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C74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B6B4A"/>
          </w:tcPr>
          <w:p w14:paraId="3CD59D56">
            <w:pPr>
              <w:spacing w:after="0" w:line="240" w:lineRule="auto"/>
            </w:pPr>
            <w:r>
              <w:rPr>
                <w:b/>
                <w:color w:val="FFFFFF"/>
                <w:sz w:val="20"/>
              </w:rPr>
              <w:t>层级/组件</w:t>
            </w:r>
          </w:p>
        </w:tc>
        <w:tc>
          <w:tcPr>
            <w:tcW w:w="2880" w:type="dxa"/>
            <w:shd w:val="clear" w:color="auto" w:fill="1B6B4A"/>
          </w:tcPr>
          <w:p w14:paraId="1B36808B">
            <w:pPr>
              <w:spacing w:after="0" w:line="240" w:lineRule="auto"/>
            </w:pPr>
            <w:r>
              <w:rPr>
                <w:b/>
                <w:color w:val="FFFFFF"/>
                <w:sz w:val="20"/>
              </w:rPr>
              <w:t>技术选型</w:t>
            </w:r>
          </w:p>
        </w:tc>
        <w:tc>
          <w:tcPr>
            <w:tcW w:w="2880" w:type="dxa"/>
            <w:shd w:val="clear" w:color="auto" w:fill="1B6B4A"/>
          </w:tcPr>
          <w:p w14:paraId="4F32C9E8">
            <w:pPr>
              <w:spacing w:after="0" w:line="240" w:lineRule="auto"/>
            </w:pPr>
            <w:r>
              <w:rPr>
                <w:b/>
                <w:color w:val="FFFFFF"/>
                <w:sz w:val="20"/>
              </w:rPr>
              <w:t>说明</w:t>
            </w:r>
          </w:p>
        </w:tc>
      </w:tr>
      <w:tr w14:paraId="1A65D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A1EA818">
            <w:pPr>
              <w:spacing w:after="0" w:line="240" w:lineRule="auto"/>
            </w:pPr>
            <w:r>
              <w:rPr>
                <w:sz w:val="19"/>
              </w:rPr>
              <w:t>前端框架</w:t>
            </w:r>
          </w:p>
        </w:tc>
        <w:tc>
          <w:tcPr>
            <w:tcW w:w="2880" w:type="dxa"/>
          </w:tcPr>
          <w:p w14:paraId="34877B10">
            <w:pPr>
              <w:spacing w:after="0" w:line="240" w:lineRule="auto"/>
            </w:pPr>
            <w:r>
              <w:rPr>
                <w:sz w:val="19"/>
              </w:rPr>
              <w:t>Streamlit ≥1.38</w:t>
            </w:r>
          </w:p>
        </w:tc>
        <w:tc>
          <w:tcPr>
            <w:tcW w:w="2880" w:type="dxa"/>
          </w:tcPr>
          <w:p w14:paraId="35F4B0B1">
            <w:pPr>
              <w:spacing w:after="0" w:line="240" w:lineRule="auto"/>
            </w:pPr>
            <w:r>
              <w:rPr>
                <w:sz w:val="19"/>
              </w:rPr>
              <w:t>Python 原生 Web 框架，快速构建数据驱动的交互界面</w:t>
            </w:r>
          </w:p>
        </w:tc>
      </w:tr>
      <w:tr w14:paraId="45569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C9AD3EC">
            <w:pPr>
              <w:spacing w:after="0" w:line="240" w:lineRule="auto"/>
            </w:pPr>
            <w:r>
              <w:rPr>
                <w:sz w:val="19"/>
              </w:rPr>
              <w:t>编程语言</w:t>
            </w:r>
          </w:p>
        </w:tc>
        <w:tc>
          <w:tcPr>
            <w:tcW w:w="2880" w:type="dxa"/>
          </w:tcPr>
          <w:p w14:paraId="0ED0F60B">
            <w:pPr>
              <w:spacing w:after="0" w:line="240" w:lineRule="auto"/>
            </w:pPr>
            <w:r>
              <w:rPr>
                <w:sz w:val="19"/>
              </w:rPr>
              <w:t>Python 3.10+</w:t>
            </w:r>
          </w:p>
        </w:tc>
        <w:tc>
          <w:tcPr>
            <w:tcW w:w="2880" w:type="dxa"/>
          </w:tcPr>
          <w:p w14:paraId="3B911FFF">
            <w:pPr>
              <w:spacing w:after="0" w:line="240" w:lineRule="auto"/>
            </w:pPr>
            <w:r>
              <w:rPr>
                <w:sz w:val="19"/>
              </w:rPr>
              <w:t>生态完善，AI/ML 库丰富</w:t>
            </w:r>
          </w:p>
        </w:tc>
      </w:tr>
      <w:tr w14:paraId="34B96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52EBF2C">
            <w:pPr>
              <w:spacing w:after="0" w:line="240" w:lineRule="auto"/>
            </w:pPr>
            <w:r>
              <w:rPr>
                <w:sz w:val="19"/>
              </w:rPr>
              <w:t>关系存储</w:t>
            </w:r>
          </w:p>
        </w:tc>
        <w:tc>
          <w:tcPr>
            <w:tcW w:w="2880" w:type="dxa"/>
          </w:tcPr>
          <w:p w14:paraId="7475319E">
            <w:pPr>
              <w:spacing w:after="0" w:line="240" w:lineRule="auto"/>
            </w:pPr>
            <w:r>
              <w:rPr>
                <w:sz w:val="19"/>
              </w:rPr>
              <w:t>SQLite 3</w:t>
            </w:r>
          </w:p>
        </w:tc>
        <w:tc>
          <w:tcPr>
            <w:tcW w:w="2880" w:type="dxa"/>
          </w:tcPr>
          <w:p w14:paraId="10A67A79">
            <w:pPr>
              <w:spacing w:after="0" w:line="240" w:lineRule="auto"/>
            </w:pPr>
            <w:r>
              <w:rPr>
                <w:sz w:val="19"/>
              </w:rPr>
              <w:t>单文件嵌入式数据库，免安装运维</w:t>
            </w:r>
          </w:p>
        </w:tc>
      </w:tr>
      <w:tr w14:paraId="57E06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DCD594">
            <w:pPr>
              <w:spacing w:after="0" w:line="240" w:lineRule="auto"/>
            </w:pPr>
            <w:r>
              <w:rPr>
                <w:sz w:val="19"/>
              </w:rPr>
              <w:t>大模型接口</w:t>
            </w:r>
          </w:p>
        </w:tc>
        <w:tc>
          <w:tcPr>
            <w:tcW w:w="2880" w:type="dxa"/>
          </w:tcPr>
          <w:p w14:paraId="6C4E924D">
            <w:pPr>
              <w:spacing w:after="0" w:line="240" w:lineRule="auto"/>
            </w:pPr>
            <w:r>
              <w:rPr>
                <w:sz w:val="19"/>
              </w:rPr>
              <w:t>DeepSeek API（OpenAI 兼容）</w:t>
            </w:r>
          </w:p>
        </w:tc>
        <w:tc>
          <w:tcPr>
            <w:tcW w:w="2880" w:type="dxa"/>
          </w:tcPr>
          <w:p w14:paraId="73A68CB4">
            <w:pPr>
              <w:spacing w:after="0" w:line="240" w:lineRule="auto"/>
            </w:pPr>
            <w:r>
              <w:rPr>
                <w:sz w:val="19"/>
              </w:rPr>
              <w:t>通过 REST 调用，支持 deepseek-chat 模型</w:t>
            </w:r>
          </w:p>
        </w:tc>
      </w:tr>
      <w:tr w14:paraId="59159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D4D6F1E">
            <w:pPr>
              <w:spacing w:after="0" w:line="240" w:lineRule="auto"/>
            </w:pPr>
            <w:r>
              <w:rPr>
                <w:sz w:val="19"/>
              </w:rPr>
              <w:t>知识检索</w:t>
            </w:r>
          </w:p>
        </w:tc>
        <w:tc>
          <w:tcPr>
            <w:tcW w:w="2880" w:type="dxa"/>
          </w:tcPr>
          <w:p w14:paraId="653A78AA">
            <w:pPr>
              <w:spacing w:after="0" w:line="240" w:lineRule="auto"/>
            </w:pPr>
            <w:r>
              <w:rPr>
                <w:sz w:val="19"/>
              </w:rPr>
              <w:t>轻量 RAG（关键词重叠打分）</w:t>
            </w:r>
          </w:p>
        </w:tc>
        <w:tc>
          <w:tcPr>
            <w:tcW w:w="2880" w:type="dxa"/>
          </w:tcPr>
          <w:p w14:paraId="49D0EDD4">
            <w:pPr>
              <w:spacing w:after="0" w:line="240" w:lineRule="auto"/>
            </w:pPr>
            <w:r>
              <w:rPr>
                <w:sz w:val="19"/>
              </w:rPr>
              <w:t>无向量模型依赖，Markdown 段落级检索</w:t>
            </w:r>
          </w:p>
        </w:tc>
      </w:tr>
      <w:tr w14:paraId="064D1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130CC21">
            <w:pPr>
              <w:spacing w:after="0" w:line="240" w:lineRule="auto"/>
            </w:pPr>
            <w:r>
              <w:rPr>
                <w:sz w:val="19"/>
              </w:rPr>
              <w:t>可视化</w:t>
            </w:r>
          </w:p>
        </w:tc>
        <w:tc>
          <w:tcPr>
            <w:tcW w:w="2880" w:type="dxa"/>
          </w:tcPr>
          <w:p w14:paraId="22DA2403">
            <w:pPr>
              <w:spacing w:after="0" w:line="240" w:lineRule="auto"/>
            </w:pPr>
            <w:r>
              <w:rPr>
                <w:sz w:val="19"/>
              </w:rPr>
              <w:t>Plotly ≥5.18</w:t>
            </w:r>
          </w:p>
        </w:tc>
        <w:tc>
          <w:tcPr>
            <w:tcW w:w="2880" w:type="dxa"/>
          </w:tcPr>
          <w:p w14:paraId="02E7D5D9">
            <w:pPr>
              <w:spacing w:after="0" w:line="240" w:lineRule="auto"/>
            </w:pPr>
            <w:r>
              <w:rPr>
                <w:sz w:val="19"/>
              </w:rPr>
              <w:t>交互式图表：雷达图、柱状图、仪表盘、时间线</w:t>
            </w:r>
          </w:p>
        </w:tc>
      </w:tr>
      <w:tr w14:paraId="399D1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CDA8CE8">
            <w:pPr>
              <w:spacing w:after="0" w:line="240" w:lineRule="auto"/>
            </w:pPr>
            <w:r>
              <w:rPr>
                <w:sz w:val="19"/>
              </w:rPr>
              <w:t>PDF 解析</w:t>
            </w:r>
          </w:p>
        </w:tc>
        <w:tc>
          <w:tcPr>
            <w:tcW w:w="2880" w:type="dxa"/>
          </w:tcPr>
          <w:p w14:paraId="24A836F9">
            <w:pPr>
              <w:spacing w:after="0" w:line="240" w:lineRule="auto"/>
            </w:pPr>
            <w:r>
              <w:rPr>
                <w:sz w:val="19"/>
              </w:rPr>
              <w:t>pypdf ≥4.0</w:t>
            </w:r>
          </w:p>
        </w:tc>
        <w:tc>
          <w:tcPr>
            <w:tcW w:w="2880" w:type="dxa"/>
          </w:tcPr>
          <w:p w14:paraId="144AA757">
            <w:pPr>
              <w:spacing w:after="0" w:line="240" w:lineRule="auto"/>
            </w:pPr>
            <w:r>
              <w:rPr>
                <w:sz w:val="19"/>
              </w:rPr>
              <w:t>纯 Python PDF 文本提取</w:t>
            </w:r>
          </w:p>
        </w:tc>
      </w:tr>
      <w:tr w14:paraId="7156F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BD49BED">
            <w:pPr>
              <w:spacing w:after="0" w:line="240" w:lineRule="auto"/>
            </w:pPr>
            <w:r>
              <w:rPr>
                <w:sz w:val="19"/>
              </w:rPr>
              <w:t>数据处理</w:t>
            </w:r>
          </w:p>
        </w:tc>
        <w:tc>
          <w:tcPr>
            <w:tcW w:w="2880" w:type="dxa"/>
          </w:tcPr>
          <w:p w14:paraId="01B55A8F">
            <w:pPr>
              <w:spacing w:after="0" w:line="240" w:lineRule="auto"/>
            </w:pPr>
            <w:r>
              <w:rPr>
                <w:sz w:val="19"/>
              </w:rPr>
              <w:t>Pandas + NumPy</w:t>
            </w:r>
          </w:p>
        </w:tc>
        <w:tc>
          <w:tcPr>
            <w:tcW w:w="2880" w:type="dxa"/>
          </w:tcPr>
          <w:p w14:paraId="04071F6C">
            <w:pPr>
              <w:spacing w:after="0" w:line="240" w:lineRule="auto"/>
            </w:pPr>
            <w:r>
              <w:rPr>
                <w:sz w:val="19"/>
              </w:rPr>
              <w:t>时序数据处理与统计分析</w:t>
            </w:r>
          </w:p>
        </w:tc>
      </w:tr>
      <w:tr w14:paraId="4125F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AE5AACC">
            <w:pPr>
              <w:spacing w:after="0" w:line="240" w:lineRule="auto"/>
            </w:pPr>
            <w:r>
              <w:rPr>
                <w:sz w:val="19"/>
              </w:rPr>
              <w:t>环境管理</w:t>
            </w:r>
          </w:p>
        </w:tc>
        <w:tc>
          <w:tcPr>
            <w:tcW w:w="2880" w:type="dxa"/>
          </w:tcPr>
          <w:p w14:paraId="56B3B042">
            <w:pPr>
              <w:spacing w:after="0" w:line="240" w:lineRule="auto"/>
            </w:pPr>
            <w:r>
              <w:rPr>
                <w:sz w:val="19"/>
              </w:rPr>
              <w:t>python-dotenv</w:t>
            </w:r>
          </w:p>
        </w:tc>
        <w:tc>
          <w:tcPr>
            <w:tcW w:w="2880" w:type="dxa"/>
          </w:tcPr>
          <w:p w14:paraId="3193125D">
            <w:pPr>
              <w:spacing w:after="0" w:line="240" w:lineRule="auto"/>
            </w:pPr>
            <w:r>
              <w:rPr>
                <w:sz w:val="19"/>
              </w:rPr>
              <w:t>密钥安全管理，避免硬编码</w:t>
            </w:r>
          </w:p>
        </w:tc>
      </w:tr>
    </w:tbl>
    <w:p w14:paraId="0DD47837">
      <w:pPr>
        <w:pStyle w:val="4"/>
      </w:pPr>
      <w:r>
        <w:t>3.3  目录结构</w:t>
      </w:r>
    </w:p>
    <w:p w14:paraId="026F50D2">
      <w:r>
        <w:rPr>
          <w:rFonts w:ascii="Consolas" w:hAnsi="Consolas"/>
          <w:sz w:val="18"/>
        </w:rPr>
        <w:t>MedAi/</w:t>
      </w:r>
      <w:r>
        <w:rPr>
          <w:rFonts w:ascii="Consolas" w:hAnsi="Consolas"/>
          <w:sz w:val="18"/>
        </w:rPr>
        <w:br w:type="textWrapping"/>
      </w:r>
      <w:r>
        <w:rPr>
          <w:rFonts w:ascii="Consolas" w:hAnsi="Consolas"/>
          <w:sz w:val="18"/>
        </w:rPr>
        <w:t>├── app.py                    # Streamlit 主入口</w:t>
      </w:r>
      <w:r>
        <w:rPr>
          <w:rFonts w:ascii="Consolas" w:hAnsi="Consolas"/>
          <w:sz w:val="18"/>
        </w:rPr>
        <w:br w:type="textWrapping"/>
      </w:r>
      <w:r>
        <w:rPr>
          <w:rFonts w:ascii="Consolas" w:hAnsi="Consolas"/>
          <w:sz w:val="18"/>
        </w:rPr>
        <w:t>├── requirements.txt          # Python 依赖</w:t>
      </w:r>
      <w:r>
        <w:rPr>
          <w:rFonts w:ascii="Consolas" w:hAnsi="Consolas"/>
          <w:sz w:val="18"/>
        </w:rPr>
        <w:br w:type="textWrapping"/>
      </w:r>
      <w:r>
        <w:rPr>
          <w:rFonts w:ascii="Consolas" w:hAnsi="Consolas"/>
          <w:sz w:val="18"/>
        </w:rPr>
        <w:t>├── .env.example              # 环境变量模板</w:t>
      </w:r>
      <w:r>
        <w:rPr>
          <w:rFonts w:ascii="Consolas" w:hAnsi="Consolas"/>
          <w:sz w:val="18"/>
        </w:rPr>
        <w:br w:type="textWrapping"/>
      </w:r>
      <w:r>
        <w:rPr>
          <w:rFonts w:ascii="Consolas" w:hAnsi="Consolas"/>
          <w:sz w:val="18"/>
        </w:rPr>
        <w:t>├── .streamlit/config.toml    # Streamlit 主题与端口配置</w:t>
      </w:r>
      <w:r>
        <w:rPr>
          <w:rFonts w:ascii="Consolas" w:hAnsi="Consolas"/>
          <w:sz w:val="18"/>
        </w:rPr>
        <w:br w:type="textWrapping"/>
      </w:r>
      <w:r>
        <w:rPr>
          <w:rFonts w:ascii="Consolas" w:hAnsi="Consolas"/>
          <w:sz w:val="18"/>
        </w:rPr>
        <w:t>├── core/                     # 核心业务逻辑</w:t>
      </w:r>
      <w:r>
        <w:rPr>
          <w:rFonts w:ascii="Consolas" w:hAnsi="Consolas"/>
          <w:sz w:val="18"/>
        </w:rPr>
        <w:br w:type="textWrapping"/>
      </w:r>
      <w:r>
        <w:rPr>
          <w:rFonts w:ascii="Consolas" w:hAnsi="Consolas"/>
          <w:sz w:val="18"/>
        </w:rPr>
        <w:t>│   ├── __init__.py</w:t>
      </w:r>
      <w:r>
        <w:rPr>
          <w:rFonts w:ascii="Consolas" w:hAnsi="Consolas"/>
          <w:sz w:val="18"/>
        </w:rPr>
        <w:br w:type="textWrapping"/>
      </w:r>
      <w:r>
        <w:rPr>
          <w:rFonts w:ascii="Consolas" w:hAnsi="Consolas"/>
          <w:sz w:val="18"/>
        </w:rPr>
        <w:t>│   ├── db.py                 # SQLite 数据访问层</w:t>
      </w:r>
      <w:r>
        <w:rPr>
          <w:rFonts w:ascii="Consolas" w:hAnsi="Consolas"/>
          <w:sz w:val="18"/>
        </w:rPr>
        <w:br w:type="textWrapping"/>
      </w:r>
      <w:r>
        <w:rPr>
          <w:rFonts w:ascii="Consolas" w:hAnsi="Consolas"/>
          <w:sz w:val="18"/>
        </w:rPr>
        <w:t>│   ├── dashboard.py          # 总览页可视化引擎</w:t>
      </w:r>
      <w:r>
        <w:rPr>
          <w:rFonts w:ascii="Consolas" w:hAnsi="Consolas"/>
          <w:sz w:val="18"/>
        </w:rPr>
        <w:br w:type="textWrapping"/>
      </w:r>
      <w:r>
        <w:rPr>
          <w:rFonts w:ascii="Consolas" w:hAnsi="Consolas"/>
          <w:sz w:val="18"/>
        </w:rPr>
        <w:t>│   ├── health_score.py       # 综合健康评分引擎</w:t>
      </w:r>
      <w:r>
        <w:rPr>
          <w:rFonts w:ascii="Consolas" w:hAnsi="Consolas"/>
          <w:sz w:val="18"/>
        </w:rPr>
        <w:br w:type="textWrapping"/>
      </w:r>
      <w:r>
        <w:rPr>
          <w:rFonts w:ascii="Consolas" w:hAnsi="Consolas"/>
          <w:sz w:val="18"/>
        </w:rPr>
        <w:t>│   ├── validators.py         # 数据校验与审计日志</w:t>
      </w:r>
      <w:r>
        <w:rPr>
          <w:rFonts w:ascii="Consolas" w:hAnsi="Consolas"/>
          <w:sz w:val="18"/>
        </w:rPr>
        <w:br w:type="textWrapping"/>
      </w:r>
      <w:r>
        <w:rPr>
          <w:rFonts w:ascii="Consolas" w:hAnsi="Consolas"/>
          <w:sz w:val="18"/>
        </w:rPr>
        <w:t>│   ├── ingest_report.py      # 体检报告解析（PDF/TXT）</w:t>
      </w:r>
      <w:r>
        <w:rPr>
          <w:rFonts w:ascii="Consolas" w:hAnsi="Consolas"/>
          <w:sz w:val="18"/>
        </w:rPr>
        <w:br w:type="textWrapping"/>
      </w:r>
      <w:r>
        <w:rPr>
          <w:rFonts w:ascii="Consolas" w:hAnsi="Consolas"/>
          <w:sz w:val="18"/>
        </w:rPr>
        <w:t>│   ├── llm_client.py         # DeepSeek API 统一封装</w:t>
      </w:r>
      <w:r>
        <w:rPr>
          <w:rFonts w:ascii="Consolas" w:hAnsi="Consolas"/>
          <w:sz w:val="18"/>
        </w:rPr>
        <w:br w:type="textWrapping"/>
      </w:r>
      <w:r>
        <w:rPr>
          <w:rFonts w:ascii="Consolas" w:hAnsi="Consolas"/>
          <w:sz w:val="18"/>
        </w:rPr>
        <w:t>│   ├── rag.py                # 轻量 RAG 知识检索</w:t>
      </w:r>
      <w:r>
        <w:rPr>
          <w:rFonts w:ascii="Consolas" w:hAnsi="Consolas"/>
          <w:sz w:val="18"/>
        </w:rPr>
        <w:br w:type="textWrapping"/>
      </w:r>
      <w:r>
        <w:rPr>
          <w:rFonts w:ascii="Consolas" w:hAnsi="Consolas"/>
          <w:sz w:val="18"/>
        </w:rPr>
        <w:t>│   ├── recommend.py          # 营养学公式估算（BMR/TDEE）</w:t>
      </w:r>
      <w:r>
        <w:rPr>
          <w:rFonts w:ascii="Consolas" w:hAnsi="Consolas"/>
          <w:sz w:val="18"/>
        </w:rPr>
        <w:br w:type="textWrapping"/>
      </w:r>
      <w:r>
        <w:rPr>
          <w:rFonts w:ascii="Consolas" w:hAnsi="Consolas"/>
          <w:sz w:val="18"/>
        </w:rPr>
        <w:t>│   ├── recovery_path.py      # 专科康复阶段路径生成</w:t>
      </w:r>
      <w:r>
        <w:rPr>
          <w:rFonts w:ascii="Consolas" w:hAnsi="Consolas"/>
          <w:sz w:val="18"/>
        </w:rPr>
        <w:br w:type="textWrapping"/>
      </w:r>
      <w:r>
        <w:rPr>
          <w:rFonts w:ascii="Consolas" w:hAnsi="Consolas"/>
          <w:sz w:val="18"/>
        </w:rPr>
        <w:t>│   ├── rules.py              # 体征危急值规则引擎</w:t>
      </w:r>
      <w:r>
        <w:rPr>
          <w:rFonts w:ascii="Consolas" w:hAnsi="Consolas"/>
          <w:sz w:val="18"/>
        </w:rPr>
        <w:br w:type="textWrapping"/>
      </w:r>
      <w:r>
        <w:rPr>
          <w:rFonts w:ascii="Consolas" w:hAnsi="Consolas"/>
          <w:sz w:val="18"/>
        </w:rPr>
        <w:t>│   ├── ui_styles.py          # 全局 UI 样式系统</w:t>
      </w:r>
      <w:r>
        <w:rPr>
          <w:rFonts w:ascii="Consolas" w:hAnsi="Consolas"/>
          <w:sz w:val="18"/>
        </w:rPr>
        <w:br w:type="textWrapping"/>
      </w:r>
      <w:r>
        <w:rPr>
          <w:rFonts w:ascii="Consolas" w:hAnsi="Consolas"/>
          <w:sz w:val="18"/>
        </w:rPr>
        <w:t>│   └── vitals.py             # 体征序列生成与加载</w:t>
      </w:r>
      <w:r>
        <w:rPr>
          <w:rFonts w:ascii="Consolas" w:hAnsi="Consolas"/>
          <w:sz w:val="18"/>
        </w:rPr>
        <w:br w:type="textWrapping"/>
      </w:r>
      <w:r>
        <w:rPr>
          <w:rFonts w:ascii="Consolas" w:hAnsi="Consolas"/>
          <w:sz w:val="18"/>
        </w:rPr>
        <w:t>├── data/</w:t>
      </w:r>
      <w:r>
        <w:rPr>
          <w:rFonts w:ascii="Consolas" w:hAnsi="Consolas"/>
          <w:sz w:val="18"/>
        </w:rPr>
        <w:br w:type="textWrapping"/>
      </w:r>
      <w:r>
        <w:rPr>
          <w:rFonts w:ascii="Consolas" w:hAnsi="Consolas"/>
          <w:sz w:val="18"/>
        </w:rPr>
        <w:t>│   ├── knowledge/            # RAG 知识库（Markdown）</w:t>
      </w:r>
      <w:r>
        <w:rPr>
          <w:rFonts w:ascii="Consolas" w:hAnsi="Consolas"/>
          <w:sz w:val="18"/>
        </w:rPr>
        <w:br w:type="textWrapping"/>
      </w:r>
      <w:r>
        <w:rPr>
          <w:rFonts w:ascii="Consolas" w:hAnsi="Consolas"/>
          <w:sz w:val="18"/>
        </w:rPr>
        <w:t>│   └── samples/              # 示例数据文件</w:t>
      </w:r>
      <w:r>
        <w:rPr>
          <w:rFonts w:ascii="Consolas" w:hAnsi="Consolas"/>
          <w:sz w:val="18"/>
        </w:rPr>
        <w:br w:type="textWrapping"/>
      </w:r>
      <w:r>
        <w:rPr>
          <w:rFonts w:ascii="Consolas" w:hAnsi="Consolas"/>
          <w:sz w:val="18"/>
        </w:rPr>
        <w:t>└── Design/                   # 设计文档与架构图</w:t>
      </w:r>
      <w:r>
        <w:rPr>
          <w:rFonts w:ascii="Consolas" w:hAnsi="Consolas"/>
          <w:sz w:val="18"/>
        </w:rPr>
        <w:br w:type="textWrapping"/>
      </w:r>
    </w:p>
    <w:p w14:paraId="4958A9E7">
      <w:pPr>
        <w:pStyle w:val="3"/>
      </w:pPr>
      <w:r>
        <w:t>4  模块设计</w:t>
      </w:r>
    </w:p>
    <w:p w14:paraId="67223FD4">
      <w:pPr>
        <w:pStyle w:val="4"/>
      </w:pPr>
      <w:r>
        <w:t>4.1  智能档案模块（Smart Profiling）</w:t>
      </w:r>
    </w:p>
    <w:p w14:paraId="1AB09A85">
      <w:r>
        <w:t>智能档案模块负责用户健康信息的录入、存储与管理。模块包含以下子功能：</w:t>
      </w:r>
    </w:p>
    <w:p w14:paraId="0B8B8EB5">
      <w:pPr>
        <w:pStyle w:val="16"/>
      </w:pPr>
      <w:r>
        <w:t>基础体征录入：支持身高（cm）、体重（kg）、年龄、性别的表单输入，所有输入经过 validators.py 的范围校验（如身高 50-250 cm、体重 20-300 kg），校验失败时阻止写入并给出明确错误提示。</w:t>
      </w:r>
    </w:p>
    <w:p w14:paraId="4461DBE2">
      <w:pPr>
        <w:pStyle w:val="16"/>
      </w:pPr>
      <w:r>
        <w:t>饮食与运动偏好：用户可填写饮食忌口（如少油、不吃牛肉）和运动偏好（如膝关节不好避免跑跳），这些偏好将在明日规划中被引用，避免推荐不适宜的方案。</w:t>
      </w:r>
    </w:p>
    <w:p w14:paraId="788AD8A7">
      <w:pPr>
        <w:pStyle w:val="16"/>
      </w:pPr>
      <w:r>
        <w:t>病史记录：支持自由文本录入当前/既往病史，系统通过关键词匹配（如「高血压」「糖尿病」「术后」）自动切换总览页的康复阶段路径轨。</w:t>
      </w:r>
    </w:p>
    <w:p w14:paraId="19147FA6">
      <w:pPr>
        <w:pStyle w:val="16"/>
      </w:pPr>
      <w:r>
        <w:t>体检报告解析：支持 PDF/TXT 格式上传，ingest_report.py 通过正则表达式匹配 9 种常见检验项（ALT、AST、TBIL、CREA、GLU、TC、TG、HDL、LDL），自动提取数值并依据预设参考范围标记「偏高/偏低/正常」。</w:t>
      </w:r>
    </w:p>
    <w:p w14:paraId="34E16654">
      <w:pPr>
        <w:pStyle w:val="16"/>
      </w:pPr>
      <w:r>
        <w:t>紧急联系人管理：支持添加/删除紧急联系人（姓名+电话），在体征预警触发时展示通知文案（演示环境不发送真实通知）。</w:t>
      </w:r>
    </w:p>
    <w:p w14:paraId="3FC05690">
      <w:pPr>
        <w:pStyle w:val="16"/>
      </w:pPr>
      <w:r>
        <w:t>档案完整度追踪：health_score.py 计算 7 个核心字段的填写率，在总览页以进度条可视化展示，引导用户补全信息。</w:t>
      </w:r>
    </w:p>
    <w:p w14:paraId="7B3497EF">
      <w:pPr>
        <w:pStyle w:val="4"/>
      </w:pPr>
      <w:r>
        <w:t>4.2  综合健康评估模块（Health Scoring）</w:t>
      </w:r>
    </w:p>
    <w:p w14:paraId="26CC793D">
      <w:r>
        <w:t>本模块是 V2 版本新增的核心升级，实现多维度加权的综合健康指数计算。评分体系如下：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D8E1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B6B4A"/>
          </w:tcPr>
          <w:p w14:paraId="082A7343">
            <w:pPr>
              <w:spacing w:after="0" w:line="240" w:lineRule="auto"/>
            </w:pPr>
            <w:r>
              <w:rPr>
                <w:b/>
                <w:color w:val="FFFFFF"/>
                <w:sz w:val="20"/>
              </w:rPr>
              <w:t>评估维度</w:t>
            </w:r>
          </w:p>
        </w:tc>
        <w:tc>
          <w:tcPr>
            <w:tcW w:w="2160" w:type="dxa"/>
            <w:shd w:val="clear" w:color="auto" w:fill="1B6B4A"/>
          </w:tcPr>
          <w:p w14:paraId="678FE7B8">
            <w:pPr>
              <w:spacing w:after="0" w:line="240" w:lineRule="auto"/>
            </w:pPr>
            <w:r>
              <w:rPr>
                <w:b/>
                <w:color w:val="FFFFFF"/>
                <w:sz w:val="20"/>
              </w:rPr>
              <w:t>权重</w:t>
            </w:r>
          </w:p>
        </w:tc>
        <w:tc>
          <w:tcPr>
            <w:tcW w:w="2160" w:type="dxa"/>
            <w:shd w:val="clear" w:color="auto" w:fill="1B6B4A"/>
          </w:tcPr>
          <w:p w14:paraId="1B491C5F">
            <w:pPr>
              <w:spacing w:after="0" w:line="240" w:lineRule="auto"/>
            </w:pPr>
            <w:r>
              <w:rPr>
                <w:b/>
                <w:color w:val="FFFFFF"/>
                <w:sz w:val="20"/>
              </w:rPr>
              <w:t>数据来源</w:t>
            </w:r>
          </w:p>
        </w:tc>
        <w:tc>
          <w:tcPr>
            <w:tcW w:w="2160" w:type="dxa"/>
            <w:shd w:val="clear" w:color="auto" w:fill="1B6B4A"/>
          </w:tcPr>
          <w:p w14:paraId="1AB76F85">
            <w:pPr>
              <w:spacing w:after="0" w:line="240" w:lineRule="auto"/>
            </w:pPr>
            <w:r>
              <w:rPr>
                <w:b/>
                <w:color w:val="FFFFFF"/>
                <w:sz w:val="20"/>
              </w:rPr>
              <w:t>评分逻辑</w:t>
            </w:r>
          </w:p>
        </w:tc>
      </w:tr>
      <w:tr w14:paraId="14879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2AB1DC7">
            <w:pPr>
              <w:spacing w:after="0" w:line="240" w:lineRule="auto"/>
            </w:pPr>
            <w:r>
              <w:rPr>
                <w:sz w:val="19"/>
              </w:rPr>
              <w:t>BMI 体型</w:t>
            </w:r>
          </w:p>
        </w:tc>
        <w:tc>
          <w:tcPr>
            <w:tcW w:w="2160" w:type="dxa"/>
          </w:tcPr>
          <w:p w14:paraId="5754DCE2">
            <w:pPr>
              <w:spacing w:after="0" w:line="240" w:lineRule="auto"/>
            </w:pPr>
            <w:r>
              <w:rPr>
                <w:sz w:val="19"/>
              </w:rPr>
              <w:t>20%</w:t>
            </w:r>
          </w:p>
        </w:tc>
        <w:tc>
          <w:tcPr>
            <w:tcW w:w="2160" w:type="dxa"/>
          </w:tcPr>
          <w:p w14:paraId="5D033E76">
            <w:pPr>
              <w:spacing w:after="0" w:line="240" w:lineRule="auto"/>
            </w:pPr>
            <w:r>
              <w:rPr>
                <w:sz w:val="19"/>
              </w:rPr>
              <w:t>智能档案（身高/体重）</w:t>
            </w:r>
          </w:p>
        </w:tc>
        <w:tc>
          <w:tcPr>
            <w:tcW w:w="2160" w:type="dxa"/>
          </w:tcPr>
          <w:p w14:paraId="797B9E49">
            <w:pPr>
              <w:spacing w:after="0" w:line="240" w:lineRule="auto"/>
            </w:pPr>
            <w:r>
              <w:rPr>
                <w:sz w:val="19"/>
              </w:rPr>
              <w:t>18.5-24.0 正常范围得 95 分，超重/肥胖递减</w:t>
            </w:r>
          </w:p>
        </w:tc>
      </w:tr>
      <w:tr w14:paraId="009C9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9B6657F">
            <w:pPr>
              <w:spacing w:after="0" w:line="240" w:lineRule="auto"/>
            </w:pPr>
            <w:r>
              <w:rPr>
                <w:sz w:val="19"/>
              </w:rPr>
              <w:t>运动活力</w:t>
            </w:r>
          </w:p>
        </w:tc>
        <w:tc>
          <w:tcPr>
            <w:tcW w:w="2160" w:type="dxa"/>
          </w:tcPr>
          <w:p w14:paraId="61694226">
            <w:pPr>
              <w:spacing w:after="0" w:line="240" w:lineRule="auto"/>
            </w:pPr>
            <w:r>
              <w:rPr>
                <w:sz w:val="19"/>
              </w:rPr>
              <w:t>25%</w:t>
            </w:r>
          </w:p>
        </w:tc>
        <w:tc>
          <w:tcPr>
            <w:tcW w:w="2160" w:type="dxa"/>
          </w:tcPr>
          <w:p w14:paraId="4AADE3F9">
            <w:pPr>
              <w:spacing w:after="0" w:line="240" w:lineRule="auto"/>
            </w:pPr>
            <w:r>
              <w:rPr>
                <w:sz w:val="19"/>
              </w:rPr>
              <w:t>昨日回顾（步数/有氧/力量/睡眠）</w:t>
            </w:r>
          </w:p>
        </w:tc>
        <w:tc>
          <w:tcPr>
            <w:tcW w:w="2160" w:type="dxa"/>
          </w:tcPr>
          <w:p w14:paraId="0A72BA39">
            <w:pPr>
              <w:spacing w:after="0" w:line="240" w:lineRule="auto"/>
            </w:pPr>
            <w:r>
              <w:rPr>
                <w:sz w:val="19"/>
              </w:rPr>
              <w:t>步数、有氧时长、力量时长与睡眠质量综合</w:t>
            </w:r>
          </w:p>
        </w:tc>
      </w:tr>
      <w:tr w14:paraId="10165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723B1AD">
            <w:pPr>
              <w:spacing w:after="0" w:line="240" w:lineRule="auto"/>
            </w:pPr>
            <w:r>
              <w:rPr>
                <w:sz w:val="19"/>
              </w:rPr>
              <w:t>饮食均衡</w:t>
            </w:r>
          </w:p>
        </w:tc>
        <w:tc>
          <w:tcPr>
            <w:tcW w:w="2160" w:type="dxa"/>
          </w:tcPr>
          <w:p w14:paraId="5B82C4B2">
            <w:pPr>
              <w:spacing w:after="0" w:line="240" w:lineRule="auto"/>
            </w:pPr>
            <w:r>
              <w:rPr>
                <w:sz w:val="19"/>
              </w:rPr>
              <w:t>20%</w:t>
            </w:r>
          </w:p>
        </w:tc>
        <w:tc>
          <w:tcPr>
            <w:tcW w:w="2160" w:type="dxa"/>
          </w:tcPr>
          <w:p w14:paraId="5880409C">
            <w:pPr>
              <w:spacing w:after="0" w:line="240" w:lineRule="auto"/>
            </w:pPr>
            <w:r>
              <w:rPr>
                <w:sz w:val="19"/>
              </w:rPr>
              <w:t>昨日回顾（正餐/外食/饮食内容）</w:t>
            </w:r>
          </w:p>
        </w:tc>
        <w:tc>
          <w:tcPr>
            <w:tcW w:w="2160" w:type="dxa"/>
          </w:tcPr>
          <w:p w14:paraId="26BBD84B">
            <w:pPr>
              <w:spacing w:after="0" w:line="240" w:lineRule="auto"/>
            </w:pPr>
            <w:r>
              <w:rPr>
                <w:sz w:val="19"/>
              </w:rPr>
              <w:t>在家就餐、规律三餐得分高，外食比例高扣分</w:t>
            </w:r>
          </w:p>
        </w:tc>
      </w:tr>
      <w:tr w14:paraId="120C5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0965CD5">
            <w:pPr>
              <w:spacing w:after="0" w:line="240" w:lineRule="auto"/>
            </w:pPr>
            <w:r>
              <w:rPr>
                <w:sz w:val="19"/>
              </w:rPr>
              <w:t>体检关注</w:t>
            </w:r>
          </w:p>
        </w:tc>
        <w:tc>
          <w:tcPr>
            <w:tcW w:w="2160" w:type="dxa"/>
          </w:tcPr>
          <w:p w14:paraId="3D2D0E0D">
            <w:pPr>
              <w:spacing w:after="0" w:line="240" w:lineRule="auto"/>
            </w:pPr>
            <w:r>
              <w:rPr>
                <w:sz w:val="19"/>
              </w:rPr>
              <w:t>15%</w:t>
            </w:r>
          </w:p>
        </w:tc>
        <w:tc>
          <w:tcPr>
            <w:tcW w:w="2160" w:type="dxa"/>
          </w:tcPr>
          <w:p w14:paraId="6B7A5D5D">
            <w:pPr>
              <w:spacing w:after="0" w:line="240" w:lineRule="auto"/>
            </w:pPr>
            <w:r>
              <w:rPr>
                <w:sz w:val="19"/>
              </w:rPr>
              <w:t>检验摘要（异常项）</w:t>
            </w:r>
          </w:p>
        </w:tc>
        <w:tc>
          <w:tcPr>
            <w:tcW w:w="2160" w:type="dxa"/>
          </w:tcPr>
          <w:p w14:paraId="2F23F937">
            <w:pPr>
              <w:spacing w:after="0" w:line="240" w:lineRule="auto"/>
            </w:pPr>
            <w:r>
              <w:rPr>
                <w:sz w:val="19"/>
              </w:rPr>
              <w:t>有体检记录得 75 分基线，无记录 50 分</w:t>
            </w:r>
          </w:p>
        </w:tc>
      </w:tr>
      <w:tr w14:paraId="72659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7C0ED68">
            <w:pPr>
              <w:spacing w:after="0" w:line="240" w:lineRule="auto"/>
            </w:pPr>
            <w:r>
              <w:rPr>
                <w:sz w:val="19"/>
              </w:rPr>
              <w:t>档案完整</w:t>
            </w:r>
          </w:p>
        </w:tc>
        <w:tc>
          <w:tcPr>
            <w:tcW w:w="2160" w:type="dxa"/>
          </w:tcPr>
          <w:p w14:paraId="75E1858C">
            <w:pPr>
              <w:spacing w:after="0" w:line="240" w:lineRule="auto"/>
            </w:pPr>
            <w:r>
              <w:rPr>
                <w:sz w:val="19"/>
              </w:rPr>
              <w:t>20%</w:t>
            </w:r>
          </w:p>
        </w:tc>
        <w:tc>
          <w:tcPr>
            <w:tcW w:w="2160" w:type="dxa"/>
          </w:tcPr>
          <w:p w14:paraId="5BE6AD47">
            <w:pPr>
              <w:spacing w:after="0" w:line="240" w:lineRule="auto"/>
            </w:pPr>
            <w:r>
              <w:rPr>
                <w:sz w:val="19"/>
              </w:rPr>
              <w:t>智能档案（7 字段填写率）</w:t>
            </w:r>
          </w:p>
        </w:tc>
        <w:tc>
          <w:tcPr>
            <w:tcW w:w="2160" w:type="dxa"/>
          </w:tcPr>
          <w:p w14:paraId="25CDB856">
            <w:pPr>
              <w:spacing w:after="0" w:line="240" w:lineRule="auto"/>
            </w:pPr>
            <w:r>
              <w:rPr>
                <w:sz w:val="19"/>
              </w:rPr>
              <w:t>直接采用档案完整度百分比</w:t>
            </w:r>
          </w:p>
        </w:tc>
      </w:tr>
    </w:tbl>
    <w:p w14:paraId="2044DF64">
      <w:r>
        <w:t>评分结果通过 Plotly Gauge 仪表盘（0-100 分）与水平条形图（各维度明细）在总览页顶部展示，使用红/黄/绿三色分级（&lt;60 红色、60-75 黄色、&gt;75 绿色）直观传达健康状态。</w:t>
      </w:r>
    </w:p>
    <w:p w14:paraId="58682E50">
      <w:pPr>
        <w:pStyle w:val="4"/>
      </w:pPr>
      <w:r>
        <w:t>4.3  明日规划模块（Tomorrow Planner）</w:t>
      </w:r>
    </w:p>
    <w:p w14:paraId="5C4E70D1">
      <w:r>
        <w:t>明日规划模块是系统的核心智能功能，实现「昨日回顾 → 公式估算 → LLM 推理 → 明日方案」的闭环。</w:t>
      </w:r>
    </w:p>
    <w:p w14:paraId="1781AF46">
      <w:pPr>
        <w:pStyle w:val="16"/>
      </w:pPr>
      <w:r>
        <w:t>病情与体征自报：支持体温（℃）、血压（收缩压/舒张压 mmHg）、血糖（mmol/L）的数值录入，所有数值经过 validators.py 的合理范围校验与交叉校验（如收缩压必须高于舒张压）。</w:t>
      </w:r>
    </w:p>
    <w:p w14:paraId="22320871">
      <w:pPr>
        <w:pStyle w:val="16"/>
      </w:pPr>
      <w:r>
        <w:t>昨日活动回顾：通过步数（数字输入+滑块同步）、工作活动强度、有氧/无氧时长与类型、正餐顿数、外食比例、睡眠时长、久坐时长等多维度采集。</w:t>
      </w:r>
    </w:p>
    <w:p w14:paraId="6A5A1CA6">
      <w:pPr>
        <w:pStyle w:val="16"/>
      </w:pPr>
      <w:r>
        <w:t>营养学公式估算：recommend.py 采用 Mifflin-St Jeor 公式计算 BMR，乘以活动因子得到 TDEE，结合步数调整系数，输出蛋白质/脂肪/碳水化合物的参考克数。</w:t>
      </w:r>
    </w:p>
    <w:p w14:paraId="33C86E9E">
      <w:pPr>
        <w:pStyle w:val="16"/>
      </w:pPr>
      <w:r>
        <w:t>RAG 知识检索：rag.py 从 data/knowledge/ 目录加载 Markdown 知识片段，通过关键词重叠打分检索 Top-5 相关条目，注入大模型上下文。</w:t>
      </w:r>
    </w:p>
    <w:p w14:paraId="5F291885">
      <w:pPr>
        <w:pStyle w:val="16"/>
      </w:pPr>
      <w:r>
        <w:t>LLM 方案生成：llm_client.py 将个人档案、昨日回顾、公式参考 JSON 与知识库摘录组装为结构化 Prompt，调用 DeepSeek API 生成包含饮食、运动、步数与作息建议的明日方案。</w:t>
      </w:r>
    </w:p>
    <w:p w14:paraId="5DAD6DF3">
      <w:pPr>
        <w:pStyle w:val="4"/>
      </w:pPr>
      <w:r>
        <w:t>4.4  体征与预警模块（Vitals &amp; Alert）</w:t>
      </w:r>
    </w:p>
    <w:p w14:paraId="2828D5F8">
      <w:r>
        <w:t>本模块实现体征时序数据的可视化与规则引擎预警：</w:t>
      </w:r>
    </w:p>
    <w:p w14:paraId="51D97925">
      <w:pPr>
        <w:pStyle w:val="16"/>
      </w:pPr>
      <w:r>
        <w:t>数据来源：支持加载示例 CSV、生成平稳随机数据、注入指定类型异常（心动过速/过缓、低血氧、高血糖、高血压）。vitals.py 自动补齐缺失列（血压、血糖），统一为 5 指标时序。</w:t>
      </w:r>
    </w:p>
    <w:p w14:paraId="4FECA775">
      <w:pPr>
        <w:pStyle w:val="16"/>
      </w:pPr>
      <w:r>
        <w:t>可视化：用户可多选指标绘制折线图，数据表展示最近 15 条记录，列名中英文映射。</w:t>
      </w:r>
    </w:p>
    <w:p w14:paraId="441266B1">
      <w:pPr>
        <w:pStyle w:val="16"/>
      </w:pPr>
      <w:r>
        <w:t>规则引擎（rules.py）：采用滑动窗口（默认 5 点）检测连续越界。阈值设定：心率 &gt;140 或 &lt;45、血氧 &lt;90%、血压 &gt;180/110 mmHg、血糖 &gt;16.7 mmol/L。告警由规则确定性输出，不依赖 LLM 判断。</w:t>
      </w:r>
    </w:p>
    <w:p w14:paraId="15684598">
      <w:pPr>
        <w:pStyle w:val="16"/>
      </w:pPr>
      <w:r>
        <w:t>预警响应：触发时显示红色错误横幅与紧急联系人通知文案（演示环境），明确标注「演示规则，非真实急救判定」。</w:t>
      </w:r>
    </w:p>
    <w:p w14:paraId="1AF0A8F9">
      <w:pPr>
        <w:pStyle w:val="4"/>
      </w:pPr>
      <w:r>
        <w:t>4.5  AI 科普助手模块（Chat Assistant）</w:t>
      </w:r>
    </w:p>
    <w:p w14:paraId="410A43B4">
      <w:r>
        <w:t>AI 助手模块实现多轮对话式健康科普问答：</w:t>
      </w:r>
    </w:p>
    <w:p w14:paraId="1E96984B">
      <w:pPr>
        <w:pStyle w:val="16"/>
      </w:pPr>
      <w:r>
        <w:t>RAG 增强：每次用户提问前，rag.py 检索 Top-4 知识库片段，以「知识库摘录」形式注入系统提示词。</w:t>
      </w:r>
    </w:p>
    <w:p w14:paraId="605DF062">
      <w:pPr>
        <w:pStyle w:val="16"/>
      </w:pPr>
      <w:r>
        <w:t>安全约束：System Prompt 硬编码四条约束——不诊断、不开药、优先引用知识库、建议就医。</w:t>
      </w:r>
    </w:p>
    <w:p w14:paraId="081BC047">
      <w:pPr>
        <w:pStyle w:val="16"/>
      </w:pPr>
      <w:r>
        <w:t>离线兜底：当 DeepSeek API 不可用时，自动切换为规则化离线回复模板，确保系统可用性。</w:t>
      </w:r>
    </w:p>
    <w:p w14:paraId="44FB9063">
      <w:pPr>
        <w:pStyle w:val="16"/>
      </w:pPr>
      <w:r>
        <w:t>历史上下文：最近 10 轮对话注入 messages 列表，支持连续追问。</w:t>
      </w:r>
    </w:p>
    <w:p w14:paraId="2E562200">
      <w:pPr>
        <w:pStyle w:val="4"/>
      </w:pPr>
      <w:r>
        <w:t>4.6  数据校验与审计模块（Validators &amp; Audit）</w:t>
      </w:r>
    </w:p>
    <w:p w14:paraId="23EB04EE">
      <w:r>
        <w:t>V2 版本新增的数据治理模块，保障数据录入质量与操作可追溯性：</w:t>
      </w:r>
    </w:p>
    <w:p w14:paraId="20FCB1BC">
      <w:pPr>
        <w:pStyle w:val="16"/>
      </w:pPr>
      <w:r>
        <w:t>档案校验：身高、体重、年龄、性别的合理范围检查，超出范围阻止写入。</w:t>
      </w:r>
    </w:p>
    <w:p w14:paraId="079E0CD0">
      <w:pPr>
        <w:pStyle w:val="16"/>
      </w:pPr>
      <w:r>
        <w:t>体征校验：体温、血压、血糖的范围与交叉逻辑校验（如收缩压 &gt; 舒张压），并对临床警示值（如血糖 ≥16.7）发出额外提醒。</w:t>
      </w:r>
    </w:p>
    <w:p w14:paraId="291EB6DD">
      <w:pPr>
        <w:pStyle w:val="16"/>
      </w:pPr>
      <w:r>
        <w:t>审计日志：audit_log 表记录所有关键操作（保存档案、上传报告、同步回顾、AI 方案生成），包含操作名称、模块、详情 JSON 与 UTC 时间戳。</w:t>
      </w:r>
    </w:p>
    <w:p w14:paraId="3E276C95">
      <w:pPr>
        <w:pStyle w:val="16"/>
      </w:pPr>
      <w:r>
        <w:t>日志查阅：总览页底部的折叠区域展示最近 20 条审计记录，便于用户回溯操作历史。</w:t>
      </w:r>
    </w:p>
    <w:p w14:paraId="471225AE">
      <w:pPr>
        <w:pStyle w:val="4"/>
      </w:pPr>
      <w:r>
        <w:t>4.7  康复阶段路径模块（Recovery Path）</w:t>
      </w:r>
    </w:p>
    <w:p w14:paraId="520160E2">
      <w:r>
        <w:t>recovery_path.py 根据档案病史、检验异常与病情自报，动态生成专科化康复阶段时间线。系统支持 7 种路径轨：一般健康、高血压管理、糖尿病管理、术后康复、血脂管理、多病共存与慢病综合管理。每条路径包含 3-5 个阶段节点，每个节点提供标题、摘要与具体建议。当前推荐阶段由规则引擎根据自报数据信号（发热、高血糖、高血压等）与数据完整度综合推断。可视化采用 Plotly 横向时间线，支持用户点选切换节点。</w:t>
      </w:r>
    </w:p>
    <w:p w14:paraId="5ABED157">
      <w:pPr>
        <w:pStyle w:val="3"/>
      </w:pPr>
      <w:r>
        <w:t>5  UI 设计</w:t>
      </w:r>
    </w:p>
    <w:p w14:paraId="18C5649B">
      <w:pPr>
        <w:pStyle w:val="4"/>
      </w:pPr>
      <w:r>
        <w:t>5.1  设计理念</w:t>
      </w:r>
    </w:p>
    <w:p w14:paraId="4217CC9D">
      <w:r>
        <w:t>UI 设计遵循「Soft UI + 医疗绿」的 Wellness 风格，参考 UI/UX Pro Max 设计规范。核心原则：① WCAG 2.1 AA 级对比度（≥4.5:1）；② 150-300ms 微交互动效（hover 抬升 + 阴影加深）；③ 减少装饰噪音，信息层级清晰；④ 免责声明弱化但不失可读性。</w:t>
      </w:r>
    </w:p>
    <w:p w14:paraId="04316021">
      <w:pPr>
        <w:pStyle w:val="4"/>
      </w:pPr>
      <w:r>
        <w:t>5.2  色彩体系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5C2E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B6B4A"/>
          </w:tcPr>
          <w:p w14:paraId="684978FC">
            <w:pPr>
              <w:spacing w:after="0" w:line="240" w:lineRule="auto"/>
            </w:pPr>
            <w:r>
              <w:rPr>
                <w:b/>
                <w:color w:val="FFFFFF"/>
                <w:sz w:val="20"/>
              </w:rPr>
              <w:t>色彩变量</w:t>
            </w:r>
          </w:p>
        </w:tc>
        <w:tc>
          <w:tcPr>
            <w:tcW w:w="2880" w:type="dxa"/>
            <w:shd w:val="clear" w:color="auto" w:fill="1B6B4A"/>
          </w:tcPr>
          <w:p w14:paraId="503C28DA">
            <w:pPr>
              <w:spacing w:after="0" w:line="240" w:lineRule="auto"/>
            </w:pPr>
            <w:r>
              <w:rPr>
                <w:b/>
                <w:color w:val="FFFFFF"/>
                <w:sz w:val="20"/>
              </w:rPr>
              <w:t>色值</w:t>
            </w:r>
          </w:p>
        </w:tc>
        <w:tc>
          <w:tcPr>
            <w:tcW w:w="2880" w:type="dxa"/>
            <w:shd w:val="clear" w:color="auto" w:fill="1B6B4A"/>
          </w:tcPr>
          <w:p w14:paraId="5257A356">
            <w:pPr>
              <w:spacing w:after="0" w:line="240" w:lineRule="auto"/>
            </w:pPr>
            <w:r>
              <w:rPr>
                <w:b/>
                <w:color w:val="FFFFFF"/>
                <w:sz w:val="20"/>
              </w:rPr>
              <w:t>用途</w:t>
            </w:r>
          </w:p>
        </w:tc>
      </w:tr>
      <w:tr w14:paraId="6D032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EC2559E">
            <w:pPr>
              <w:spacing w:after="0" w:line="240" w:lineRule="auto"/>
            </w:pPr>
            <w:r>
              <w:rPr>
                <w:sz w:val="19"/>
              </w:rPr>
              <w:t>--hai-green-800（主色）</w:t>
            </w:r>
          </w:p>
        </w:tc>
        <w:tc>
          <w:tcPr>
            <w:tcW w:w="2880" w:type="dxa"/>
          </w:tcPr>
          <w:p w14:paraId="598FB002">
            <w:pPr>
              <w:spacing w:after="0" w:line="240" w:lineRule="auto"/>
            </w:pPr>
            <w:r>
              <w:rPr>
                <w:sz w:val="19"/>
              </w:rPr>
              <w:t>#14523a</w:t>
            </w:r>
          </w:p>
        </w:tc>
        <w:tc>
          <w:tcPr>
            <w:tcW w:w="2880" w:type="dxa"/>
          </w:tcPr>
          <w:p w14:paraId="4E807529">
            <w:pPr>
              <w:spacing w:after="0" w:line="240" w:lineRule="auto"/>
            </w:pPr>
            <w:r>
              <w:rPr>
                <w:sz w:val="19"/>
              </w:rPr>
              <w:t>标题、品牌、活跃态按钮</w:t>
            </w:r>
          </w:p>
        </w:tc>
      </w:tr>
      <w:tr w14:paraId="5C5CC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2D0C1B4">
            <w:pPr>
              <w:spacing w:after="0" w:line="240" w:lineRule="auto"/>
            </w:pPr>
            <w:r>
              <w:rPr>
                <w:sz w:val="19"/>
              </w:rPr>
              <w:t>--hai-green-700</w:t>
            </w:r>
          </w:p>
        </w:tc>
        <w:tc>
          <w:tcPr>
            <w:tcW w:w="2880" w:type="dxa"/>
          </w:tcPr>
          <w:p w14:paraId="28FDF1D8">
            <w:pPr>
              <w:spacing w:after="0" w:line="240" w:lineRule="auto"/>
            </w:pPr>
            <w:r>
              <w:rPr>
                <w:sz w:val="19"/>
              </w:rPr>
              <w:t>#1b6b4a</w:t>
            </w:r>
          </w:p>
        </w:tc>
        <w:tc>
          <w:tcPr>
            <w:tcW w:w="2880" w:type="dxa"/>
          </w:tcPr>
          <w:p w14:paraId="1D6487BA">
            <w:pPr>
              <w:spacing w:after="0" w:line="240" w:lineRule="auto"/>
            </w:pPr>
            <w:r>
              <w:rPr>
                <w:sz w:val="19"/>
              </w:rPr>
              <w:t>主强调色、图表主色</w:t>
            </w:r>
          </w:p>
        </w:tc>
      </w:tr>
      <w:tr w14:paraId="69B0D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954B8BD">
            <w:pPr>
              <w:spacing w:after="0" w:line="240" w:lineRule="auto"/>
            </w:pPr>
            <w:r>
              <w:rPr>
                <w:sz w:val="19"/>
              </w:rPr>
              <w:t>--hai-green-500</w:t>
            </w:r>
          </w:p>
        </w:tc>
        <w:tc>
          <w:tcPr>
            <w:tcW w:w="2880" w:type="dxa"/>
          </w:tcPr>
          <w:p w14:paraId="5C0BDC8E">
            <w:pPr>
              <w:spacing w:after="0" w:line="240" w:lineRule="auto"/>
            </w:pPr>
            <w:r>
              <w:rPr>
                <w:sz w:val="19"/>
              </w:rPr>
              <w:t>#2d8f63</w:t>
            </w:r>
          </w:p>
        </w:tc>
        <w:tc>
          <w:tcPr>
            <w:tcW w:w="2880" w:type="dxa"/>
          </w:tcPr>
          <w:p w14:paraId="2F526687">
            <w:pPr>
              <w:spacing w:after="0" w:line="240" w:lineRule="auto"/>
            </w:pPr>
            <w:r>
              <w:rPr>
                <w:sz w:val="19"/>
              </w:rPr>
              <w:t>Focus ring、次级按钮</w:t>
            </w:r>
          </w:p>
        </w:tc>
      </w:tr>
      <w:tr w14:paraId="4AC96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B855948">
            <w:pPr>
              <w:spacing w:after="0" w:line="240" w:lineRule="auto"/>
            </w:pPr>
            <w:r>
              <w:rPr>
                <w:sz w:val="19"/>
              </w:rPr>
              <w:t>--hai-green-50（背景）</w:t>
            </w:r>
          </w:p>
        </w:tc>
        <w:tc>
          <w:tcPr>
            <w:tcW w:w="2880" w:type="dxa"/>
          </w:tcPr>
          <w:p w14:paraId="036885D9">
            <w:pPr>
              <w:spacing w:after="0" w:line="240" w:lineRule="auto"/>
            </w:pPr>
            <w:r>
              <w:rPr>
                <w:sz w:val="19"/>
              </w:rPr>
              <w:t>#f0faf4</w:t>
            </w:r>
          </w:p>
        </w:tc>
        <w:tc>
          <w:tcPr>
            <w:tcW w:w="2880" w:type="dxa"/>
          </w:tcPr>
          <w:p w14:paraId="23BFA6BF">
            <w:pPr>
              <w:spacing w:after="0" w:line="240" w:lineRule="auto"/>
            </w:pPr>
            <w:r>
              <w:rPr>
                <w:sz w:val="19"/>
              </w:rPr>
              <w:t>全局页面背景</w:t>
            </w:r>
          </w:p>
        </w:tc>
      </w:tr>
      <w:tr w14:paraId="7982D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78D3016">
            <w:pPr>
              <w:spacing w:after="0" w:line="240" w:lineRule="auto"/>
            </w:pPr>
            <w:r>
              <w:rPr>
                <w:sz w:val="19"/>
              </w:rPr>
              <w:t>--hai-surface</w:t>
            </w:r>
          </w:p>
        </w:tc>
        <w:tc>
          <w:tcPr>
            <w:tcW w:w="2880" w:type="dxa"/>
          </w:tcPr>
          <w:p w14:paraId="3D9E4088">
            <w:pPr>
              <w:spacing w:after="0" w:line="240" w:lineRule="auto"/>
            </w:pPr>
            <w:r>
              <w:rPr>
                <w:sz w:val="19"/>
              </w:rPr>
              <w:t>#ffffff</w:t>
            </w:r>
          </w:p>
        </w:tc>
        <w:tc>
          <w:tcPr>
            <w:tcW w:w="2880" w:type="dxa"/>
          </w:tcPr>
          <w:p w14:paraId="28C2A4C1">
            <w:pPr>
              <w:spacing w:after="0" w:line="240" w:lineRule="auto"/>
            </w:pPr>
            <w:r>
              <w:rPr>
                <w:sz w:val="19"/>
              </w:rPr>
              <w:t>卡片、面板背景</w:t>
            </w:r>
          </w:p>
        </w:tc>
      </w:tr>
      <w:tr w14:paraId="3D869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0C8D347">
            <w:pPr>
              <w:spacing w:after="0" w:line="240" w:lineRule="auto"/>
            </w:pPr>
            <w:r>
              <w:rPr>
                <w:sz w:val="19"/>
              </w:rPr>
              <w:t>--hai-muted</w:t>
            </w:r>
          </w:p>
        </w:tc>
        <w:tc>
          <w:tcPr>
            <w:tcW w:w="2880" w:type="dxa"/>
          </w:tcPr>
          <w:p w14:paraId="73773F80">
            <w:pPr>
              <w:spacing w:after="0" w:line="240" w:lineRule="auto"/>
            </w:pPr>
            <w:r>
              <w:rPr>
                <w:sz w:val="19"/>
              </w:rPr>
              <w:t>#5c6f66</w:t>
            </w:r>
          </w:p>
        </w:tc>
        <w:tc>
          <w:tcPr>
            <w:tcW w:w="2880" w:type="dxa"/>
          </w:tcPr>
          <w:p w14:paraId="50D7EF1E">
            <w:pPr>
              <w:spacing w:after="0" w:line="240" w:lineRule="auto"/>
            </w:pPr>
            <w:r>
              <w:rPr>
                <w:sz w:val="19"/>
              </w:rPr>
              <w:t>辅助文字、图表标签</w:t>
            </w:r>
          </w:p>
        </w:tc>
      </w:tr>
      <w:tr w14:paraId="57272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7FB8EBC">
            <w:pPr>
              <w:spacing w:after="0" w:line="240" w:lineRule="auto"/>
            </w:pPr>
            <w:r>
              <w:rPr>
                <w:sz w:val="19"/>
              </w:rPr>
              <w:t>警告黄</w:t>
            </w:r>
          </w:p>
        </w:tc>
        <w:tc>
          <w:tcPr>
            <w:tcW w:w="2880" w:type="dxa"/>
          </w:tcPr>
          <w:p w14:paraId="28B0DC31">
            <w:pPr>
              <w:spacing w:after="0" w:line="240" w:lineRule="auto"/>
            </w:pPr>
            <w:r>
              <w:rPr>
                <w:sz w:val="19"/>
              </w:rPr>
              <w:t>#c9a227</w:t>
            </w:r>
          </w:p>
        </w:tc>
        <w:tc>
          <w:tcPr>
            <w:tcW w:w="2880" w:type="dxa"/>
          </w:tcPr>
          <w:p w14:paraId="37DEEB18">
            <w:pPr>
              <w:spacing w:after="0" w:line="240" w:lineRule="auto"/>
            </w:pPr>
            <w:r>
              <w:rPr>
                <w:sz w:val="19"/>
              </w:rPr>
              <w:t>中等风险指标</w:t>
            </w:r>
          </w:p>
        </w:tc>
      </w:tr>
      <w:tr w14:paraId="75680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C1B2696">
            <w:pPr>
              <w:spacing w:after="0" w:line="240" w:lineRule="auto"/>
            </w:pPr>
            <w:r>
              <w:rPr>
                <w:sz w:val="19"/>
              </w:rPr>
              <w:t>危险红</w:t>
            </w:r>
          </w:p>
        </w:tc>
        <w:tc>
          <w:tcPr>
            <w:tcW w:w="2880" w:type="dxa"/>
          </w:tcPr>
          <w:p w14:paraId="13CFF8A5">
            <w:pPr>
              <w:spacing w:after="0" w:line="240" w:lineRule="auto"/>
            </w:pPr>
            <w:r>
              <w:rPr>
                <w:sz w:val="19"/>
              </w:rPr>
              <w:t>#c0392b</w:t>
            </w:r>
          </w:p>
        </w:tc>
        <w:tc>
          <w:tcPr>
            <w:tcW w:w="2880" w:type="dxa"/>
          </w:tcPr>
          <w:p w14:paraId="719FD143">
            <w:pPr>
              <w:spacing w:after="0" w:line="240" w:lineRule="auto"/>
            </w:pPr>
            <w:r>
              <w:rPr>
                <w:sz w:val="19"/>
              </w:rPr>
              <w:t>高风险指标、错误提示</w:t>
            </w:r>
          </w:p>
        </w:tc>
      </w:tr>
    </w:tbl>
    <w:p w14:paraId="1258D1ED">
      <w:pPr>
        <w:pStyle w:val="4"/>
      </w:pPr>
      <w:r>
        <w:t>5.3  组件规范</w:t>
      </w:r>
    </w:p>
    <w:p w14:paraId="246F6B7C">
      <w:pPr>
        <w:pStyle w:val="16"/>
      </w:pPr>
      <w:r>
        <w:t>圆角体系：卡片 14px，大面板 18px，按钮 10px，徽章 999px（胶囊形）。</w:t>
      </w:r>
    </w:p>
    <w:p w14:paraId="1E4EDE46">
      <w:pPr>
        <w:pStyle w:val="16"/>
      </w:pPr>
      <w:r>
        <w:t>阴影层级：sm（1px 2px 5%）用于静态卡片，md（4px 20px 7%）用于 hover 态与浮层。</w:t>
      </w:r>
    </w:p>
    <w:p w14:paraId="17741168">
      <w:pPr>
        <w:pStyle w:val="16"/>
      </w:pPr>
      <w:r>
        <w:t>动效规范：统一 220ms cubic-bezier(0.25, 0.1, 0.25, 1)，hover 抬升 translateY(-1px ~ -2px)。</w:t>
      </w:r>
    </w:p>
    <w:p w14:paraId="5D830512">
      <w:pPr>
        <w:pStyle w:val="16"/>
      </w:pPr>
      <w:r>
        <w:t>字体栈：中文优先 Microsoft YaHei / PingFang SC / Noto Sans SC，西文 DM Sans，回退 sans-serif。</w:t>
      </w:r>
    </w:p>
    <w:p w14:paraId="42103843">
      <w:pPr>
        <w:pStyle w:val="16"/>
      </w:pPr>
      <w:r>
        <w:t>指标卡片网格：auto-fit 响应式布局（minmax 180px），支持 label/value/sub 三级信息层。</w:t>
      </w:r>
    </w:p>
    <w:p w14:paraId="43EFA332">
      <w:pPr>
        <w:pStyle w:val="4"/>
      </w:pPr>
      <w:r>
        <w:t>5.4  页面布局</w:t>
      </w:r>
    </w:p>
    <w:p w14:paraId="0A9B2EE7">
      <w:r>
        <w:t>系统采用侧栏导航 + 主内容区的经典后台布局。侧栏展示品牌标识（嗨 Hai · 全周期健康助手）与 5 个全宽导航按钮（Material 图标 + 文字）。主内容区宽度限制 1280px，顶部为页面标题与副标题。总览页布局层级为：指标卡片网格 → 档案完整度进度条 → 健康仪表盘/维度柱图 → 饮食雷达/运动柱图 → 康复阶段时间线 → 审计日志。</w:t>
      </w:r>
    </w:p>
    <w:p w14:paraId="26C9EE0A">
      <w:pPr>
        <w:pStyle w:val="3"/>
      </w:pPr>
      <w:r>
        <w:t>6  软件接口设计</w:t>
      </w:r>
    </w:p>
    <w:p w14:paraId="4632B08A">
      <w:pPr>
        <w:pStyle w:val="4"/>
      </w:pPr>
      <w:r>
        <w:t>6.1  DeepSeek API 接口</w:t>
      </w:r>
    </w:p>
    <w:p w14:paraId="3449C15A">
      <w:r>
        <w:t>系统通过 HTTP POST 调用 DeepSeek 的 OpenAI 兼容接口（/v1/chat/completions），密钥从 .env 文件读取（DEEPSEEK_API_KEY），绝不硬编码于代码库。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C20B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B6B4A"/>
          </w:tcPr>
          <w:p w14:paraId="73830A23">
            <w:pPr>
              <w:spacing w:after="0" w:line="240" w:lineRule="auto"/>
            </w:pPr>
            <w:r>
              <w:rPr>
                <w:b/>
                <w:color w:val="FFFFFF"/>
                <w:sz w:val="20"/>
              </w:rPr>
              <w:t>参数</w:t>
            </w:r>
          </w:p>
        </w:tc>
        <w:tc>
          <w:tcPr>
            <w:tcW w:w="2880" w:type="dxa"/>
            <w:shd w:val="clear" w:color="auto" w:fill="1B6B4A"/>
          </w:tcPr>
          <w:p w14:paraId="7782E394">
            <w:pPr>
              <w:spacing w:after="0" w:line="240" w:lineRule="auto"/>
            </w:pPr>
            <w:r>
              <w:rPr>
                <w:b/>
                <w:color w:val="FFFFFF"/>
                <w:sz w:val="20"/>
              </w:rPr>
              <w:t>类型</w:t>
            </w:r>
          </w:p>
        </w:tc>
        <w:tc>
          <w:tcPr>
            <w:tcW w:w="2880" w:type="dxa"/>
            <w:shd w:val="clear" w:color="auto" w:fill="1B6B4A"/>
          </w:tcPr>
          <w:p w14:paraId="5EC93887">
            <w:pPr>
              <w:spacing w:after="0" w:line="240" w:lineRule="auto"/>
            </w:pPr>
            <w:r>
              <w:rPr>
                <w:b/>
                <w:color w:val="FFFFFF"/>
                <w:sz w:val="20"/>
              </w:rPr>
              <w:t>说明</w:t>
            </w:r>
          </w:p>
        </w:tc>
      </w:tr>
      <w:tr w14:paraId="6F29C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B5A25EE">
            <w:pPr>
              <w:spacing w:after="0" w:line="240" w:lineRule="auto"/>
            </w:pPr>
            <w:r>
              <w:rPr>
                <w:sz w:val="19"/>
              </w:rPr>
              <w:t>model</w:t>
            </w:r>
          </w:p>
        </w:tc>
        <w:tc>
          <w:tcPr>
            <w:tcW w:w="2880" w:type="dxa"/>
          </w:tcPr>
          <w:p w14:paraId="0CB7B1FC">
            <w:pPr>
              <w:spacing w:after="0" w:line="240" w:lineRule="auto"/>
            </w:pPr>
            <w:r>
              <w:rPr>
                <w:sz w:val="19"/>
              </w:rPr>
              <w:t>string</w:t>
            </w:r>
          </w:p>
        </w:tc>
        <w:tc>
          <w:tcPr>
            <w:tcW w:w="2880" w:type="dxa"/>
          </w:tcPr>
          <w:p w14:paraId="3B12FB87">
            <w:pPr>
              <w:spacing w:after="0" w:line="240" w:lineRule="auto"/>
            </w:pPr>
            <w:r>
              <w:rPr>
                <w:sz w:val="19"/>
              </w:rPr>
              <w:t>模型标识，默认 deepseek-chat</w:t>
            </w:r>
          </w:p>
        </w:tc>
      </w:tr>
      <w:tr w14:paraId="08123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CE491F3">
            <w:pPr>
              <w:spacing w:after="0" w:line="240" w:lineRule="auto"/>
            </w:pPr>
            <w:r>
              <w:rPr>
                <w:sz w:val="19"/>
              </w:rPr>
              <w:t>messages</w:t>
            </w:r>
          </w:p>
        </w:tc>
        <w:tc>
          <w:tcPr>
            <w:tcW w:w="2880" w:type="dxa"/>
          </w:tcPr>
          <w:p w14:paraId="0D2834F8">
            <w:pPr>
              <w:spacing w:after="0" w:line="240" w:lineRule="auto"/>
            </w:pPr>
            <w:r>
              <w:rPr>
                <w:sz w:val="19"/>
              </w:rPr>
              <w:t>array</w:t>
            </w:r>
          </w:p>
        </w:tc>
        <w:tc>
          <w:tcPr>
            <w:tcW w:w="2880" w:type="dxa"/>
          </w:tcPr>
          <w:p w14:paraId="57577D51">
            <w:pPr>
              <w:spacing w:after="0" w:line="240" w:lineRule="auto"/>
            </w:pPr>
            <w:r>
              <w:rPr>
                <w:sz w:val="19"/>
              </w:rPr>
              <w:t>对话消息列表（system + user + assistant）</w:t>
            </w:r>
          </w:p>
        </w:tc>
      </w:tr>
      <w:tr w14:paraId="5C697E20">
        <w:tblPrEx>
          <w:tblCellMar>
            <w:top w:w="0" w:type="dxa"/>
            <w:left w:w="108" w:type="dxa"/>
            <w:bottom w:w="0" w:type="dxa"/>
            <w:right w:w="108" w:type="dxa"/>
          </w:tblCellMar>
        </w:tblPrEx>
        <w:trPr>
          <w:jc w:val="center"/>
        </w:trPr>
        <w:tc>
          <w:tcPr>
            <w:tcW w:w="2880" w:type="dxa"/>
          </w:tcPr>
          <w:p w14:paraId="7D625B28">
            <w:pPr>
              <w:spacing w:after="0" w:line="240" w:lineRule="auto"/>
            </w:pPr>
            <w:r>
              <w:rPr>
                <w:sz w:val="19"/>
              </w:rPr>
              <w:t>temperature</w:t>
            </w:r>
          </w:p>
        </w:tc>
        <w:tc>
          <w:tcPr>
            <w:tcW w:w="2880" w:type="dxa"/>
          </w:tcPr>
          <w:p w14:paraId="5178F1E5">
            <w:pPr>
              <w:spacing w:after="0" w:line="240" w:lineRule="auto"/>
            </w:pPr>
            <w:r>
              <w:rPr>
                <w:sz w:val="19"/>
              </w:rPr>
              <w:t>float</w:t>
            </w:r>
          </w:p>
        </w:tc>
        <w:tc>
          <w:tcPr>
            <w:tcW w:w="2880" w:type="dxa"/>
          </w:tcPr>
          <w:p w14:paraId="12CBB29D">
            <w:pPr>
              <w:spacing w:after="0" w:line="240" w:lineRule="auto"/>
            </w:pPr>
            <w:r>
              <w:rPr>
                <w:sz w:val="19"/>
              </w:rPr>
              <w:t>生成随机性，默认 0.6（兼顾创造力与稳定性）</w:t>
            </w:r>
          </w:p>
        </w:tc>
      </w:tr>
      <w:tr w14:paraId="79FE6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730E474">
            <w:pPr>
              <w:spacing w:after="0" w:line="240" w:lineRule="auto"/>
            </w:pPr>
            <w:r>
              <w:rPr>
                <w:sz w:val="19"/>
              </w:rPr>
              <w:t>timeout</w:t>
            </w:r>
          </w:p>
        </w:tc>
        <w:tc>
          <w:tcPr>
            <w:tcW w:w="2880" w:type="dxa"/>
          </w:tcPr>
          <w:p w14:paraId="207B7568">
            <w:pPr>
              <w:spacing w:after="0" w:line="240" w:lineRule="auto"/>
            </w:pPr>
            <w:r>
              <w:rPr>
                <w:sz w:val="19"/>
              </w:rPr>
              <w:t>int</w:t>
            </w:r>
          </w:p>
        </w:tc>
        <w:tc>
          <w:tcPr>
            <w:tcW w:w="2880" w:type="dxa"/>
          </w:tcPr>
          <w:p w14:paraId="79E1001D">
            <w:pPr>
              <w:spacing w:after="0" w:line="240" w:lineRule="auto"/>
            </w:pPr>
            <w:r>
              <w:rPr>
                <w:sz w:val="19"/>
              </w:rPr>
              <w:t>请求超时 120 秒</w:t>
            </w:r>
          </w:p>
        </w:tc>
      </w:tr>
    </w:tbl>
    <w:p w14:paraId="3BDBF068">
      <w:pPr>
        <w:pStyle w:val="4"/>
      </w:pPr>
      <w:r>
        <w:t>6.2  内部模块接口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2791"/>
        <w:gridCol w:w="1015"/>
        <w:gridCol w:w="3413"/>
      </w:tblGrid>
      <w:tr w14:paraId="3332A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B6B4A"/>
          </w:tcPr>
          <w:p w14:paraId="63EC3886">
            <w:pPr>
              <w:spacing w:after="0" w:line="240" w:lineRule="auto"/>
            </w:pPr>
            <w:r>
              <w:rPr>
                <w:b/>
                <w:color w:val="FFFFFF"/>
                <w:sz w:val="20"/>
              </w:rPr>
              <w:t>模块</w:t>
            </w:r>
          </w:p>
        </w:tc>
        <w:tc>
          <w:tcPr>
            <w:tcW w:w="2160" w:type="dxa"/>
            <w:shd w:val="clear" w:color="auto" w:fill="1B6B4A"/>
          </w:tcPr>
          <w:p w14:paraId="6B9B6D04">
            <w:pPr>
              <w:spacing w:after="0" w:line="240" w:lineRule="auto"/>
            </w:pPr>
            <w:r>
              <w:rPr>
                <w:b/>
                <w:color w:val="FFFFFF"/>
                <w:sz w:val="20"/>
              </w:rPr>
              <w:t>核心函数</w:t>
            </w:r>
          </w:p>
        </w:tc>
        <w:tc>
          <w:tcPr>
            <w:tcW w:w="2160" w:type="dxa"/>
            <w:shd w:val="clear" w:color="auto" w:fill="1B6B4A"/>
          </w:tcPr>
          <w:p w14:paraId="6F89C0DD">
            <w:pPr>
              <w:spacing w:after="0" w:line="240" w:lineRule="auto"/>
            </w:pPr>
            <w:r>
              <w:rPr>
                <w:b/>
                <w:color w:val="FFFFFF"/>
                <w:sz w:val="20"/>
              </w:rPr>
              <w:t>输入</w:t>
            </w:r>
          </w:p>
        </w:tc>
        <w:tc>
          <w:tcPr>
            <w:tcW w:w="2160" w:type="dxa"/>
            <w:shd w:val="clear" w:color="auto" w:fill="1B6B4A"/>
          </w:tcPr>
          <w:p w14:paraId="0A2B77E4">
            <w:pPr>
              <w:spacing w:after="0" w:line="240" w:lineRule="auto"/>
            </w:pPr>
            <w:r>
              <w:rPr>
                <w:b/>
                <w:color w:val="FFFFFF"/>
                <w:sz w:val="20"/>
              </w:rPr>
              <w:t>输出</w:t>
            </w:r>
          </w:p>
        </w:tc>
      </w:tr>
      <w:tr w14:paraId="21052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AB56566">
            <w:pPr>
              <w:spacing w:after="0" w:line="240" w:lineRule="auto"/>
            </w:pPr>
            <w:r>
              <w:rPr>
                <w:sz w:val="19"/>
              </w:rPr>
              <w:t>db.py</w:t>
            </w:r>
          </w:p>
        </w:tc>
        <w:tc>
          <w:tcPr>
            <w:tcW w:w="2160" w:type="dxa"/>
          </w:tcPr>
          <w:p w14:paraId="3860E63A">
            <w:pPr>
              <w:spacing w:after="0" w:line="240" w:lineRule="auto"/>
            </w:pPr>
            <w:r>
              <w:rPr>
                <w:sz w:val="19"/>
              </w:rPr>
              <w:t>upsert_profile()</w:t>
            </w:r>
          </w:p>
        </w:tc>
        <w:tc>
          <w:tcPr>
            <w:tcW w:w="2160" w:type="dxa"/>
          </w:tcPr>
          <w:p w14:paraId="45FB9479">
            <w:pPr>
              <w:spacing w:after="0" w:line="240" w:lineRule="auto"/>
            </w:pPr>
            <w:r>
              <w:rPr>
                <w:sz w:val="19"/>
              </w:rPr>
              <w:t>身高/体重/年龄等字段</w:t>
            </w:r>
          </w:p>
        </w:tc>
        <w:tc>
          <w:tcPr>
            <w:tcW w:w="2160" w:type="dxa"/>
          </w:tcPr>
          <w:p w14:paraId="21289E4F">
            <w:pPr>
              <w:spacing w:after="0" w:line="240" w:lineRule="auto"/>
            </w:pPr>
            <w:r>
              <w:rPr>
                <w:sz w:val="19"/>
              </w:rPr>
              <w:t>写入 SQLite profile 表</w:t>
            </w:r>
          </w:p>
        </w:tc>
      </w:tr>
      <w:tr w14:paraId="2569E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54EB8CC">
            <w:pPr>
              <w:spacing w:after="0" w:line="240" w:lineRule="auto"/>
            </w:pPr>
            <w:r>
              <w:rPr>
                <w:sz w:val="19"/>
              </w:rPr>
              <w:t>db.py</w:t>
            </w:r>
          </w:p>
        </w:tc>
        <w:tc>
          <w:tcPr>
            <w:tcW w:w="2160" w:type="dxa"/>
          </w:tcPr>
          <w:p w14:paraId="393D85E7">
            <w:pPr>
              <w:spacing w:after="0" w:line="240" w:lineRule="auto"/>
            </w:pPr>
            <w:r>
              <w:rPr>
                <w:sz w:val="19"/>
              </w:rPr>
              <w:t>insert_lab_report()</w:t>
            </w:r>
          </w:p>
        </w:tc>
        <w:tc>
          <w:tcPr>
            <w:tcW w:w="2160" w:type="dxa"/>
          </w:tcPr>
          <w:p w14:paraId="7851B7DF">
            <w:pPr>
              <w:spacing w:after="0" w:line="240" w:lineRule="auto"/>
            </w:pPr>
            <w:r>
              <w:rPr>
                <w:sz w:val="19"/>
              </w:rPr>
              <w:t>文件名/结构化 JSON</w:t>
            </w:r>
          </w:p>
        </w:tc>
        <w:tc>
          <w:tcPr>
            <w:tcW w:w="2160" w:type="dxa"/>
          </w:tcPr>
          <w:p w14:paraId="624F4991">
            <w:pPr>
              <w:spacing w:after="0" w:line="240" w:lineRule="auto"/>
            </w:pPr>
            <w:r>
              <w:rPr>
                <w:sz w:val="19"/>
              </w:rPr>
              <w:t>返回记录 ID</w:t>
            </w:r>
          </w:p>
        </w:tc>
      </w:tr>
      <w:tr w14:paraId="27FC4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58B2166">
            <w:pPr>
              <w:spacing w:after="0" w:line="240" w:lineRule="auto"/>
            </w:pPr>
            <w:r>
              <w:rPr>
                <w:sz w:val="19"/>
              </w:rPr>
              <w:t>health_score.py</w:t>
            </w:r>
          </w:p>
        </w:tc>
        <w:tc>
          <w:tcPr>
            <w:tcW w:w="2160" w:type="dxa"/>
          </w:tcPr>
          <w:p w14:paraId="59CFA858">
            <w:pPr>
              <w:spacing w:after="0" w:line="240" w:lineRule="auto"/>
            </w:pPr>
            <w:r>
              <w:rPr>
                <w:sz w:val="19"/>
              </w:rPr>
              <w:t>compute_health_index()</w:t>
            </w:r>
          </w:p>
        </w:tc>
        <w:tc>
          <w:tcPr>
            <w:tcW w:w="2160" w:type="dxa"/>
          </w:tcPr>
          <w:p w14:paraId="5C742389">
            <w:pPr>
              <w:spacing w:after="0" w:line="240" w:lineRule="auto"/>
            </w:pPr>
            <w:r>
              <w:rPr>
                <w:sz w:val="19"/>
              </w:rPr>
              <w:t>档案/昨日回顾/体检/预警</w:t>
            </w:r>
          </w:p>
        </w:tc>
        <w:tc>
          <w:tcPr>
            <w:tcW w:w="2160" w:type="dxa"/>
          </w:tcPr>
          <w:p w14:paraId="03D9E53D">
            <w:pPr>
              <w:spacing w:after="0" w:line="240" w:lineRule="auto"/>
            </w:pPr>
            <w:r>
              <w:rPr>
                <w:sz w:val="19"/>
              </w:rPr>
              <w:t>总分 + 各维度分数</w:t>
            </w:r>
          </w:p>
        </w:tc>
      </w:tr>
      <w:tr w14:paraId="4FF33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E1010D7">
            <w:pPr>
              <w:spacing w:after="0" w:line="240" w:lineRule="auto"/>
            </w:pPr>
            <w:r>
              <w:rPr>
                <w:sz w:val="19"/>
              </w:rPr>
              <w:t>validators.py</w:t>
            </w:r>
          </w:p>
        </w:tc>
        <w:tc>
          <w:tcPr>
            <w:tcW w:w="2160" w:type="dxa"/>
          </w:tcPr>
          <w:p w14:paraId="3C79DDBC">
            <w:pPr>
              <w:spacing w:after="0" w:line="240" w:lineRule="auto"/>
            </w:pPr>
            <w:r>
              <w:rPr>
                <w:sz w:val="19"/>
              </w:rPr>
              <w:t>validate_profile()</w:t>
            </w:r>
          </w:p>
        </w:tc>
        <w:tc>
          <w:tcPr>
            <w:tcW w:w="2160" w:type="dxa"/>
          </w:tcPr>
          <w:p w14:paraId="6EF6ED69">
            <w:pPr>
              <w:spacing w:after="0" w:line="240" w:lineRule="auto"/>
            </w:pPr>
            <w:r>
              <w:rPr>
                <w:sz w:val="19"/>
              </w:rPr>
              <w:t>身高/体重/年龄/性别</w:t>
            </w:r>
          </w:p>
        </w:tc>
        <w:tc>
          <w:tcPr>
            <w:tcW w:w="2160" w:type="dxa"/>
          </w:tcPr>
          <w:p w14:paraId="47C8EC90">
            <w:pPr>
              <w:spacing w:after="0" w:line="240" w:lineRule="auto"/>
            </w:pPr>
            <w:r>
              <w:rPr>
                <w:sz w:val="19"/>
              </w:rPr>
              <w:t>ValidationResult(ok/errors/warnings)</w:t>
            </w:r>
          </w:p>
        </w:tc>
      </w:tr>
      <w:tr w14:paraId="63388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8E2B299">
            <w:pPr>
              <w:spacing w:after="0" w:line="240" w:lineRule="auto"/>
            </w:pPr>
            <w:r>
              <w:rPr>
                <w:sz w:val="19"/>
              </w:rPr>
              <w:t>validators.py</w:t>
            </w:r>
          </w:p>
        </w:tc>
        <w:tc>
          <w:tcPr>
            <w:tcW w:w="2160" w:type="dxa"/>
          </w:tcPr>
          <w:p w14:paraId="493E2E2B">
            <w:pPr>
              <w:spacing w:after="0" w:line="240" w:lineRule="auto"/>
            </w:pPr>
            <w:r>
              <w:rPr>
                <w:sz w:val="19"/>
              </w:rPr>
              <w:t>validate_vitals_self_report()</w:t>
            </w:r>
          </w:p>
        </w:tc>
        <w:tc>
          <w:tcPr>
            <w:tcW w:w="2160" w:type="dxa"/>
          </w:tcPr>
          <w:p w14:paraId="7FDD4F58">
            <w:pPr>
              <w:spacing w:after="0" w:line="240" w:lineRule="auto"/>
            </w:pPr>
            <w:r>
              <w:rPr>
                <w:sz w:val="19"/>
              </w:rPr>
              <w:t>体温/血压/血糖</w:t>
            </w:r>
          </w:p>
        </w:tc>
        <w:tc>
          <w:tcPr>
            <w:tcW w:w="2160" w:type="dxa"/>
          </w:tcPr>
          <w:p w14:paraId="07D8614A">
            <w:pPr>
              <w:spacing w:after="0" w:line="240" w:lineRule="auto"/>
            </w:pPr>
            <w:r>
              <w:rPr>
                <w:sz w:val="19"/>
              </w:rPr>
              <w:t>ValidationResult</w:t>
            </w:r>
          </w:p>
        </w:tc>
      </w:tr>
      <w:tr w14:paraId="50475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C62721B">
            <w:pPr>
              <w:spacing w:after="0" w:line="240" w:lineRule="auto"/>
            </w:pPr>
            <w:r>
              <w:rPr>
                <w:sz w:val="19"/>
              </w:rPr>
              <w:t>validators.py</w:t>
            </w:r>
          </w:p>
        </w:tc>
        <w:tc>
          <w:tcPr>
            <w:tcW w:w="2160" w:type="dxa"/>
          </w:tcPr>
          <w:p w14:paraId="589EE815">
            <w:pPr>
              <w:spacing w:after="0" w:line="240" w:lineRule="auto"/>
            </w:pPr>
            <w:r>
              <w:rPr>
                <w:sz w:val="19"/>
              </w:rPr>
              <w:t>write_audit()</w:t>
            </w:r>
          </w:p>
        </w:tc>
        <w:tc>
          <w:tcPr>
            <w:tcW w:w="2160" w:type="dxa"/>
          </w:tcPr>
          <w:p w14:paraId="6863FB61">
            <w:pPr>
              <w:spacing w:after="0" w:line="240" w:lineRule="auto"/>
            </w:pPr>
            <w:r>
              <w:rPr>
                <w:sz w:val="19"/>
              </w:rPr>
              <w:t>操作名/模块/详情</w:t>
            </w:r>
          </w:p>
        </w:tc>
        <w:tc>
          <w:tcPr>
            <w:tcW w:w="2160" w:type="dxa"/>
          </w:tcPr>
          <w:p w14:paraId="7DBFE2CC">
            <w:pPr>
              <w:spacing w:after="0" w:line="240" w:lineRule="auto"/>
            </w:pPr>
            <w:r>
              <w:rPr>
                <w:sz w:val="19"/>
              </w:rPr>
              <w:t>写入 audit_log 表</w:t>
            </w:r>
          </w:p>
        </w:tc>
      </w:tr>
      <w:tr w14:paraId="44847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CAE22B2">
            <w:pPr>
              <w:spacing w:after="0" w:line="240" w:lineRule="auto"/>
            </w:pPr>
            <w:r>
              <w:rPr>
                <w:sz w:val="19"/>
              </w:rPr>
              <w:t>recommend.py</w:t>
            </w:r>
          </w:p>
        </w:tc>
        <w:tc>
          <w:tcPr>
            <w:tcW w:w="2160" w:type="dxa"/>
          </w:tcPr>
          <w:p w14:paraId="2804AB51">
            <w:pPr>
              <w:spacing w:after="0" w:line="240" w:lineRule="auto"/>
            </w:pPr>
            <w:r>
              <w:rPr>
                <w:sz w:val="19"/>
              </w:rPr>
              <w:t>compute_reference_bundle()</w:t>
            </w:r>
          </w:p>
        </w:tc>
        <w:tc>
          <w:tcPr>
            <w:tcW w:w="2160" w:type="dxa"/>
          </w:tcPr>
          <w:p w14:paraId="3C9C9133">
            <w:pPr>
              <w:spacing w:after="0" w:line="240" w:lineRule="auto"/>
            </w:pPr>
            <w:r>
              <w:rPr>
                <w:sz w:val="19"/>
              </w:rPr>
              <w:t>体重/身高/年龄/性别/活动/步数</w:t>
            </w:r>
          </w:p>
        </w:tc>
        <w:tc>
          <w:tcPr>
            <w:tcW w:w="2160" w:type="dxa"/>
          </w:tcPr>
          <w:p w14:paraId="76640EA4">
            <w:pPr>
              <w:spacing w:after="0" w:line="240" w:lineRule="auto"/>
            </w:pPr>
            <w:r>
              <w:rPr>
                <w:sz w:val="19"/>
              </w:rPr>
              <w:t>BMR/TDEE/宏量营养素 JSON</w:t>
            </w:r>
          </w:p>
        </w:tc>
      </w:tr>
      <w:tr w14:paraId="0D7A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0882D50">
            <w:pPr>
              <w:spacing w:after="0" w:line="240" w:lineRule="auto"/>
            </w:pPr>
            <w:r>
              <w:rPr>
                <w:sz w:val="19"/>
              </w:rPr>
              <w:t>rag.py</w:t>
            </w:r>
          </w:p>
        </w:tc>
        <w:tc>
          <w:tcPr>
            <w:tcW w:w="2160" w:type="dxa"/>
          </w:tcPr>
          <w:p w14:paraId="1BDB85EC">
            <w:pPr>
              <w:spacing w:after="0" w:line="240" w:lineRule="auto"/>
            </w:pPr>
            <w:r>
              <w:rPr>
                <w:sz w:val="19"/>
              </w:rPr>
              <w:t>retrieve()</w:t>
            </w:r>
          </w:p>
        </w:tc>
        <w:tc>
          <w:tcPr>
            <w:tcW w:w="2160" w:type="dxa"/>
          </w:tcPr>
          <w:p w14:paraId="406F410A">
            <w:pPr>
              <w:spacing w:after="0" w:line="240" w:lineRule="auto"/>
            </w:pPr>
            <w:r>
              <w:rPr>
                <w:sz w:val="19"/>
              </w:rPr>
              <w:t>查询文本 + top_k</w:t>
            </w:r>
          </w:p>
        </w:tc>
        <w:tc>
          <w:tcPr>
            <w:tcW w:w="2160" w:type="dxa"/>
          </w:tcPr>
          <w:p w14:paraId="1E48DA76">
            <w:pPr>
              <w:spacing w:after="0" w:line="240" w:lineRule="auto"/>
            </w:pPr>
            <w:r>
              <w:rPr>
                <w:sz w:val="19"/>
              </w:rPr>
              <w:t>知识片段列表</w:t>
            </w:r>
          </w:p>
        </w:tc>
      </w:tr>
      <w:tr w14:paraId="1CEA4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4A0B1CA">
            <w:pPr>
              <w:spacing w:after="0" w:line="240" w:lineRule="auto"/>
            </w:pPr>
            <w:r>
              <w:rPr>
                <w:sz w:val="19"/>
              </w:rPr>
              <w:t>rules.py</w:t>
            </w:r>
          </w:p>
        </w:tc>
        <w:tc>
          <w:tcPr>
            <w:tcW w:w="2160" w:type="dxa"/>
          </w:tcPr>
          <w:p w14:paraId="6A5C0D49">
            <w:pPr>
              <w:spacing w:after="0" w:line="240" w:lineRule="auto"/>
            </w:pPr>
            <w:r>
              <w:rPr>
                <w:sz w:val="19"/>
              </w:rPr>
              <w:t>check_critical_vitals()</w:t>
            </w:r>
          </w:p>
        </w:tc>
        <w:tc>
          <w:tcPr>
            <w:tcW w:w="2160" w:type="dxa"/>
          </w:tcPr>
          <w:p w14:paraId="2FEED09E">
            <w:pPr>
              <w:spacing w:after="0" w:line="240" w:lineRule="auto"/>
            </w:pPr>
            <w:r>
              <w:rPr>
                <w:sz w:val="19"/>
              </w:rPr>
              <w:t>体征 DataFrame</w:t>
            </w:r>
          </w:p>
        </w:tc>
        <w:tc>
          <w:tcPr>
            <w:tcW w:w="2160" w:type="dxa"/>
          </w:tcPr>
          <w:p w14:paraId="33C116BE">
            <w:pPr>
              <w:spacing w:after="0" w:line="240" w:lineRule="auto"/>
            </w:pPr>
            <w:r>
              <w:rPr>
                <w:sz w:val="19"/>
              </w:rPr>
              <w:t>(是否告警, 说明)</w:t>
            </w:r>
          </w:p>
        </w:tc>
      </w:tr>
      <w:tr w14:paraId="774BE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1F8DA66">
            <w:pPr>
              <w:spacing w:after="0" w:line="240" w:lineRule="auto"/>
            </w:pPr>
            <w:r>
              <w:rPr>
                <w:sz w:val="19"/>
              </w:rPr>
              <w:t>recovery_path.py</w:t>
            </w:r>
          </w:p>
        </w:tc>
        <w:tc>
          <w:tcPr>
            <w:tcW w:w="2160" w:type="dxa"/>
          </w:tcPr>
          <w:p w14:paraId="0F7BF1EF">
            <w:pPr>
              <w:spacing w:after="0" w:line="240" w:lineRule="auto"/>
            </w:pPr>
            <w:r>
              <w:rPr>
                <w:sz w:val="19"/>
              </w:rPr>
              <w:t>build_recovery_nodes()</w:t>
            </w:r>
          </w:p>
        </w:tc>
        <w:tc>
          <w:tcPr>
            <w:tcW w:w="2160" w:type="dxa"/>
          </w:tcPr>
          <w:p w14:paraId="00C00D04">
            <w:pPr>
              <w:spacing w:after="0" w:line="240" w:lineRule="auto"/>
            </w:pPr>
            <w:r>
              <w:rPr>
                <w:sz w:val="19"/>
              </w:rPr>
              <w:t>病史/昨日/检验/是否有报告</w:t>
            </w:r>
          </w:p>
        </w:tc>
        <w:tc>
          <w:tcPr>
            <w:tcW w:w="2160" w:type="dxa"/>
          </w:tcPr>
          <w:p w14:paraId="12E007D6">
            <w:pPr>
              <w:spacing w:after="0" w:line="240" w:lineRule="auto"/>
            </w:pPr>
            <w:r>
              <w:rPr>
                <w:sz w:val="19"/>
              </w:rPr>
              <w:t>(节点列表, 当前索引, 轨类型)</w:t>
            </w:r>
          </w:p>
        </w:tc>
      </w:tr>
      <w:tr w14:paraId="7CE34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A31C173">
            <w:pPr>
              <w:spacing w:after="0" w:line="240" w:lineRule="auto"/>
            </w:pPr>
            <w:r>
              <w:rPr>
                <w:sz w:val="19"/>
              </w:rPr>
              <w:t>llm_client.py</w:t>
            </w:r>
          </w:p>
        </w:tc>
        <w:tc>
          <w:tcPr>
            <w:tcW w:w="2160" w:type="dxa"/>
          </w:tcPr>
          <w:p w14:paraId="2715AD0D">
            <w:pPr>
              <w:spacing w:after="0" w:line="240" w:lineRule="auto"/>
            </w:pPr>
            <w:r>
              <w:rPr>
                <w:sz w:val="19"/>
              </w:rPr>
              <w:t>chat()</w:t>
            </w:r>
          </w:p>
        </w:tc>
        <w:tc>
          <w:tcPr>
            <w:tcW w:w="2160" w:type="dxa"/>
          </w:tcPr>
          <w:p w14:paraId="73818E2F">
            <w:pPr>
              <w:spacing w:after="0" w:line="240" w:lineRule="auto"/>
            </w:pPr>
            <w:r>
              <w:rPr>
                <w:sz w:val="19"/>
              </w:rPr>
              <w:t>用户问题/上下文/历史</w:t>
            </w:r>
          </w:p>
        </w:tc>
        <w:tc>
          <w:tcPr>
            <w:tcW w:w="2160" w:type="dxa"/>
          </w:tcPr>
          <w:p w14:paraId="6B559F38">
            <w:pPr>
              <w:spacing w:after="0" w:line="240" w:lineRule="auto"/>
            </w:pPr>
            <w:r>
              <w:rPr>
                <w:sz w:val="19"/>
              </w:rPr>
              <w:t>(回答文本, 元数据)</w:t>
            </w:r>
          </w:p>
        </w:tc>
      </w:tr>
      <w:tr w14:paraId="551B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7D63C88">
            <w:pPr>
              <w:spacing w:after="0" w:line="240" w:lineRule="auto"/>
            </w:pPr>
            <w:r>
              <w:rPr>
                <w:sz w:val="19"/>
              </w:rPr>
              <w:t>llm_client.py</w:t>
            </w:r>
          </w:p>
        </w:tc>
        <w:tc>
          <w:tcPr>
            <w:tcW w:w="2160" w:type="dxa"/>
          </w:tcPr>
          <w:p w14:paraId="61610B03">
            <w:pPr>
              <w:spacing w:after="0" w:line="240" w:lineRule="auto"/>
            </w:pPr>
            <w:r>
              <w:rPr>
                <w:sz w:val="19"/>
              </w:rPr>
              <w:t>generate_tomorrow_plan()</w:t>
            </w:r>
          </w:p>
        </w:tc>
        <w:tc>
          <w:tcPr>
            <w:tcW w:w="2160" w:type="dxa"/>
          </w:tcPr>
          <w:p w14:paraId="5420D9C3">
            <w:pPr>
              <w:spacing w:after="0" w:line="240" w:lineRule="auto"/>
            </w:pPr>
            <w:r>
              <w:rPr>
                <w:sz w:val="19"/>
              </w:rPr>
              <w:t>档案/回顾/公式/RAG</w:t>
            </w:r>
          </w:p>
        </w:tc>
        <w:tc>
          <w:tcPr>
            <w:tcW w:w="2160" w:type="dxa"/>
          </w:tcPr>
          <w:p w14:paraId="370390A5">
            <w:pPr>
              <w:spacing w:after="0" w:line="240" w:lineRule="auto"/>
            </w:pPr>
            <w:r>
              <w:rPr>
                <w:sz w:val="19"/>
              </w:rPr>
              <w:t>(方案 Markdown, 元数据)</w:t>
            </w:r>
          </w:p>
        </w:tc>
      </w:tr>
    </w:tbl>
    <w:p w14:paraId="5DB8B3AF">
      <w:pPr>
        <w:pStyle w:val="4"/>
      </w:pPr>
      <w:r>
        <w:t>6.3  数据库 Schema</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21BA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B6B4A"/>
          </w:tcPr>
          <w:p w14:paraId="0B9A74E5">
            <w:pPr>
              <w:spacing w:after="0" w:line="240" w:lineRule="auto"/>
            </w:pPr>
            <w:r>
              <w:rPr>
                <w:b/>
                <w:color w:val="FFFFFF"/>
                <w:sz w:val="20"/>
              </w:rPr>
              <w:t>表名</w:t>
            </w:r>
          </w:p>
        </w:tc>
        <w:tc>
          <w:tcPr>
            <w:tcW w:w="2880" w:type="dxa"/>
            <w:shd w:val="clear" w:color="auto" w:fill="1B6B4A"/>
          </w:tcPr>
          <w:p w14:paraId="207C97E1">
            <w:pPr>
              <w:spacing w:after="0" w:line="240" w:lineRule="auto"/>
            </w:pPr>
            <w:r>
              <w:rPr>
                <w:b/>
                <w:color w:val="FFFFFF"/>
                <w:sz w:val="20"/>
              </w:rPr>
              <w:t>主要字段</w:t>
            </w:r>
          </w:p>
        </w:tc>
        <w:tc>
          <w:tcPr>
            <w:tcW w:w="2880" w:type="dxa"/>
            <w:shd w:val="clear" w:color="auto" w:fill="1B6B4A"/>
          </w:tcPr>
          <w:p w14:paraId="113FA610">
            <w:pPr>
              <w:spacing w:after="0" w:line="240" w:lineRule="auto"/>
            </w:pPr>
            <w:r>
              <w:rPr>
                <w:b/>
                <w:color w:val="FFFFFF"/>
                <w:sz w:val="20"/>
              </w:rPr>
              <w:t>用途</w:t>
            </w:r>
          </w:p>
        </w:tc>
      </w:tr>
      <w:tr w14:paraId="171F5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67C5288">
            <w:pPr>
              <w:spacing w:after="0" w:line="240" w:lineRule="auto"/>
            </w:pPr>
            <w:r>
              <w:rPr>
                <w:sz w:val="19"/>
              </w:rPr>
              <w:t>profile</w:t>
            </w:r>
          </w:p>
        </w:tc>
        <w:tc>
          <w:tcPr>
            <w:tcW w:w="2880" w:type="dxa"/>
          </w:tcPr>
          <w:p w14:paraId="69629FE5">
            <w:pPr>
              <w:spacing w:after="0" w:line="240" w:lineRule="auto"/>
            </w:pPr>
            <w:r>
              <w:rPr>
                <w:sz w:val="19"/>
              </w:rPr>
              <w:t>id(PK=1), height_cm, weight_kg, age, sex, diet_preferences, medical_history, exercise_preferences, updated_at</w:t>
            </w:r>
          </w:p>
        </w:tc>
        <w:tc>
          <w:tcPr>
            <w:tcW w:w="2880" w:type="dxa"/>
          </w:tcPr>
          <w:p w14:paraId="77A67F2A">
            <w:pPr>
              <w:spacing w:after="0" w:line="240" w:lineRule="auto"/>
            </w:pPr>
            <w:r>
              <w:rPr>
                <w:sz w:val="19"/>
              </w:rPr>
              <w:t>唯一用户档案</w:t>
            </w:r>
          </w:p>
        </w:tc>
      </w:tr>
      <w:tr w14:paraId="5F482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9ADA917">
            <w:pPr>
              <w:spacing w:after="0" w:line="240" w:lineRule="auto"/>
            </w:pPr>
            <w:r>
              <w:rPr>
                <w:sz w:val="19"/>
              </w:rPr>
              <w:t>emergency_contact</w:t>
            </w:r>
          </w:p>
        </w:tc>
        <w:tc>
          <w:tcPr>
            <w:tcW w:w="2880" w:type="dxa"/>
          </w:tcPr>
          <w:p w14:paraId="4EB1F801">
            <w:pPr>
              <w:spacing w:after="0" w:line="240" w:lineRule="auto"/>
            </w:pPr>
            <w:r>
              <w:rPr>
                <w:sz w:val="19"/>
              </w:rPr>
              <w:t>id(PK), name, phone</w:t>
            </w:r>
          </w:p>
        </w:tc>
        <w:tc>
          <w:tcPr>
            <w:tcW w:w="2880" w:type="dxa"/>
          </w:tcPr>
          <w:p w14:paraId="252A73E7">
            <w:pPr>
              <w:spacing w:after="0" w:line="240" w:lineRule="auto"/>
            </w:pPr>
            <w:r>
              <w:rPr>
                <w:sz w:val="19"/>
              </w:rPr>
              <w:t>紧急联系人</w:t>
            </w:r>
          </w:p>
        </w:tc>
      </w:tr>
      <w:tr w14:paraId="73DBE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F94DE9">
            <w:pPr>
              <w:spacing w:after="0" w:line="240" w:lineRule="auto"/>
            </w:pPr>
            <w:r>
              <w:rPr>
                <w:sz w:val="19"/>
              </w:rPr>
              <w:t>lab_report</w:t>
            </w:r>
          </w:p>
        </w:tc>
        <w:tc>
          <w:tcPr>
            <w:tcW w:w="2880" w:type="dxa"/>
          </w:tcPr>
          <w:p w14:paraId="19B5122F">
            <w:pPr>
              <w:spacing w:after="0" w:line="240" w:lineRule="auto"/>
            </w:pPr>
            <w:r>
              <w:rPr>
                <w:sz w:val="19"/>
              </w:rPr>
              <w:t>id(PK), source_name, raw_text_snippet, structured_json, created_at</w:t>
            </w:r>
          </w:p>
        </w:tc>
        <w:tc>
          <w:tcPr>
            <w:tcW w:w="2880" w:type="dxa"/>
          </w:tcPr>
          <w:p w14:paraId="4AC9443B">
            <w:pPr>
              <w:spacing w:after="0" w:line="240" w:lineRule="auto"/>
            </w:pPr>
            <w:r>
              <w:rPr>
                <w:sz w:val="19"/>
              </w:rPr>
              <w:t>体检报告存档</w:t>
            </w:r>
          </w:p>
        </w:tc>
      </w:tr>
      <w:tr w14:paraId="3C8A9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0B67B39">
            <w:pPr>
              <w:spacing w:after="0" w:line="240" w:lineRule="auto"/>
            </w:pPr>
            <w:r>
              <w:rPr>
                <w:sz w:val="19"/>
              </w:rPr>
              <w:t>daily_wellness_log</w:t>
            </w:r>
          </w:p>
        </w:tc>
        <w:tc>
          <w:tcPr>
            <w:tcW w:w="2880" w:type="dxa"/>
          </w:tcPr>
          <w:p w14:paraId="3902A1FF">
            <w:pPr>
              <w:spacing w:after="0" w:line="240" w:lineRule="auto"/>
            </w:pPr>
            <w:r>
              <w:rPr>
                <w:sz w:val="19"/>
              </w:rPr>
              <w:t>id(PK), payload_json, created_at</w:t>
            </w:r>
          </w:p>
        </w:tc>
        <w:tc>
          <w:tcPr>
            <w:tcW w:w="2880" w:type="dxa"/>
          </w:tcPr>
          <w:p w14:paraId="6F892AF1">
            <w:pPr>
              <w:spacing w:after="0" w:line="240" w:lineRule="auto"/>
            </w:pPr>
            <w:r>
              <w:rPr>
                <w:sz w:val="19"/>
              </w:rPr>
              <w:t>昨日回顾快照</w:t>
            </w:r>
          </w:p>
        </w:tc>
      </w:tr>
      <w:tr w14:paraId="33E8F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773A409">
            <w:pPr>
              <w:spacing w:after="0" w:line="240" w:lineRule="auto"/>
            </w:pPr>
            <w:r>
              <w:rPr>
                <w:sz w:val="19"/>
              </w:rPr>
              <w:t>vitals_snapshot</w:t>
            </w:r>
          </w:p>
        </w:tc>
        <w:tc>
          <w:tcPr>
            <w:tcW w:w="2880" w:type="dxa"/>
          </w:tcPr>
          <w:p w14:paraId="39F16190">
            <w:pPr>
              <w:spacing w:after="0" w:line="240" w:lineRule="auto"/>
            </w:pPr>
            <w:r>
              <w:rPr>
                <w:sz w:val="19"/>
              </w:rPr>
              <w:t>id(PK), label, payload_json, created_at</w:t>
            </w:r>
          </w:p>
        </w:tc>
        <w:tc>
          <w:tcPr>
            <w:tcW w:w="2880" w:type="dxa"/>
          </w:tcPr>
          <w:p w14:paraId="407BA44D">
            <w:pPr>
              <w:spacing w:after="0" w:line="240" w:lineRule="auto"/>
            </w:pPr>
            <w:r>
              <w:rPr>
                <w:sz w:val="19"/>
              </w:rPr>
              <w:t>体征序列快照</w:t>
            </w:r>
          </w:p>
        </w:tc>
      </w:tr>
      <w:tr w14:paraId="52353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6616605">
            <w:pPr>
              <w:spacing w:after="0" w:line="240" w:lineRule="auto"/>
            </w:pPr>
            <w:r>
              <w:rPr>
                <w:sz w:val="19"/>
              </w:rPr>
              <w:t>audit_log</w:t>
            </w:r>
          </w:p>
        </w:tc>
        <w:tc>
          <w:tcPr>
            <w:tcW w:w="2880" w:type="dxa"/>
          </w:tcPr>
          <w:p w14:paraId="1EE90CBC">
            <w:pPr>
              <w:spacing w:after="0" w:line="240" w:lineRule="auto"/>
            </w:pPr>
            <w:r>
              <w:rPr>
                <w:sz w:val="19"/>
              </w:rPr>
              <w:t>id(PK), action, module, detail_json, created_at</w:t>
            </w:r>
          </w:p>
        </w:tc>
        <w:tc>
          <w:tcPr>
            <w:tcW w:w="2880" w:type="dxa"/>
          </w:tcPr>
          <w:p w14:paraId="1A778001">
            <w:pPr>
              <w:spacing w:after="0" w:line="240" w:lineRule="auto"/>
            </w:pPr>
            <w:r>
              <w:rPr>
                <w:sz w:val="19"/>
              </w:rPr>
              <w:t>操作审计日志</w:t>
            </w:r>
          </w:p>
        </w:tc>
      </w:tr>
    </w:tbl>
    <w:p w14:paraId="7F57220D">
      <w:pPr>
        <w:pStyle w:val="3"/>
      </w:pPr>
      <w:r>
        <w:t>7  可行性分析</w:t>
      </w:r>
    </w:p>
    <w:p w14:paraId="24E4E494">
      <w:pPr>
        <w:pStyle w:val="4"/>
      </w:pPr>
      <w:r>
        <w:t>7.1  技术可行性</w:t>
      </w:r>
    </w:p>
    <w:p w14:paraId="7D8472D6">
      <w:r>
        <w:t>系统完全基于 Python 生态构建，核心依赖（Streamlit、Pandas、Plotly、SQLite）均为成熟开源项目，社区活跃、文档完善。DeepSeek API 提供 OpenAI 兼容接口，切换成本极低。RAG 采用轻量关键词匹配而非向量模型，消除了 GPU 与大型 Embedding 模型的部署要求。整套系统可在普通 Windows/macOS/Linux 笔记本上运行，无需 GPU。</w:t>
      </w:r>
    </w:p>
    <w:p w14:paraId="78B45B14">
      <w:pPr>
        <w:pStyle w:val="4"/>
      </w:pPr>
      <w:r>
        <w:t>7.2  经济可行性</w:t>
      </w:r>
    </w:p>
    <w:p w14:paraId="7DF0BF13">
      <w:r>
        <w:t>系统运行成本极低：所有基础组件免费开源，唯一可选付费项为 DeepSeek API 调用费用。在课程演示场景下，日均 API 调用次数有限（预估 50-100 次），费用可忽略。数据存储采用 SQLite 单文件方案，免除数据库服务器租赁费用。系统无需独立服务器部署，在本地 localhost 运行即可完成演示。</w:t>
      </w:r>
    </w:p>
    <w:p w14:paraId="237EB0D4">
      <w:pPr>
        <w:pStyle w:val="4"/>
      </w:pPr>
      <w:r>
        <w:t>7.3  操作可行性</w:t>
      </w:r>
    </w:p>
    <w:p w14:paraId="0DB4ADD4">
      <w:r>
        <w:t>系统面向非技术用户设计，操作流程简洁明了：① 复制 .env.example 并填写 API 密钥；② 执行 pip install -r requirements.txt 安装依赖；③ streamlit run app.py 启动服务。前端采用 Streamlit 原生组件（表单、滑块、文件上传、图表等），用户无需学习成本。数据校验模块在不合理输入时主动阻止写入并给出中文错误提示，降低误操作风险。</w:t>
      </w:r>
    </w:p>
    <w:p w14:paraId="6F26277A">
      <w:pPr>
        <w:pStyle w:val="4"/>
      </w:pPr>
      <w:r>
        <w:t>7.4  法律与伦理可行性</w:t>
      </w:r>
    </w:p>
    <w:p w14:paraId="21C1F563">
      <w:r>
        <w:t>系统定位为课程作业级科普工具，明确声明「不提供诊断、治疗或急救决策」。每个功能页面底部均展示免责声明。体征预警由规则引擎而非 LLM 判定，避免模型误判危重。所有数据存储在本地 SQLite，不上传至任何远程服务器。演示数据为合成脱敏数据，不涉及真实患者信息。API 密钥通过 .env 文件管理并列入 .gitignore，防止泄露。</w:t>
      </w:r>
    </w:p>
    <w:p w14:paraId="1B88F8A7">
      <w:pPr>
        <w:pStyle w:val="3"/>
      </w:pPr>
      <w:r>
        <w:t>8  效率与性能分析</w:t>
      </w:r>
    </w:p>
    <w:p w14:paraId="716E8052">
      <w:pPr>
        <w:pStyle w:val="4"/>
      </w:pPr>
      <w:r>
        <w:t>8.1  响应时间分析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DD93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B6B4A"/>
          </w:tcPr>
          <w:p w14:paraId="67F8945C">
            <w:pPr>
              <w:spacing w:after="0" w:line="240" w:lineRule="auto"/>
            </w:pPr>
            <w:r>
              <w:rPr>
                <w:b/>
                <w:color w:val="FFFFFF"/>
                <w:sz w:val="20"/>
              </w:rPr>
              <w:t>操作</w:t>
            </w:r>
          </w:p>
        </w:tc>
        <w:tc>
          <w:tcPr>
            <w:tcW w:w="2880" w:type="dxa"/>
            <w:shd w:val="clear" w:color="auto" w:fill="1B6B4A"/>
          </w:tcPr>
          <w:p w14:paraId="23067B06">
            <w:pPr>
              <w:spacing w:after="0" w:line="240" w:lineRule="auto"/>
            </w:pPr>
            <w:r>
              <w:rPr>
                <w:b/>
                <w:color w:val="FFFFFF"/>
                <w:sz w:val="20"/>
              </w:rPr>
              <w:t>预期响应时间</w:t>
            </w:r>
          </w:p>
        </w:tc>
        <w:tc>
          <w:tcPr>
            <w:tcW w:w="2880" w:type="dxa"/>
            <w:shd w:val="clear" w:color="auto" w:fill="1B6B4A"/>
          </w:tcPr>
          <w:p w14:paraId="00DF94A0">
            <w:pPr>
              <w:spacing w:after="0" w:line="240" w:lineRule="auto"/>
            </w:pPr>
            <w:r>
              <w:rPr>
                <w:b/>
                <w:color w:val="FFFFFF"/>
                <w:sz w:val="20"/>
              </w:rPr>
              <w:t>瓶颈分析</w:t>
            </w:r>
          </w:p>
        </w:tc>
      </w:tr>
      <w:tr w14:paraId="277F5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163F312">
            <w:pPr>
              <w:spacing w:after="0" w:line="240" w:lineRule="auto"/>
            </w:pPr>
            <w:r>
              <w:rPr>
                <w:sz w:val="19"/>
              </w:rPr>
              <w:t>页面加载（总览）</w:t>
            </w:r>
          </w:p>
        </w:tc>
        <w:tc>
          <w:tcPr>
            <w:tcW w:w="2880" w:type="dxa"/>
          </w:tcPr>
          <w:p w14:paraId="41EA98BE">
            <w:pPr>
              <w:spacing w:after="0" w:line="240" w:lineRule="auto"/>
            </w:pPr>
            <w:r>
              <w:rPr>
                <w:sz w:val="19"/>
              </w:rPr>
              <w:t>&lt;1 秒</w:t>
            </w:r>
          </w:p>
        </w:tc>
        <w:tc>
          <w:tcPr>
            <w:tcW w:w="2880" w:type="dxa"/>
          </w:tcPr>
          <w:p w14:paraId="3281B14A">
            <w:pPr>
              <w:spacing w:after="0" w:line="240" w:lineRule="auto"/>
            </w:pPr>
            <w:r>
              <w:rPr>
                <w:sz w:val="19"/>
              </w:rPr>
              <w:t>本地 SQLite 查询 + Plotly 图表渲染</w:t>
            </w:r>
          </w:p>
        </w:tc>
      </w:tr>
      <w:tr w14:paraId="4A757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9ADCFEC">
            <w:pPr>
              <w:spacing w:after="0" w:line="240" w:lineRule="auto"/>
            </w:pPr>
            <w:r>
              <w:rPr>
                <w:sz w:val="19"/>
              </w:rPr>
              <w:t>档案保存</w:t>
            </w:r>
          </w:p>
        </w:tc>
        <w:tc>
          <w:tcPr>
            <w:tcW w:w="2880" w:type="dxa"/>
          </w:tcPr>
          <w:p w14:paraId="2EF2942C">
            <w:pPr>
              <w:spacing w:after="0" w:line="240" w:lineRule="auto"/>
            </w:pPr>
            <w:r>
              <w:rPr>
                <w:sz w:val="19"/>
              </w:rPr>
              <w:t>&lt;0.1 秒</w:t>
            </w:r>
          </w:p>
        </w:tc>
        <w:tc>
          <w:tcPr>
            <w:tcW w:w="2880" w:type="dxa"/>
          </w:tcPr>
          <w:p w14:paraId="15FDB05A">
            <w:pPr>
              <w:spacing w:after="0" w:line="240" w:lineRule="auto"/>
            </w:pPr>
            <w:r>
              <w:rPr>
                <w:sz w:val="19"/>
              </w:rPr>
              <w:t>SQLite 单行 UPSERT</w:t>
            </w:r>
          </w:p>
        </w:tc>
      </w:tr>
      <w:tr w14:paraId="5725D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9577F0F">
            <w:pPr>
              <w:spacing w:after="0" w:line="240" w:lineRule="auto"/>
            </w:pPr>
            <w:r>
              <w:rPr>
                <w:sz w:val="19"/>
              </w:rPr>
              <w:t>体检报告解析</w:t>
            </w:r>
          </w:p>
        </w:tc>
        <w:tc>
          <w:tcPr>
            <w:tcW w:w="2880" w:type="dxa"/>
          </w:tcPr>
          <w:p w14:paraId="1C5334E2">
            <w:pPr>
              <w:spacing w:after="0" w:line="240" w:lineRule="auto"/>
            </w:pPr>
            <w:r>
              <w:rPr>
                <w:sz w:val="19"/>
              </w:rPr>
              <w:t>0.2-0.5 秒</w:t>
            </w:r>
          </w:p>
        </w:tc>
        <w:tc>
          <w:tcPr>
            <w:tcW w:w="2880" w:type="dxa"/>
          </w:tcPr>
          <w:p w14:paraId="5C2DFE71">
            <w:pPr>
              <w:spacing w:after="0" w:line="240" w:lineRule="auto"/>
            </w:pPr>
            <w:r>
              <w:rPr>
                <w:sz w:val="19"/>
              </w:rPr>
              <w:t>PDF 文本提取 + 正则匹配</w:t>
            </w:r>
          </w:p>
        </w:tc>
      </w:tr>
      <w:tr w14:paraId="1FD12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4DD291">
            <w:pPr>
              <w:spacing w:after="0" w:line="240" w:lineRule="auto"/>
            </w:pPr>
            <w:r>
              <w:rPr>
                <w:sz w:val="19"/>
              </w:rPr>
              <w:t>RAG 检索</w:t>
            </w:r>
          </w:p>
        </w:tc>
        <w:tc>
          <w:tcPr>
            <w:tcW w:w="2880" w:type="dxa"/>
          </w:tcPr>
          <w:p w14:paraId="5F12F533">
            <w:pPr>
              <w:spacing w:after="0" w:line="240" w:lineRule="auto"/>
            </w:pPr>
            <w:r>
              <w:rPr>
                <w:sz w:val="19"/>
              </w:rPr>
              <w:t>&lt;0.05 秒</w:t>
            </w:r>
          </w:p>
        </w:tc>
        <w:tc>
          <w:tcPr>
            <w:tcW w:w="2880" w:type="dxa"/>
          </w:tcPr>
          <w:p w14:paraId="7EC53F8B">
            <w:pPr>
              <w:spacing w:after="0" w:line="240" w:lineRule="auto"/>
            </w:pPr>
            <w:r>
              <w:rPr>
                <w:sz w:val="19"/>
              </w:rPr>
              <w:t>内存关键词匹配，无网络开销</w:t>
            </w:r>
          </w:p>
        </w:tc>
      </w:tr>
      <w:tr w14:paraId="23E40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A868CA3">
            <w:pPr>
              <w:spacing w:after="0" w:line="240" w:lineRule="auto"/>
            </w:pPr>
            <w:r>
              <w:rPr>
                <w:sz w:val="19"/>
              </w:rPr>
              <w:t>AI 方案生成</w:t>
            </w:r>
          </w:p>
        </w:tc>
        <w:tc>
          <w:tcPr>
            <w:tcW w:w="2880" w:type="dxa"/>
          </w:tcPr>
          <w:p w14:paraId="6467E593">
            <w:pPr>
              <w:spacing w:after="0" w:line="240" w:lineRule="auto"/>
            </w:pPr>
            <w:r>
              <w:rPr>
                <w:sz w:val="19"/>
              </w:rPr>
              <w:t>3-8 秒</w:t>
            </w:r>
          </w:p>
        </w:tc>
        <w:tc>
          <w:tcPr>
            <w:tcW w:w="2880" w:type="dxa"/>
          </w:tcPr>
          <w:p w14:paraId="3FC9F705">
            <w:pPr>
              <w:spacing w:after="0" w:line="240" w:lineRule="auto"/>
            </w:pPr>
            <w:r>
              <w:rPr>
                <w:sz w:val="19"/>
              </w:rPr>
              <w:t>DeepSeek API 网络延迟 + 生成时间</w:t>
            </w:r>
          </w:p>
        </w:tc>
      </w:tr>
      <w:tr w14:paraId="28189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275A86C">
            <w:pPr>
              <w:spacing w:after="0" w:line="240" w:lineRule="auto"/>
            </w:pPr>
            <w:r>
              <w:rPr>
                <w:sz w:val="19"/>
              </w:rPr>
              <w:t>AI 对话回答</w:t>
            </w:r>
          </w:p>
        </w:tc>
        <w:tc>
          <w:tcPr>
            <w:tcW w:w="2880" w:type="dxa"/>
          </w:tcPr>
          <w:p w14:paraId="4B586EF1">
            <w:pPr>
              <w:spacing w:after="0" w:line="240" w:lineRule="auto"/>
            </w:pPr>
            <w:r>
              <w:rPr>
                <w:sz w:val="19"/>
              </w:rPr>
              <w:t>2-5 秒</w:t>
            </w:r>
          </w:p>
        </w:tc>
        <w:tc>
          <w:tcPr>
            <w:tcW w:w="2880" w:type="dxa"/>
          </w:tcPr>
          <w:p w14:paraId="1A1970B6">
            <w:pPr>
              <w:spacing w:after="0" w:line="240" w:lineRule="auto"/>
            </w:pPr>
            <w:r>
              <w:rPr>
                <w:sz w:val="19"/>
              </w:rPr>
              <w:t>同上</w:t>
            </w:r>
          </w:p>
        </w:tc>
      </w:tr>
      <w:tr w14:paraId="7CA8C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0428832">
            <w:pPr>
              <w:spacing w:after="0" w:line="240" w:lineRule="auto"/>
            </w:pPr>
            <w:r>
              <w:rPr>
                <w:sz w:val="19"/>
              </w:rPr>
              <w:t>规则引擎预警</w:t>
            </w:r>
          </w:p>
        </w:tc>
        <w:tc>
          <w:tcPr>
            <w:tcW w:w="2880" w:type="dxa"/>
          </w:tcPr>
          <w:p w14:paraId="27B0EFAC">
            <w:pPr>
              <w:spacing w:after="0" w:line="240" w:lineRule="auto"/>
            </w:pPr>
            <w:r>
              <w:rPr>
                <w:sz w:val="19"/>
              </w:rPr>
              <w:t>&lt;0.01 秒</w:t>
            </w:r>
          </w:p>
        </w:tc>
        <w:tc>
          <w:tcPr>
            <w:tcW w:w="2880" w:type="dxa"/>
          </w:tcPr>
          <w:p w14:paraId="534AE6B0">
            <w:pPr>
              <w:spacing w:after="0" w:line="240" w:lineRule="auto"/>
            </w:pPr>
            <w:r>
              <w:rPr>
                <w:sz w:val="19"/>
              </w:rPr>
              <w:t>Pandas 尾部切片 + 布尔运算</w:t>
            </w:r>
          </w:p>
        </w:tc>
      </w:tr>
      <w:tr w14:paraId="2F403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50C5930">
            <w:pPr>
              <w:spacing w:after="0" w:line="240" w:lineRule="auto"/>
            </w:pPr>
            <w:r>
              <w:rPr>
                <w:sz w:val="19"/>
              </w:rPr>
              <w:t>健康评分计算</w:t>
            </w:r>
          </w:p>
        </w:tc>
        <w:tc>
          <w:tcPr>
            <w:tcW w:w="2880" w:type="dxa"/>
          </w:tcPr>
          <w:p w14:paraId="223D2816">
            <w:pPr>
              <w:spacing w:after="0" w:line="240" w:lineRule="auto"/>
            </w:pPr>
            <w:r>
              <w:rPr>
                <w:sz w:val="19"/>
              </w:rPr>
              <w:t>&lt;0.01 秒</w:t>
            </w:r>
          </w:p>
        </w:tc>
        <w:tc>
          <w:tcPr>
            <w:tcW w:w="2880" w:type="dxa"/>
          </w:tcPr>
          <w:p w14:paraId="4CB2540B">
            <w:pPr>
              <w:spacing w:after="0" w:line="240" w:lineRule="auto"/>
            </w:pPr>
            <w:r>
              <w:rPr>
                <w:sz w:val="19"/>
              </w:rPr>
              <w:t>纯算术运算</w:t>
            </w:r>
          </w:p>
        </w:tc>
      </w:tr>
    </w:tbl>
    <w:p w14:paraId="0DC392B8">
      <w:pPr>
        <w:pStyle w:val="4"/>
      </w:pPr>
      <w:r>
        <w:t>8.2  存储效率</w:t>
      </w:r>
    </w:p>
    <w:p w14:paraId="0CD6EFFA">
      <w:r>
        <w:t>SQLite 数据库在典型使用场景下（1 个用户档案、50 条昨日回顾、10 份体检报告、500 条审计日志）预估占用空间 &lt; 1 MB。body 字段采用 JSON 序列化存储，兼顾灵活性与查询效率。RAG 知识库为 4 个 Markdown 文件，总计约 1 KB，全量加载至内存后检索延迟可忽略。</w:t>
      </w:r>
    </w:p>
    <w:p w14:paraId="74CC07A3">
      <w:pPr>
        <w:pStyle w:val="4"/>
      </w:pPr>
      <w:r>
        <w:t>8.3  可扩展性</w:t>
      </w:r>
    </w:p>
    <w:p w14:paraId="695E8BFB">
      <w:r>
        <w:t>若产品化，系统具备清晰的演进路径：</w:t>
      </w:r>
    </w:p>
    <w:p w14:paraId="559719B7">
      <w:pPr>
        <w:pStyle w:val="16"/>
      </w:pPr>
      <w:r>
        <w:t>数据层：SQLite → PostgreSQL/MySQL，支持多用户并发。</w:t>
      </w:r>
    </w:p>
    <w:p w14:paraId="3ADB815C">
      <w:pPr>
        <w:pStyle w:val="16"/>
      </w:pPr>
      <w:r>
        <w:t>检索层：关键词匹配 → FAISS/ChromaDB 向量检索，支持大规模知识库。</w:t>
      </w:r>
    </w:p>
    <w:p w14:paraId="54373267">
      <w:pPr>
        <w:pStyle w:val="16"/>
      </w:pPr>
      <w:r>
        <w:t>模型层：DeepSeek API → 本地部署 Ollama/vLLM，降低延迟与费用。</w:t>
      </w:r>
    </w:p>
    <w:p w14:paraId="6B989E86">
      <w:pPr>
        <w:pStyle w:val="16"/>
      </w:pPr>
      <w:r>
        <w:t>流处理：Python 内存队列 → Golang + Kafka，支持高频实时体征接入。</w:t>
      </w:r>
    </w:p>
    <w:p w14:paraId="69C115C7">
      <w:pPr>
        <w:pStyle w:val="16"/>
      </w:pPr>
      <w:r>
        <w:t>前端：Streamlit → React/Vue SPA，支持移动端响应式设计。</w:t>
      </w:r>
    </w:p>
    <w:p w14:paraId="5B9AE117">
      <w:pPr>
        <w:pStyle w:val="3"/>
      </w:pPr>
      <w:r>
        <w:t>参考文献</w:t>
      </w:r>
    </w:p>
    <w:p w14:paraId="0C41A2C8">
      <w:pPr>
        <w:pStyle w:val="14"/>
      </w:pPr>
      <w:r>
        <w:t>[1] World Health Organization. Noncommunicable diseases: Key facts. WHO Fact Sheets, 2023.</w:t>
      </w:r>
    </w:p>
    <w:p w14:paraId="747B50D9">
      <w:pPr>
        <w:pStyle w:val="14"/>
      </w:pPr>
      <w:r>
        <w:t>[2] 中国心血管健康与疾病报告编写组. 中国心血管健康与疾病报告 2022. 中国循环杂志, 2023, 38(6): 583-612.</w:t>
      </w:r>
    </w:p>
    <w:p w14:paraId="6A6D25B8">
      <w:pPr>
        <w:pStyle w:val="14"/>
      </w:pPr>
      <w:r>
        <w:t>[3] OpenAI. GPT-4 Technical Report. arXiv preprint arXiv:2303.08774, 2023.</w:t>
      </w:r>
    </w:p>
    <w:p w14:paraId="41F9D9AB">
      <w:pPr>
        <w:pStyle w:val="14"/>
      </w:pPr>
      <w:r>
        <w:t>[4] Lewis P, Perez E, Piktus A, et al. Retrieval-Augmented Generation for Knowledge-Intensive NLP Tasks. NeurIPS, 2020.</w:t>
      </w:r>
    </w:p>
    <w:p w14:paraId="4E2A3078">
      <w:pPr>
        <w:pStyle w:val="14"/>
      </w:pPr>
      <w:r>
        <w:t>[5] Singhal K, Azizi S, Tu T, et al. Large Language Models Encode Clinical Knowledge. Nature, 2023, 620: 172-180.</w:t>
      </w:r>
    </w:p>
    <w:p w14:paraId="6579A696">
      <w:pPr>
        <w:pStyle w:val="14"/>
      </w:pPr>
      <w:r>
        <w:t>[6] Lundberg G D. When to panic over abnormal values. Medical Laboratory Observer, 1972, 4: 47-54.</w:t>
      </w:r>
    </w:p>
    <w:p w14:paraId="0E19265B">
      <w:pPr>
        <w:pStyle w:val="14"/>
      </w:pPr>
      <w:r>
        <w:t>[7] Mifflin M D, St Jeor S T, Hill L A, et al. A new predictive equation for resting energy expenditure in healthy individuals. American Journal of Clinical Nutrition, 1990, 51(2): 241-247.</w:t>
      </w:r>
    </w:p>
    <w:p w14:paraId="25A18D76">
      <w:pPr>
        <w:pStyle w:val="3"/>
      </w:pPr>
      <w:r>
        <w:t>团队分工</w:t>
      </w:r>
    </w:p>
    <w:p w14:paraId="1DE719C4"/>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1507"/>
        <w:gridCol w:w="1876"/>
        <w:gridCol w:w="4273"/>
      </w:tblGrid>
      <w:tr w14:paraId="6CE79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84" w:type="dxa"/>
            <w:shd w:val="clear" w:color="auto" w:fill="1B6B4A"/>
          </w:tcPr>
          <w:p w14:paraId="6C7899DF">
            <w:pPr>
              <w:spacing w:after="0" w:line="240" w:lineRule="auto"/>
            </w:pPr>
            <w:r>
              <w:rPr>
                <w:b/>
                <w:color w:val="FFFFFF"/>
                <w:sz w:val="20"/>
              </w:rPr>
              <w:t>姓名</w:t>
            </w:r>
          </w:p>
        </w:tc>
        <w:tc>
          <w:tcPr>
            <w:tcW w:w="1507" w:type="dxa"/>
            <w:shd w:val="clear" w:color="auto" w:fill="1B6B4A"/>
          </w:tcPr>
          <w:p w14:paraId="5DC6B357">
            <w:pPr>
              <w:spacing w:after="0" w:line="240" w:lineRule="auto"/>
            </w:pPr>
            <w:r>
              <w:rPr>
                <w:b/>
                <w:color w:val="FFFFFF"/>
                <w:sz w:val="20"/>
              </w:rPr>
              <w:t>学号</w:t>
            </w:r>
          </w:p>
        </w:tc>
        <w:tc>
          <w:tcPr>
            <w:tcW w:w="1876" w:type="dxa"/>
            <w:shd w:val="clear" w:color="auto" w:fill="1B6B4A"/>
          </w:tcPr>
          <w:p w14:paraId="7A104358">
            <w:pPr>
              <w:spacing w:after="0" w:line="240" w:lineRule="auto"/>
            </w:pPr>
            <w:r>
              <w:rPr>
                <w:b/>
                <w:color w:val="FFFFFF"/>
                <w:sz w:val="20"/>
              </w:rPr>
              <w:t>负责模块</w:t>
            </w:r>
          </w:p>
        </w:tc>
        <w:tc>
          <w:tcPr>
            <w:tcW w:w="4273" w:type="dxa"/>
            <w:shd w:val="clear" w:color="auto" w:fill="1B6B4A"/>
          </w:tcPr>
          <w:p w14:paraId="6B6A264B">
            <w:pPr>
              <w:spacing w:after="0" w:line="240" w:lineRule="auto"/>
            </w:pPr>
            <w:r>
              <w:rPr>
                <w:b/>
                <w:color w:val="FFFFFF"/>
                <w:sz w:val="20"/>
              </w:rPr>
              <w:t>具体工作内容</w:t>
            </w:r>
          </w:p>
        </w:tc>
      </w:tr>
      <w:tr w14:paraId="065CB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4" w:type="dxa"/>
          </w:tcPr>
          <w:p w14:paraId="2CBE3611">
            <w:pPr>
              <w:spacing w:after="0" w:line="240" w:lineRule="auto"/>
              <w:jc w:val="center"/>
              <w:rPr>
                <w:rFonts w:hint="eastAsia" w:eastAsia="SimSun"/>
                <w:lang w:val="en-US" w:eastAsia="zh-CN"/>
              </w:rPr>
            </w:pPr>
            <w:r>
              <w:rPr>
                <w:rFonts w:hint="eastAsia"/>
                <w:lang w:val="en-US" w:eastAsia="zh-CN"/>
              </w:rPr>
              <w:t>潘阔</w:t>
            </w:r>
            <w:bookmarkStart w:id="0" w:name="_GoBack"/>
            <w:bookmarkEnd w:id="0"/>
          </w:p>
        </w:tc>
        <w:tc>
          <w:tcPr>
            <w:tcW w:w="1507" w:type="dxa"/>
          </w:tcPr>
          <w:p w14:paraId="11E02A00">
            <w:pPr>
              <w:spacing w:after="0" w:line="240" w:lineRule="auto"/>
              <w:rPr>
                <w:rFonts w:hint="default" w:eastAsia="SimSun"/>
                <w:lang w:val="en-US" w:eastAsia="zh-CN"/>
              </w:rPr>
            </w:pPr>
            <w:r>
              <w:rPr>
                <w:rFonts w:hint="eastAsia"/>
                <w:lang w:val="en-US" w:eastAsia="zh-CN"/>
              </w:rPr>
              <w:t>3240101507</w:t>
            </w:r>
          </w:p>
        </w:tc>
        <w:tc>
          <w:tcPr>
            <w:tcW w:w="1876" w:type="dxa"/>
          </w:tcPr>
          <w:p w14:paraId="1AB3CB31">
            <w:pPr>
              <w:spacing w:after="0" w:line="240" w:lineRule="auto"/>
              <w:rPr>
                <w:rFonts w:hint="default" w:eastAsia="SimSun"/>
                <w:lang w:val="en-US" w:eastAsia="zh-CN"/>
              </w:rPr>
            </w:pPr>
            <w:r>
              <w:rPr>
                <w:rFonts w:hint="eastAsia"/>
                <w:lang w:val="en-US" w:eastAsia="zh-CN"/>
              </w:rPr>
              <w:t>产品开发，设计文档撰写</w:t>
            </w:r>
          </w:p>
        </w:tc>
        <w:tc>
          <w:tcPr>
            <w:tcW w:w="4273" w:type="dxa"/>
          </w:tcPr>
          <w:p w14:paraId="4C246EEC">
            <w:pPr>
              <w:spacing w:after="0" w:line="240" w:lineRule="auto"/>
              <w:rPr>
                <w:rFonts w:hint="default" w:eastAsia="SimSun"/>
                <w:lang w:val="en-US" w:eastAsia="zh-CN"/>
              </w:rPr>
            </w:pPr>
            <w:r>
              <w:rPr>
                <w:rFonts w:hint="eastAsia"/>
                <w:lang w:val="en-US" w:eastAsia="zh-CN"/>
              </w:rPr>
              <w:t>使用ai完成产品开发并撰写设计文档</w:t>
            </w:r>
          </w:p>
        </w:tc>
      </w:tr>
      <w:tr w14:paraId="7F4B8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4" w:type="dxa"/>
          </w:tcPr>
          <w:p w14:paraId="2265EA1D">
            <w:pPr>
              <w:spacing w:after="0" w:line="240" w:lineRule="auto"/>
              <w:jc w:val="center"/>
              <w:rPr>
                <w:rFonts w:hint="default" w:eastAsia="SimSun"/>
                <w:lang w:val="en-US" w:eastAsia="zh-CN"/>
              </w:rPr>
            </w:pPr>
            <w:r>
              <w:rPr>
                <w:rFonts w:hint="eastAsia"/>
                <w:lang w:val="en-US" w:eastAsia="zh-CN"/>
              </w:rPr>
              <w:t>彭福康</w:t>
            </w:r>
          </w:p>
        </w:tc>
        <w:tc>
          <w:tcPr>
            <w:tcW w:w="1507" w:type="dxa"/>
          </w:tcPr>
          <w:p w14:paraId="7600434C">
            <w:pPr>
              <w:spacing w:after="0" w:line="240" w:lineRule="auto"/>
              <w:rPr>
                <w:rFonts w:hint="default" w:eastAsia="SimSun"/>
                <w:lang w:val="en-US" w:eastAsia="zh-CN"/>
              </w:rPr>
            </w:pPr>
          </w:p>
        </w:tc>
        <w:tc>
          <w:tcPr>
            <w:tcW w:w="1876" w:type="dxa"/>
          </w:tcPr>
          <w:p w14:paraId="5A46E142">
            <w:pPr>
              <w:spacing w:after="0" w:line="240" w:lineRule="auto"/>
            </w:pPr>
          </w:p>
        </w:tc>
        <w:tc>
          <w:tcPr>
            <w:tcW w:w="4273" w:type="dxa"/>
          </w:tcPr>
          <w:p w14:paraId="7A85588F">
            <w:pPr>
              <w:spacing w:after="0" w:line="240" w:lineRule="auto"/>
            </w:pPr>
          </w:p>
        </w:tc>
      </w:tr>
    </w:tbl>
    <w:p w14:paraId="40474141"/>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09799B"/>
    <w:rsid w:val="395835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SimSun" w:hAnsi="SimSun" w:eastAsia="SimSun"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B6B4A"/>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B6B4A"/>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B6B4A"/>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1B6B4A"/>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1894</Words>
  <Characters>2155</Characters>
  <Lines>0</Lines>
  <Paragraphs>0</Paragraphs>
  <TotalTime>6</TotalTime>
  <ScaleCrop>false</ScaleCrop>
  <LinksUpToDate>false</LinksUpToDate>
  <CharactersWithSpaces>2289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Pluto</cp:lastModifiedBy>
  <dcterms:modified xsi:type="dcterms:W3CDTF">2026-04-11T09:39:25Z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eyJoZGlkIjoiNDBkYWE5ZTFhZTFjNWIyNTM3MTQ1YjYzZTA4OGJiZTEiLCJ1c2VySWQiOiIxMDYwNzM0MDA5In0=</vt:lpwstr>
  </property>
  <property fmtid="{D5CDD505-2E9C-101B-9397-08002B2CF9AE}" pid="3" name="KSOProductBuildVer">
    <vt:lpwstr>2052-12.1.0.23542</vt:lpwstr>
  </property>
  <property fmtid="{D5CDD505-2E9C-101B-9397-08002B2CF9AE}" pid="4" name="ICV">
    <vt:lpwstr>0CAB8E0983FA440DBBE4197EA6B7D800_12</vt:lpwstr>
  </property>
</Properties>
</file>