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F3A8C"/>
          <w:sz w:val="40"/>
          <w:szCs w:val="40"/>
        </w:rPr>
        <w:t xml:space="preserve">RE Radar</w:t>
      </w:r>
    </w:p>
    <w:p>
      <w:pPr>
        <w:spacing w:after="360" w:before="0"/>
      </w:pPr>
      <w:r>
        <w:rPr>
          <w:rFonts w:ascii="Arial" w:cs="Arial" w:eastAsia="Arial" w:hAnsi="Arial"/>
          <w:color w:val="555555"/>
          <w:sz w:val="26"/>
          <w:szCs w:val="26"/>
        </w:rPr>
        <w:t xml:space="preserve">Submission Summary</w:t>
      </w:r>
    </w:p>
    <w:p>
      <w:pPr>
        <w:pStyle w:val="Heading1"/>
        <w:spacing w:after="120" w:before="280"/>
      </w:pPr>
      <w:r>
        <w:rPr>
          <w:rFonts w:ascii="Arial" w:cs="Arial" w:eastAsia="Arial" w:hAnsi="Arial"/>
          <w:b/>
          <w:bCs/>
          <w:color w:val="1F3A8C"/>
          <w:sz w:val="26"/>
          <w:szCs w:val="26"/>
        </w:rPr>
        <w:t xml:space="preserve">What I Built and What Problem It Solves</w:t>
      </w:r>
    </w:p>
    <w:p>
      <w:pPr>
        <w:spacing w:after="140" w:before="0"/>
      </w:pPr>
      <w:r>
        <w:rPr>
          <w:rFonts w:ascii="Arial" w:cs="Arial" w:eastAsia="Arial" w:hAnsi="Arial"/>
          <w:sz w:val="22"/>
          <w:szCs w:val="22"/>
        </w:rPr>
        <w:t xml:space="preserve">A buyer comparing ten properties across German portals faces inconsistent data: some listings quote Warmmiete, others Kaltmiete, some omit the energy certificate, others bury the Instandhaltungsruecklage inside the Hausgeld. Without a common frame, comparison is guesswork.</w:t>
      </w:r>
    </w:p>
    <w:p>
      <w:pPr>
        <w:spacing w:after="140" w:before="0"/>
      </w:pPr>
      <w:r>
        <w:rPr>
          <w:rFonts w:ascii="Arial" w:cs="Arial" w:eastAsia="Arial" w:hAnsi="Arial"/>
          <w:sz w:val="22"/>
          <w:szCs w:val="22"/>
        </w:rPr>
        <w:t xml:space="preserve">RE Radar gives a buyer one place to find, structure, score, and compare properties using the correct German residential domain model. It covers the full workflow:</w:t>
      </w:r>
    </w:p>
    <w:p>
      <w:pPr>
        <w:spacing w:after="140" w:before="0"/>
      </w:pPr>
      <w:r>
        <w:rPr>
          <w:rFonts w:ascii="Arial" w:cs="Arial" w:eastAsia="Arial" w:hAnsi="Arial"/>
          <w:b/>
          <w:bCs/>
          <w:sz w:val="22"/>
          <w:szCs w:val="22"/>
        </w:rPr>
        <w:t xml:space="preserve">Find </w:t>
      </w:r>
      <w:r>
        <w:rPr>
          <w:rFonts w:ascii="Arial" w:cs="Arial" w:eastAsia="Arial" w:hAnsi="Arial"/>
          <w:sz w:val="22"/>
          <w:szCs w:val="22"/>
        </w:rPr>
        <w:t xml:space="preserve">generates pre-filtered deep links to ImmoScout24, Immowelt, Immonet, and three other portals.</w:t>
      </w:r>
    </w:p>
    <w:p>
      <w:pPr>
        <w:spacing w:after="140" w:before="0"/>
      </w:pPr>
      <w:r>
        <w:rPr>
          <w:rFonts w:ascii="Arial" w:cs="Arial" w:eastAsia="Arial" w:hAnsi="Arial"/>
          <w:b/>
          <w:bCs/>
          <w:sz w:val="22"/>
          <w:szCs w:val="22"/>
        </w:rPr>
        <w:t xml:space="preserve">Smart Paste </w:t>
      </w:r>
      <w:r>
        <w:rPr>
          <w:rFonts w:ascii="Arial" w:cs="Arial" w:eastAsia="Arial" w:hAnsi="Arial"/>
          <w:sz w:val="22"/>
          <w:szCs w:val="22"/>
        </w:rPr>
        <w:t xml:space="preserve">accepts raw listing text and extracts Kaufpreis, Kaltmiete, Hausgeld, Energieklasse, and more via a German-vocabulary parser.</w:t>
      </w:r>
    </w:p>
    <w:p>
      <w:pPr>
        <w:spacing w:after="140" w:before="0"/>
      </w:pPr>
      <w:r>
        <w:rPr>
          <w:rFonts w:ascii="Arial" w:cs="Arial" w:eastAsia="Arial" w:hAnsi="Arial"/>
          <w:b/>
          <w:bCs/>
          <w:sz w:val="22"/>
          <w:szCs w:val="22"/>
        </w:rPr>
        <w:t xml:space="preserve">Evaluate </w:t>
      </w:r>
      <w:r>
        <w:rPr>
          <w:rFonts w:ascii="Arial" w:cs="Arial" w:eastAsia="Arial" w:hAnsi="Arial"/>
          <w:sz w:val="22"/>
          <w:szCs w:val="22"/>
        </w:rPr>
        <w:t xml:space="preserve">scores every listing 0 to 100 across yield, energy class, price per sqm, and data completeness, with risk flags for warm-rent ambiguity, low Ruecklage, Spekulationsfrist, and Mietpreisbremse.</w:t>
      </w:r>
    </w:p>
    <w:p>
      <w:pPr>
        <w:spacing w:after="140" w:before="0"/>
      </w:pPr>
      <w:r>
        <w:rPr>
          <w:rFonts w:ascii="Arial" w:cs="Arial" w:eastAsia="Arial" w:hAnsi="Arial"/>
          <w:b/>
          <w:bCs/>
          <w:sz w:val="22"/>
          <w:szCs w:val="22"/>
        </w:rPr>
        <w:t xml:space="preserve">Compare </w:t>
      </w:r>
      <w:r>
        <w:rPr>
          <w:rFonts w:ascii="Arial" w:cs="Arial" w:eastAsia="Arial" w:hAnsi="Arial"/>
          <w:sz w:val="22"/>
          <w:szCs w:val="22"/>
        </w:rPr>
        <w:t xml:space="preserve">puts up to four properties side by side across 18 metrics with best and worst value highlighting.</w:t>
      </w:r>
    </w:p>
    <w:p>
      <w:pPr>
        <w:pStyle w:val="Heading1"/>
        <w:spacing w:after="120" w:before="280"/>
      </w:pPr>
      <w:r>
        <w:rPr>
          <w:rFonts w:ascii="Arial" w:cs="Arial" w:eastAsia="Arial" w:hAnsi="Arial"/>
          <w:b/>
          <w:bCs/>
          <w:color w:val="1F3A8C"/>
          <w:sz w:val="26"/>
          <w:szCs w:val="26"/>
        </w:rPr>
        <w:t xml:space="preserve">Online Link</w:t>
      </w:r>
    </w:p>
    <w:p>
      <w:pPr>
        <w:spacing w:after="140" w:before="0"/>
      </w:pPr>
      <w:hyperlink w:history="1" r:id="rIddrgbsvnakmjzo3fo8qgra">
        <w:r>
          <w:rPr>
            <w:rFonts w:ascii="Arial" w:cs="Arial" w:eastAsia="Arial" w:hAnsi="Arial"/>
            <w:color w:val="1F3A8C"/>
            <w:sz w:val="22"/>
            <w:szCs w:val="22"/>
            <w:u w:val="single"/>
          </w:rPr>
          <w:t xml:space="preserve">https://plutobi.github.io/RE-Rader/</w:t>
        </w:r>
      </w:hyperlink>
    </w:p>
    <w:p>
      <w:pPr>
        <w:pStyle w:val="Heading1"/>
        <w:spacing w:after="120" w:before="280"/>
      </w:pPr>
      <w:r>
        <w:rPr>
          <w:rFonts w:ascii="Arial" w:cs="Arial" w:eastAsia="Arial" w:hAnsi="Arial"/>
          <w:b/>
          <w:bCs/>
          <w:color w:val="1F3A8C"/>
          <w:sz w:val="26"/>
          <w:szCs w:val="26"/>
        </w:rPr>
        <w:t xml:space="preserve">AI Tools Used and How</w:t>
      </w:r>
    </w:p>
    <w:p>
      <w:pPr>
        <w:spacing w:after="140" w:before="0"/>
      </w:pPr>
      <w:r>
        <w:rPr>
          <w:rFonts w:ascii="Arial" w:cs="Arial" w:eastAsia="Arial" w:hAnsi="Arial"/>
          <w:sz w:val="22"/>
          <w:szCs w:val="22"/>
        </w:rPr>
        <w:t xml:space="preserve">Three tools were tested: Antigravity, Lovable, and Claude (Cowork agent). Antigravity and Lovable generated visual starting points quickly but treated the brief as a generic listing tracker. Neither reasoned about the German domain specifics and both required significant manual correction before any financial figure was trustworthy.</w:t>
      </w:r>
    </w:p>
    <w:p>
      <w:pPr>
        <w:spacing w:after="140" w:before="0"/>
      </w:pPr>
      <w:r>
        <w:rPr>
          <w:rFonts w:ascii="Arial" w:cs="Arial" w:eastAsia="Arial" w:hAnsi="Arial"/>
          <w:sz w:val="22"/>
          <w:szCs w:val="22"/>
        </w:rPr>
        <w:t xml:space="preserve">Claude demonstrated stronger problem understanding, built the domain model before writing any code, surfaced assumptions before they became bugs, and followed iterative instructions accurately throughout. The entire build was done through conversational prompting with no templates or drag-and-drop.</w:t>
      </w:r>
    </w:p>
    <w:p>
      <w:pPr>
        <w:spacing w:after="140" w:before="0"/>
      </w:pPr>
      <w:r>
        <w:rPr>
          <w:rFonts w:ascii="Arial" w:cs="Arial" w:eastAsia="Arial" w:hAnsi="Arial"/>
          <w:sz w:val="22"/>
          <w:szCs w:val="22"/>
        </w:rPr>
        <w:t xml:space="preserve">Prompting approach: domain reasoning before code; assumption surfacing upfront; component-by-component scoring review; debugging by reading rendered output; independent cross-model audit that caught a net yield calculation error.</w:t>
      </w:r>
    </w:p>
    <w:p>
      <w:pPr>
        <w:pStyle w:val="Heading1"/>
        <w:spacing w:after="120" w:before="280"/>
      </w:pPr>
      <w:r>
        <w:rPr>
          <w:rFonts w:ascii="Arial" w:cs="Arial" w:eastAsia="Arial" w:hAnsi="Arial"/>
          <w:b/>
          <w:bCs/>
          <w:color w:val="1F3A8C"/>
          <w:sz w:val="26"/>
          <w:szCs w:val="26"/>
        </w:rPr>
        <w:t xml:space="preserve">Assumptions Made</w:t>
      </w:r>
    </w:p>
    <w:p>
      <w:pPr>
        <w:spacing w:after="140" w:before="0"/>
      </w:pPr>
      <w:r>
        <w:rPr>
          <w:rFonts w:ascii="Arial" w:cs="Arial" w:eastAsia="Arial" w:hAnsi="Arial"/>
          <w:sz w:val="22"/>
          <w:szCs w:val="22"/>
        </w:rPr>
        <w:t xml:space="preserve">Kaltmiete is the correct yield base. Warmmiete inflates the figure and is flagged with a 0.82 multiplier where it is the only figure available. Grunderwerbsteuer is hardcoded per Bundesland (3.5% to 6.5%) based on current law. Net yield deducts non-recoverable Hausgeld only; vacancy, management fees, and tax require a full DCF model beyond this tool's scope. Price per sqm scoring is dataset-relative to avoid hardcoded city benchmarks that go stale. Spekulationsfrist refers to the 10-year CGT window. Mietpreisbremse is auto-detected from approximately 35 regulated cities with a manual override. Smart Paste is regex-based and does not call an LLM, keeping the tool self-contained and free to run.</w:t>
      </w:r>
    </w:p>
    <w:p>
      <w:pPr>
        <w:pStyle w:val="Heading1"/>
        <w:spacing w:after="120" w:before="280"/>
      </w:pPr>
      <w:r>
        <w:rPr>
          <w:rFonts w:ascii="Arial" w:cs="Arial" w:eastAsia="Arial" w:hAnsi="Arial"/>
          <w:b/>
          <w:bCs/>
          <w:color w:val="1F3A8C"/>
          <w:sz w:val="26"/>
          <w:szCs w:val="26"/>
        </w:rPr>
        <w:t xml:space="preserve">What Works, What Is Limited, What I Would Improve</w:t>
      </w:r>
    </w:p>
    <w:p>
      <w:pPr>
        <w:spacing w:after="140" w:before="0"/>
      </w:pPr>
      <w:r>
        <w:rPr>
          <w:rFonts w:ascii="Arial" w:cs="Arial" w:eastAsia="Arial" w:hAnsi="Arial"/>
          <w:sz w:val="22"/>
          <w:szCs w:val="22"/>
        </w:rPr>
        <w:t xml:space="preserve">The full find, structure, evaluate, and compare workflow runs in a single file with no server, no API key, and no build step. Scoring is explainable and auditable. Risk flags cover the main investment failure modes. The comparison table makes trade-offs visible without a spreadsheet.</w:t>
      </w:r>
    </w:p>
    <w:p>
      <w:pPr>
        <w:spacing w:after="140" w:before="0"/>
      </w:pPr>
      <w:r>
        <w:rPr>
          <w:rFonts w:ascii="Arial" w:cs="Arial" w:eastAsia="Arial" w:hAnsi="Arial"/>
          <w:sz w:val="22"/>
          <w:szCs w:val="22"/>
        </w:rPr>
        <w:t xml:space="preserve">Limitations: Smart Paste will miss unusual portal formats. Net yield is an approximation without vacancy, financing, and tax inputs. Price per sqm scoring is weak with fewer than four listings. There is no PDF export.</w:t>
      </w:r>
    </w:p>
    <w:p>
      <w:pPr>
        <w:spacing w:after="140" w:before="0"/>
      </w:pPr>
      <w:r>
        <w:rPr>
          <w:rFonts w:ascii="Arial" w:cs="Arial" w:eastAsia="Arial" w:hAnsi="Arial"/>
          <w:sz w:val="22"/>
          <w:szCs w:val="22"/>
        </w:rPr>
        <w:t xml:space="preserve">Next priorities: replace the regex parser with a Claude API call; add city-level benchmark data; build a full DCF model; add a PDF expose reader; and as a v2, a background agent that runs portal searches automatically and only surfaces listings that pass a minimum score threshold.</w:t>
      </w:r>
    </w:p>
    <w:p>
      <w:pPr>
        <w:spacing w:after="140" w:before="0"/>
      </w:pPr>
      <w:r>
        <w:rPr>
          <w:rFonts w:ascii="Arial" w:cs="Arial" w:eastAsia="Arial" w:hAnsi="Arial"/>
          <w:sz w:val="22"/>
          <w:szCs w:val="22"/>
        </w:rPr>
        <w:t xml:space="preserve">My instinct was to build that pipeline from the start. The brief's constraints pulled the scope back to a manual-entry tool, which I read as a deliberate test of whether the builder could identify the right problem and solve it with appropriate focus rather than building the most technically ambitious thing possible.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rgbsvnakmjzo3fo8qgra" Type="http://schemas.openxmlformats.org/officeDocument/2006/relationships/hyperlink" Target="https://plutobi.github.io/RE-Rade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2026-06-26T14:20:33.829Z</dcterms:created>
  <dcterms:modified xsi:type="dcterms:W3CDTF">2026-06-26T14:20:33.829Z</dcterms:modified>
</cp:coreProperties>
</file>

<file path=docProps/custom.xml><?xml version="1.0" encoding="utf-8"?>
<Properties xmlns="http://schemas.openxmlformats.org/officeDocument/2006/custom-properties" xmlns:vt="http://schemas.openxmlformats.org/officeDocument/2006/docPropsVTypes"/>
</file>