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olarguard分布式光伏可信存证与绿色资产服务平台"/>
    <w:p>
      <w:pPr>
        <w:pStyle w:val="Heading1"/>
        <w:jc w:val="center"/>
      </w:pPr>
      <w:r>
        <w:rPr>
          <w:rFonts w:hint="eastAsia" w:ascii="Arial" w:hAnsi="Arial" w:eastAsia="等线"/>
          <w:b/>
          <w:color w:val="2E6B4F"/>
          <w:sz w:val="48"/>
        </w:rPr>
        <w:t xml:space="preserve">SolarGuard：分布式光伏可信存证与绿色资产服务平台</w:t>
      </w:r>
    </w:p>
    <w:p>
      <w:pPr>
        <w:pStyle w:val="FirstParagraph"/>
        <w:jc w:val="center"/>
      </w:pPr>
      <w:r>
        <w:rPr>
          <w:rFonts w:hint="eastAsia" w:ascii="宋体" w:hAnsi="宋体" w:eastAsia="宋体"/>
          <w:sz w:val="28"/>
        </w:rPr>
        <w:t xml:space="preserve">中国国际大学生创新大赛</w:t>
      </w:r>
      <w:r>
        <w:rPr>
          <w:rFonts w:ascii="宋体" w:hAnsi="宋体" w:eastAsia="宋体"/>
          <w:sz w:val="28"/>
        </w:rPr>
        <w:t xml:space="preserve"> / </w:t>
      </w:r>
      <w:r>
        <w:rPr>
          <w:rFonts w:hint="eastAsia" w:ascii="宋体" w:hAnsi="宋体" w:eastAsia="宋体"/>
          <w:sz w:val="28"/>
        </w:rPr>
        <w:t xml:space="preserve">大学生创新创业训练计划项目</w:t>
      </w:r>
    </w:p>
    <w:p>
      <w:pPr>
        <w:pStyle w:val="BodyText"/>
        <w:jc w:val="center"/>
      </w:pPr>
      <w:r>
        <w:rPr>
          <w:rFonts w:hint="eastAsia" w:ascii="宋体" w:hAnsi="宋体" w:eastAsia="宋体"/>
          <w:b/>
          <w:sz w:val="32"/>
        </w:rPr>
        <w:t xml:space="preserve">互联网杯与大创省赛商业计划书</w:t>
      </w:r>
    </w:p>
    <w:p>
      <w:pPr>
        <w:pStyle w:val="BodyText"/>
        <w:jc w:val="center"/>
      </w:pPr>
      <w:r>
        <w:rPr>
          <w:rFonts w:hint="eastAsia" w:ascii="宋体" w:hAnsi="宋体" w:eastAsia="宋体"/>
          <w:sz w:val="24"/>
        </w:rPr>
        <w:t xml:space="preserve">项目类型：创意组</w:t>
      </w:r>
      <w:r>
        <w:rPr>
          <w:rFonts w:ascii="宋体" w:hAnsi="宋体" w:eastAsia="宋体"/>
          <w:sz w:val="24"/>
        </w:rPr>
        <w:t xml:space="preserve"> / </w:t>
      </w:r>
      <w:r>
        <w:rPr>
          <w:rFonts w:hint="eastAsia" w:ascii="宋体" w:hAnsi="宋体" w:eastAsia="宋体"/>
          <w:sz w:val="24"/>
        </w:rPr>
        <w:t xml:space="preserve">学生创新项目</w:t>
      </w:r>
    </w:p>
    <w:p>
      <w:pPr>
        <w:pStyle w:val="BodyText"/>
        <w:jc w:val="center"/>
      </w:pPr>
      <w:r>
        <w:rPr>
          <w:rFonts w:hint="eastAsia" w:ascii="宋体" w:hAnsi="宋体" w:eastAsia="宋体"/>
          <w:sz w:val="24"/>
        </w:rPr>
        <w:t xml:space="preserve">项目方向：新能源可信数据、联盟链存证、绿色资产服务</w:t>
      </w:r>
    </w:p>
    <w:p>
      <w:pPr>
        <w:pStyle w:val="BodyText"/>
        <w:jc w:val="center"/>
      </w:pPr>
      <w:r>
        <w:rPr>
          <w:rFonts w:hint="eastAsia" w:ascii="宋体" w:hAnsi="宋体" w:eastAsia="宋体"/>
          <w:sz w:val="24"/>
        </w:rPr>
        <w:t xml:space="preserve">团队名称：待补</w:t>
      </w:r>
      <w:r>
        <w:rPr>
          <w:rFonts w:ascii="宋体" w:hAnsi="宋体" w:eastAsia="宋体"/>
          <w:sz w:val="24"/>
        </w:rPr>
        <w:br/>
      </w:r>
      <w:r>
        <w:rPr>
          <w:rFonts w:hint="eastAsia" w:ascii="宋体" w:hAnsi="宋体" w:eastAsia="宋体"/>
          <w:sz w:val="24"/>
        </w:rPr>
        <w:t xml:space="preserve">学校：待补</w:t>
      </w:r>
      <w:r>
        <w:rPr>
          <w:rFonts w:ascii="宋体" w:hAnsi="宋体" w:eastAsia="宋体"/>
          <w:sz w:val="24"/>
        </w:rPr>
        <w:br/>
      </w:r>
      <w:r>
        <w:rPr>
          <w:rFonts w:hint="eastAsia" w:ascii="宋体" w:hAnsi="宋体" w:eastAsia="宋体"/>
          <w:sz w:val="24"/>
        </w:rPr>
        <w:t xml:space="preserve">学院：待补</w:t>
      </w:r>
      <w:r>
        <w:rPr>
          <w:rFonts w:ascii="宋体" w:hAnsi="宋体" w:eastAsia="宋体"/>
          <w:sz w:val="24"/>
        </w:rPr>
        <w:br/>
      </w:r>
      <w:r>
        <w:rPr>
          <w:rFonts w:hint="eastAsia" w:ascii="宋体" w:hAnsi="宋体" w:eastAsia="宋体"/>
          <w:sz w:val="24"/>
        </w:rPr>
        <w:t xml:space="preserve">指导老师：待补</w:t>
      </w:r>
      <w:r>
        <w:rPr>
          <w:rFonts w:ascii="宋体" w:hAnsi="宋体" w:eastAsia="宋体"/>
          <w:sz w:val="24"/>
        </w:rPr>
        <w:br/>
      </w:r>
      <w:r>
        <w:rPr>
          <w:rFonts w:hint="eastAsia" w:ascii="宋体" w:hAnsi="宋体" w:eastAsia="宋体"/>
          <w:sz w:val="24"/>
        </w:rPr>
        <w:t xml:space="preserve">项目负责人：待补</w:t>
      </w:r>
      <w:r>
        <w:rPr>
          <w:rFonts w:ascii="宋体" w:hAnsi="宋体" w:eastAsia="宋体"/>
          <w:sz w:val="24"/>
        </w:rPr>
        <w:br/>
      </w:r>
      <w:r>
        <w:rPr>
          <w:rFonts w:hint="eastAsia" w:ascii="宋体" w:hAnsi="宋体" w:eastAsia="宋体"/>
          <w:sz w:val="24"/>
        </w:rPr>
        <w:t xml:space="preserve">完成时间：2026年3月</w:t>
      </w:r>
    </w:p>
    <w:bookmarkEnd w:id="9"/>
    <w:bookmarkStart w:id="10" w:name="执行摘要"/>
    <w:p>
      <w:pPr>
        <w:pStyle w:val="Heading1"/>
        <w:jc w:val="center"/>
      </w:pPr>
      <w:r>
        <w:rPr>
          <w:rFonts w:hint="eastAsia"/>
        </w:rPr>
        <w:t xml:space="preserve">执行摘要</w:t>
      </w:r>
    </w:p>
    <w:p>
      <w:pPr>
        <w:pStyle w:val="FirstParagraph"/>
        <w:spacing w:line="360" w:lineRule="auto" w:after="120"/>
        <w:ind w:firstLine="420"/>
      </w:pPr>
      <w:r>
        <w:t xml:space="preserve">SolarGuard </w:t>
      </w:r>
      <w:r>
        <w:rPr>
          <w:rFonts w:hint="eastAsia"/>
        </w:rPr>
        <w:t xml:space="preserve">是一个面向分布式光伏场景的可信数据采集、联盟链存证与绿色资产服务平台。项目围绕“新能源场景中的底层数据如何可信获取、可信记录并服务上层应用”这一现实问题展开，形成了从设备接入、自动监测、数字签名、链上存证到前端展示和报告输出的完整原型链路。</w:t>
      </w:r>
    </w:p>
    <w:p>
      <w:pPr>
        <w:pStyle w:val="BodyText"/>
        <w:spacing w:line="360" w:lineRule="auto" w:after="120"/>
        <w:ind w:firstLine="420"/>
      </w:pPr>
      <w:r>
        <w:rPr>
          <w:rFonts w:hint="eastAsia"/>
        </w:rPr>
        <w:t xml:space="preserve">与传统光伏监控系统相比，SolarGuard</w:t>
      </w:r>
      <w:r>
        <w:t xml:space="preserve"> </w:t>
      </w:r>
      <w:r>
        <w:rPr>
          <w:rFonts w:hint="eastAsia"/>
        </w:rPr>
        <w:t xml:space="preserve">的核心价值不在于简单展示设备运行状态，而在于把分散、易丢失、难验证的运行数据转化为可追溯、可核验、可服务绿证、ESG</w:t>
      </w:r>
      <w:r>
        <w:t xml:space="preserve"> </w:t>
      </w:r>
      <w:r>
        <w:rPr>
          <w:rFonts w:hint="eastAsia"/>
        </w:rPr>
        <w:t xml:space="preserve">与绿色金融辅助决策的可信数据资产基础。项目当前已经完成真实设备读取、自动监测图表生成、链上交互原型、前端可视化页面和系统级商业计划书材料整合，具备继续向比赛申报、试点展示和后续深化推进的现实基础。</w:t>
      </w:r>
    </w:p>
    <w:p>
      <w:pPr>
        <w:pStyle w:val="BodyText"/>
        <w:spacing w:line="360" w:lineRule="auto" w:after="120"/>
        <w:ind w:firstLine="420"/>
      </w:pPr>
      <w:r>
        <w:rPr>
          <w:rFonts w:hint="eastAsia"/>
        </w:rPr>
        <w:t xml:space="preserve">在政策环境方面，项目主动根据最新监管口径完成叙事调整，不再将自身定义为高风险的代币化或公开交易项目，而是明确定位为新能源可信数据与绿色资产服务平台。这一定位更加符合当前数据要素、绿色金融、可信数据空间和分布式光伏规范化建设的政策方向，也使项目具备更强的比赛适配度和现实落地可能性。</w:t>
      </w:r>
    </w:p>
    <w:p>
      <w:pPr>
        <w:pStyle w:val="BodyText"/>
        <w:spacing w:line="360" w:lineRule="auto" w:after="120"/>
        <w:ind w:firstLine="420"/>
      </w:pPr>
      <w:r>
        <w:rPr>
          <w:rFonts w:hint="eastAsia"/>
        </w:rPr>
        <w:t xml:space="preserve">在技术上，项目已经完成设备数据采集、自动监测脚本、签名处理、FISCO-BCOS</w:t>
      </w:r>
      <w:r>
        <w:t xml:space="preserve"> </w:t>
      </w:r>
      <w:r>
        <w:rPr>
          <w:rFonts w:hint="eastAsia"/>
        </w:rPr>
        <w:t xml:space="preserve">联盟链交互、前端原型和图表输出等关键模块，证明项目并非停留在概念层，而是具备真实系统雏形。在应用上，项目面向分布式光伏运维、园区能源管理、绿证辅助核验、ESG</w:t>
      </w:r>
      <w:r>
        <w:t xml:space="preserve"> </w:t>
      </w:r>
      <w:r>
        <w:rPr>
          <w:rFonts w:hint="eastAsia"/>
        </w:rPr>
        <w:t xml:space="preserve">披露支持和绿色金融辅助决策等场景，具有较强的延展性。在团队训练上，项目体现了从知识迁移、工程实践到材料组织和综合表达的完整创新训练路径，符合创新大赛和大创项目对学生成长与专创融合的要求。</w:t>
      </w:r>
    </w:p>
    <w:p>
      <w:pPr>
        <w:pStyle w:val="BodyText"/>
        <w:spacing w:line="360" w:lineRule="auto" w:after="120"/>
        <w:ind w:firstLine="420"/>
      </w:pPr>
      <w:r>
        <w:rPr>
          <w:rFonts w:hint="eastAsia"/>
        </w:rPr>
        <w:t xml:space="preserve">当前阶段，SolarGuard</w:t>
      </w:r>
      <w:r>
        <w:t xml:space="preserve"> </w:t>
      </w:r>
      <w:r>
        <w:rPr>
          <w:rFonts w:hint="eastAsia"/>
        </w:rPr>
        <w:t xml:space="preserve">已完成商业计划书第一版、核心图片体系、政策资料归档和</w:t>
      </w:r>
      <w:r>
        <w:t xml:space="preserve"> Word </w:t>
      </w:r>
      <w:r>
        <w:rPr>
          <w:rFonts w:hint="eastAsia"/>
        </w:rPr>
        <w:t xml:space="preserve">定稿结构搭建。后续随着市场数据、用户调研、财务资料和真实实验材料的进一步补充，项目有条件进一步提升为更加完整的省赛和网评提交版本。</w:t>
      </w:r>
    </w:p>
    <w:bookmarkEnd w:id="10"/>
    <w:bookmarkStart w:id="11" w:name="目录"/>
    <w:p>
      <w:pPr>
        <w:pStyle w:val="Heading1"/>
        <w:jc w:val="center"/>
      </w:pPr>
      <w:r>
        <w:rPr>
          <w:rFonts w:hint="eastAsia"/>
        </w:rPr>
        <w:t xml:space="preserve">目录</w:t>
      </w:r>
    </w:p>
    <w:p>
      <w:pPr>
        <w:pStyle w:val="FirstParagraph"/>
        <w:spacing w:line="360" w:lineRule="auto" w:after="120"/>
        <w:ind w:firstLine="420"/>
      </w:pPr>
      <w:r>
        <w:t xml:space="preserve">[TOC]</w:t>
      </w:r>
    </w:p>
    <w:bookmarkEnd w:id="11"/>
    <w:bookmarkStart w:id="12" w:name="图目录"/>
    <w:p>
      <w:pPr>
        <w:pStyle w:val="Heading1"/>
        <w:jc w:val="center"/>
      </w:pPr>
      <w:r>
        <w:rPr>
          <w:rFonts w:hint="eastAsia"/>
        </w:rPr>
        <w:t xml:space="preserve">图目录</w:t>
      </w:r>
    </w:p>
    <w:p>
      <w:pPr>
        <w:pStyle w:val="BlockText"/>
      </w:pPr>
      <w:r>
        <w:rPr>
          <w:rFonts w:hint="eastAsia"/>
          <w:i/>
          <w:color w:val="6B7280"/>
        </w:rPr>
        <w:t xml:space="preserve">说明：请在</w:t>
      </w:r>
      <w:r>
        <w:rPr>
          <w:i/>
          <w:color w:val="6B7280"/>
        </w:rPr>
        <w:t xml:space="preserve"> Word </w:t>
      </w:r>
      <w:r>
        <w:rPr>
          <w:rFonts w:hint="eastAsia"/>
          <w:i/>
          <w:color w:val="6B7280"/>
        </w:rPr>
        <w:t xml:space="preserve">中使用题注与目录功能生成图目录。</w:t>
      </w:r>
    </w:p>
    <w:bookmarkEnd w:id="12"/>
    <w:bookmarkStart w:id="13" w:name="表目录"/>
    <w:p>
      <w:pPr>
        <w:pStyle w:val="Heading1"/>
        <w:jc w:val="center"/>
      </w:pPr>
      <w:r>
        <w:rPr>
          <w:rFonts w:hint="eastAsia"/>
        </w:rPr>
        <w:t xml:space="preserve">表目录</w:t>
      </w:r>
    </w:p>
    <w:p>
      <w:pPr>
        <w:pStyle w:val="BlockText"/>
      </w:pPr>
      <w:r>
        <w:rPr>
          <w:rFonts w:hint="eastAsia"/>
          <w:i/>
          <w:color w:val="6B7280"/>
        </w:rPr>
        <w:t xml:space="preserve">说明：请在</w:t>
      </w:r>
      <w:r>
        <w:rPr>
          <w:i/>
          <w:color w:val="6B7280"/>
        </w:rPr>
        <w:t xml:space="preserve"> Word </w:t>
      </w:r>
      <w:r>
        <w:rPr>
          <w:rFonts w:hint="eastAsia"/>
          <w:i/>
          <w:color w:val="6B7280"/>
        </w:rPr>
        <w:t xml:space="preserve">中使用题注与目录功能生成表目录。</w:t>
      </w:r>
    </w:p>
    <w:bookmarkEnd w:id="13"/>
    <w:bookmarkStart w:id="26" w:name="第一章-项目概述"/>
    <w:p>
      <w:pPr>
        <w:pStyle w:val="Heading1"/>
        <w:jc w:val="left"/>
      </w:pPr>
      <w:r>
        <w:rPr>
          <w:rFonts w:hint="eastAsia"/>
        </w:rPr>
        <w:t xml:space="preserve">第一章</w:t>
        <w:br w:type="page"/>
      </w:r>
      <w:r>
        <w:t xml:space="preserve"> </w:t>
      </w:r>
      <w:r>
        <w:rPr>
          <w:rFonts w:hint="eastAsia"/>
        </w:rPr>
        <w:t xml:space="preserve">项目概述</w:t>
      </w:r>
    </w:p>
    <w:bookmarkStart w:id="14" w:name="项目背景"/>
    <w:p>
      <w:pPr>
        <w:pStyle w:val="Heading2"/>
      </w:pPr>
      <w:r>
        <w:t xml:space="preserve">1.1 </w:t>
      </w:r>
      <w:r>
        <w:rPr>
          <w:rFonts w:hint="eastAsia"/>
        </w:rPr>
        <w:t xml:space="preserve">项目背景</w:t>
      </w:r>
    </w:p>
    <w:p>
      <w:pPr>
        <w:pStyle w:val="FirstParagraph"/>
        <w:spacing w:line="360" w:lineRule="auto" w:after="120"/>
        <w:ind w:firstLine="420"/>
      </w:pPr>
      <w:r>
        <w:rPr>
          <w:rFonts w:hint="eastAsia"/>
        </w:rPr>
        <w:t xml:space="preserve">在国家“双碳”战略、新型电力系统建设和数字中国建设持续推进的背景下，分布式光伏正在成为我国新能源体系中增长最快、覆盖最广的基础场景之一。与集中式能源项目相比，分布式光伏具有部署灵活、贴近负荷侧、应用范围广等优势，正在园区、校园、工商业屋顶和居民场景中加速落地。然而，伴随分布式光伏规模快速扩张，底层运行数据的可信获取、持续记录、跨主体核验和场景化使用问题也日益突出。</w:t>
      </w:r>
    </w:p>
    <w:p>
      <w:pPr>
        <w:pStyle w:val="BodyText"/>
        <w:spacing w:line="360" w:lineRule="auto" w:after="120"/>
        <w:ind w:firstLine="420"/>
      </w:pPr>
      <w:r>
        <w:rPr>
          <w:rFonts w:hint="eastAsia"/>
        </w:rPr>
        <w:t xml:space="preserve">当前，大量分布式光伏项目虽然已经具备基础监测能力，但真实发电数据仍普遍存在采集链路分散、数据格式不统一、连续性不足、缺乏可信留痕和难以被第三方机构采信等问题。这些问题不仅影响设备运维效率，也限制了发电数据在绿证衔接、ESG</w:t>
      </w:r>
      <w:r>
        <w:t xml:space="preserve"> </w:t>
      </w:r>
      <w:r>
        <w:rPr>
          <w:rFonts w:hint="eastAsia"/>
        </w:rPr>
        <w:t xml:space="preserve">披露、绿色金融辅助决策、项目审计和风险管理等场景中的进一步应用。换句话说，新能源产业中并不缺“数据”，真正稀缺的是“可信、连续、可追溯、可验证、可复用的数据”。</w:t>
      </w:r>
    </w:p>
    <w:p>
      <w:pPr>
        <w:pStyle w:val="BodyText"/>
        <w:spacing w:line="360" w:lineRule="auto" w:after="120"/>
        <w:ind w:firstLine="420"/>
      </w:pPr>
      <w:r>
        <w:rPr>
          <w:rFonts w:hint="eastAsia"/>
        </w:rPr>
        <w:t xml:space="preserve">与此同时，国家正持续推进数据要素市场化配置改革、可信数据空间建设、数字金融服务实体经济和绿色金融体系完善。分布式光伏发电数据作为新能源产业中的重要基础数据，正在从单纯的运行信息逐步转变为具有治理价值、金融价值和合规价值的关键数据资源。如何将底层设备数据转化为可信业务数据，并进一步服务于绿色资产核验和绿色金融场景，已经成为一个具有现实意义的创新方向。</w:t>
      </w:r>
    </w:p>
    <w:p>
      <w:pPr>
        <w:pStyle w:val="BodyText"/>
        <w:spacing w:line="360" w:lineRule="auto" w:after="120"/>
        <w:ind w:firstLine="420"/>
      </w:pPr>
      <w:r>
        <w:rPr>
          <w:rFonts w:hint="eastAsia"/>
        </w:rPr>
        <w:t xml:space="preserve">基于上述背景，</w:t>
      </w:r>
      <w:r>
        <w:rPr>
          <w:rStyle w:val="VerbatimChar"/>
        </w:rPr>
        <w:t xml:space="preserve">SolarGuard</w:t>
      </w:r>
      <w:r>
        <w:t xml:space="preserve"> </w:t>
      </w:r>
      <w:r>
        <w:rPr>
          <w:rFonts w:hint="eastAsia"/>
        </w:rPr>
        <w:t xml:space="preserve">项目围绕分布式光伏场景，尝试构建一套从物理设备采集到数据签名、联盟链存证、自动监测告警、可视化展示，再到绿色资产核验服务的完整原型系统。项目希望通过技术手段解决“数据可信性不足”这一底层问题，为新能源数据要素化应用提供可验证、可扩展的技术路径。</w:t>
      </w:r>
    </w:p>
    <w:bookmarkEnd w:id="14"/>
    <w:bookmarkStart w:id="15" w:name="项目要解决的核心问题"/>
    <w:p>
      <w:pPr>
        <w:pStyle w:val="Heading2"/>
      </w:pPr>
      <w:r>
        <w:t xml:space="preserve">1.2 </w:t>
      </w:r>
      <w:r>
        <w:rPr>
          <w:rFonts w:hint="eastAsia"/>
        </w:rPr>
        <w:t xml:space="preserve">项目要解决的核心问题</w:t>
      </w:r>
    </w:p>
    <w:p>
      <w:pPr>
        <w:pStyle w:val="FirstParagraph"/>
        <w:spacing w:line="360" w:lineRule="auto" w:after="120"/>
        <w:ind w:firstLine="420"/>
      </w:pPr>
      <w:r>
        <w:rPr>
          <w:rStyle w:val="VerbatimChar"/>
        </w:rPr>
        <w:t xml:space="preserve">SolarGuard</w:t>
      </w:r>
      <w:r>
        <w:t xml:space="preserve"> </w:t>
      </w:r>
      <w:r>
        <w:rPr>
          <w:rFonts w:hint="eastAsia"/>
        </w:rPr>
        <w:t xml:space="preserve">聚焦的并不是光伏硬件制造本身，也不是单纯的区块链概念展示，而是分布式光伏数据在真实应用过程中面临的核心障碍。</w:t>
      </w:r>
    </w:p>
    <w:p>
      <w:pPr>
        <w:pStyle w:val="BodyText"/>
        <w:spacing w:line="360" w:lineRule="auto" w:after="120"/>
        <w:ind w:firstLine="420"/>
      </w:pPr>
      <w:r>
        <w:rPr>
          <w:rFonts w:hint="eastAsia"/>
        </w:rPr>
        <w:t xml:space="preserve">首先，分布式光伏项目底层数据来源复杂，设备型号、通信接口、部署环境和运维方式差异较大，导致数据采集结果难以标准化整合。许多数据虽然被设备本地记录，却没有形成统一、结构化、可长期使用的数据资产基础。</w:t>
      </w:r>
    </w:p>
    <w:p>
      <w:pPr>
        <w:pStyle w:val="BodyText"/>
        <w:spacing w:line="360" w:lineRule="auto" w:after="120"/>
        <w:ind w:firstLine="420"/>
      </w:pPr>
      <w:r>
        <w:rPr>
          <w:rFonts w:hint="eastAsia"/>
        </w:rPr>
        <w:t xml:space="preserve">其次，光伏运行数据缺乏可信确权机制。传统监控平台大多只解决“看得到”的问题，却难以解决“能证明、可追溯、可核验”的问题。一旦数据需要被金融机构、审计主体、合作方或监管场景引用，就容易面临真实性不足、留痕不完整、来源不可追溯等问题。</w:t>
      </w:r>
    </w:p>
    <w:p>
      <w:pPr>
        <w:pStyle w:val="BodyText"/>
        <w:spacing w:line="360" w:lineRule="auto" w:after="120"/>
        <w:ind w:firstLine="420"/>
      </w:pPr>
      <w:r>
        <w:rPr>
          <w:rFonts w:hint="eastAsia"/>
        </w:rPr>
        <w:t xml:space="preserve">再次，分布式光伏数据与绿证、ESG、绿色金融之间仍然存在明显的场景断层。当前许多新能源项目的数据停留在设备运维层，没有真正进入跨主体协同使用的业务层。金融机构难以低成本获取可信底层数据，ESG</w:t>
      </w:r>
      <w:r>
        <w:t xml:space="preserve"> </w:t>
      </w:r>
      <w:r>
        <w:rPr>
          <w:rFonts w:hint="eastAsia"/>
        </w:rPr>
        <w:t xml:space="preserve">披露和绿色审计缺乏自动化、连续化的支撑工具，数据的价值难以持续释放。</w:t>
      </w:r>
    </w:p>
    <w:p>
      <w:pPr>
        <w:pStyle w:val="BodyText"/>
        <w:spacing w:line="360" w:lineRule="auto" w:after="120"/>
        <w:ind w:firstLine="420"/>
      </w:pPr>
      <w:r>
        <w:rPr>
          <w:rFonts w:hint="eastAsia"/>
        </w:rPr>
        <w:t xml:space="preserve">最后，在政策环境变化背景下，新能源资产数字化项目还面临合规叙事的挑战。如何在不触碰金融监管高风险边界的前提下，将技术创新与真实应用场景结合起来，是当前项目设计和项目申报必须同时回应的问题。</w:t>
      </w:r>
    </w:p>
    <w:p>
      <w:pPr>
        <w:pStyle w:val="BodyText"/>
        <w:spacing w:line="360" w:lineRule="auto" w:after="120"/>
        <w:ind w:firstLine="420"/>
      </w:pPr>
      <w:r>
        <w:rPr>
          <w:rFonts w:hint="eastAsia"/>
        </w:rPr>
        <w:t xml:space="preserve">因此，</w:t>
      </w:r>
      <w:r>
        <w:rPr>
          <w:rStyle w:val="VerbatimChar"/>
        </w:rPr>
        <w:t xml:space="preserve">SolarGuard</w:t>
      </w:r>
      <w:r>
        <w:t xml:space="preserve"> </w:t>
      </w:r>
      <w:r>
        <w:rPr>
          <w:rFonts w:hint="eastAsia"/>
        </w:rPr>
        <w:t xml:space="preserve">要解决的根本问题可以概括为：如何为分布式光伏场景建立一套可信、连续、可验证、可服务多主体的数据基础设施，使设备侧的原始发电数据能够真正转化为可被应用场景采信和复用的可信业务数据。</w:t>
      </w:r>
    </w:p>
    <w:bookmarkEnd w:id="15"/>
    <w:bookmarkStart w:id="16" w:name="项目目标"/>
    <w:p>
      <w:pPr>
        <w:pStyle w:val="Heading2"/>
      </w:pPr>
      <w:r>
        <w:t xml:space="preserve">1.3 </w:t>
      </w:r>
      <w:r>
        <w:rPr>
          <w:rFonts w:hint="eastAsia"/>
        </w:rPr>
        <w:t xml:space="preserve">项目目标</w:t>
      </w:r>
    </w:p>
    <w:p>
      <w:pPr>
        <w:pStyle w:val="FirstParagraph"/>
        <w:spacing w:line="360" w:lineRule="auto" w:after="120"/>
        <w:ind w:firstLine="420"/>
      </w:pPr>
      <w:r>
        <w:rPr>
          <w:rFonts w:hint="eastAsia"/>
        </w:rPr>
        <w:t xml:space="preserve">围绕上述问题，</w:t>
      </w:r>
      <w:r>
        <w:rPr>
          <w:rStyle w:val="VerbatimChar"/>
        </w:rPr>
        <w:t xml:space="preserve">SolarGuard</w:t>
      </w:r>
      <w:r>
        <w:t xml:space="preserve"> </w:t>
      </w:r>
      <w:r>
        <w:rPr>
          <w:rFonts w:hint="eastAsia"/>
        </w:rPr>
        <w:t xml:space="preserve">项目设置了三个层次的目标。</w:t>
      </w:r>
    </w:p>
    <w:p>
      <w:pPr>
        <w:pStyle w:val="BodyText"/>
        <w:spacing w:line="360" w:lineRule="auto" w:after="120"/>
        <w:ind w:firstLine="420"/>
      </w:pPr>
      <w:r>
        <w:rPr>
          <w:rFonts w:hint="eastAsia"/>
        </w:rPr>
        <w:t xml:space="preserve">第一，构建面向分布式光伏场景的可信数据采集与处理链路。项目通过接入光伏控制器等设备，采集发电功率、电压、电池状态、累计发电量等关键指标，并进行结构化处理，为后续确权、存证和应用提供统一的数据基础。</w:t>
      </w:r>
    </w:p>
    <w:p>
      <w:pPr>
        <w:pStyle w:val="BodyText"/>
        <w:spacing w:line="360" w:lineRule="auto" w:after="120"/>
        <w:ind w:firstLine="420"/>
      </w:pPr>
      <w:r>
        <w:rPr>
          <w:rFonts w:hint="eastAsia"/>
        </w:rPr>
        <w:t xml:space="preserve">第二，构建面向多方协同使用的可信存证与追溯机制。项目引入数字签名和联盟链存证技术，使关键数据在产生后能够形成可验证、可追溯、可长期保存的记录，为后续核验、审计和业务调用提供依据。</w:t>
      </w:r>
    </w:p>
    <w:p>
      <w:pPr>
        <w:pStyle w:val="BodyText"/>
        <w:spacing w:line="360" w:lineRule="auto" w:after="120"/>
        <w:ind w:firstLine="420"/>
      </w:pPr>
      <w:r>
        <w:rPr>
          <w:rFonts w:hint="eastAsia"/>
        </w:rPr>
        <w:t xml:space="preserve">第三，探索新能源数据服务于绿色资产核验和绿色金融辅助场景的应用路径。项目不将重点放在公开金融化运作，而是放在更符合当前政策方向的场景上，例如绿证衔接、ESG</w:t>
      </w:r>
      <w:r>
        <w:t xml:space="preserve"> </w:t>
      </w:r>
      <w:r>
        <w:rPr>
          <w:rFonts w:hint="eastAsia"/>
        </w:rPr>
        <w:t xml:space="preserve">披露、绿色贷款和保险辅助尽调、园区能源数据治理等，从而让底层数据真正进入更高价值的业务链条。</w:t>
      </w:r>
    </w:p>
    <w:p>
      <w:pPr>
        <w:pStyle w:val="BodyText"/>
        <w:spacing w:line="360" w:lineRule="auto" w:after="120"/>
        <w:ind w:firstLine="420"/>
      </w:pPr>
      <w:r>
        <w:rPr>
          <w:rFonts w:hint="eastAsia"/>
        </w:rPr>
        <w:t xml:space="preserve">从技术原型到比赛申报的当前阶段，项目目标并不是直接建成大规模商业平台，而是完成一套具有真实实验基础、完整系统链路和明确扩展方向的原型系统，并在此基础上形成可持续深化的项目方案。</w:t>
      </w:r>
    </w:p>
    <w:bookmarkEnd w:id="16"/>
    <w:bookmarkStart w:id="20" w:name="项目亮点"/>
    <w:p>
      <w:pPr>
        <w:pStyle w:val="Heading2"/>
      </w:pPr>
      <w:r>
        <w:t xml:space="preserve">1.4 </w:t>
      </w:r>
      <w:r>
        <w:rPr>
          <w:rFonts w:hint="eastAsia"/>
        </w:rPr>
        <w:t xml:space="preserve">项目亮点</w:t>
      </w:r>
    </w:p>
    <w:p>
      <w:pPr>
        <w:pStyle w:val="FirstParagraph"/>
        <w:spacing w:line="360" w:lineRule="auto" w:after="120"/>
        <w:ind w:firstLine="420"/>
      </w:pPr>
      <w:r>
        <w:rPr>
          <w:rFonts w:hint="eastAsia"/>
        </w:rPr>
        <w:t xml:space="preserve">与单纯的软件平台或概念化方案相比，</w:t>
      </w:r>
      <w:r>
        <w:rPr>
          <w:rStyle w:val="VerbatimChar"/>
        </w:rPr>
        <w:t xml:space="preserve">SolarGuard</w:t>
      </w:r>
      <w:r>
        <w:t xml:space="preserve"> </w:t>
      </w:r>
      <w:r>
        <w:rPr>
          <w:rFonts w:hint="eastAsia"/>
        </w:rPr>
        <w:t xml:space="preserve">的亮点主要体现在“真实场景、可信链路、系统闭环、政策适配”四个方面。</w:t>
      </w:r>
    </w:p>
    <w:p>
      <w:pPr>
        <w:pStyle w:val="BodyText"/>
        <w:spacing w:line="360" w:lineRule="auto" w:after="120"/>
        <w:ind w:firstLine="420"/>
      </w:pPr>
      <w:r>
        <w:rPr>
          <w:rFonts w:hint="eastAsia"/>
        </w:rPr>
        <w:t xml:space="preserve">第一，项目建立在真实分布式光伏设备采集基础之上，已经围绕实际硬件控制器完成了数据读取、状态监测和连续记录相关实验，具有明确的物理世界锚点，而非停留在纯概念推演层面。</w:t>
      </w:r>
    </w:p>
    <w:p>
      <w:pPr>
        <w:pStyle w:val="BodyText"/>
        <w:spacing w:line="360" w:lineRule="auto" w:after="120"/>
        <w:ind w:firstLine="420"/>
      </w:pPr>
      <w:r>
        <w:rPr>
          <w:rFonts w:hint="eastAsia"/>
        </w:rPr>
        <w:t xml:space="preserve">第二，项目强调可信数据机制而不是普通数据展示。通过数字签名、联盟链存证、自动监测和多模块联动，项目将“看板展示型监控”提升为“具备可验证能力的数据底座”，增强了数据在跨主体场景中的可信度和复用潜力。</w:t>
      </w:r>
    </w:p>
    <w:p>
      <w:pPr>
        <w:pStyle w:val="BodyText"/>
        <w:spacing w:line="360" w:lineRule="auto" w:after="120"/>
        <w:ind w:firstLine="420"/>
      </w:pPr>
      <w:r>
        <w:rPr>
          <w:rFonts w:hint="eastAsia"/>
        </w:rPr>
        <w:t xml:space="preserve">第三，项目已初步形成从硬件采集、边缘处理、链上记录到前端可视化的完整系统原型。现有代码和实验结果表明，项目并非单点模块开发，而是已经完成了关键链路的闭环验证。</w:t>
      </w:r>
    </w:p>
    <w:p>
      <w:pPr>
        <w:pStyle w:val="BodyText"/>
        <w:spacing w:line="360" w:lineRule="auto" w:after="120"/>
        <w:ind w:firstLine="420"/>
      </w:pPr>
      <w:r>
        <w:rPr>
          <w:rFonts w:hint="eastAsia"/>
        </w:rPr>
        <w:t xml:space="preserve">第四，项目主动根据当前政策环境调整技术叙事和应用定位，将重点放在新能源可信数据、绿色资产核验和绿色金融辅助服务上，既保留了技术创新性，又增强了比赛申报和后续落地的合规适配性。</w:t>
      </w:r>
    </w:p>
    <w:p>
      <w:pPr>
        <w:pStyle w:val="CaptionedFigure"/>
      </w:pPr>
      <w:r>
        <w:drawing>
          <wp:inline>
            <wp:extent cx="5334000" cy="7000875"/>
            <wp:effectExtent b="0" l="0" r="0" t="0"/>
            <wp:docPr descr="插图" title="" id="18" name="Picture"/>
            <a:graphic>
              <a:graphicData uri="http://schemas.openxmlformats.org/drawingml/2006/picture">
                <pic:pic>
                  <pic:nvPicPr>
                    <pic:cNvPr descr="/Users/evanhan/项目/光伏项目/比赛材料/素材库/最终图片/11_项目亮点总结图_v1.png" id="19" name="Picture"/>
                    <pic:cNvPicPr>
                      <a:picLocks noChangeArrowheads="1" noChangeAspect="1"/>
                    </pic:cNvPicPr>
                  </pic:nvPicPr>
                  <pic:blipFill>
                    <a:blip r:embed="rId17"/>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bookmarkEnd w:id="20"/>
    <w:bookmarkStart w:id="21" w:name="项目当前进展与已取得成果"/>
    <w:p>
      <w:pPr>
        <w:pStyle w:val="Heading2"/>
      </w:pPr>
      <w:r>
        <w:t xml:space="preserve">1.5 </w:t>
      </w:r>
      <w:r>
        <w:rPr>
          <w:rFonts w:hint="eastAsia"/>
        </w:rPr>
        <w:t xml:space="preserve">项目当前进展与已取得成果</w:t>
      </w:r>
    </w:p>
    <w:p>
      <w:pPr>
        <w:pStyle w:val="FirstParagraph"/>
        <w:spacing w:line="360" w:lineRule="auto" w:after="120"/>
        <w:ind w:firstLine="420"/>
      </w:pPr>
      <w:r>
        <w:rPr>
          <w:rFonts w:hint="eastAsia"/>
        </w:rPr>
        <w:t xml:space="preserve">目前，</w:t>
      </w:r>
      <w:r>
        <w:rPr>
          <w:rStyle w:val="VerbatimChar"/>
        </w:rPr>
        <w:t xml:space="preserve">SolarGuard</w:t>
      </w:r>
      <w:r>
        <w:t xml:space="preserve"> </w:t>
      </w:r>
      <w:r>
        <w:rPr>
          <w:rFonts w:hint="eastAsia"/>
        </w:rPr>
        <w:t xml:space="preserve">项目已经完成了第一阶段的原型系统搭建和核心能力验证，具备形成正式商业计划书和参赛材料的基础。</w:t>
      </w:r>
    </w:p>
    <w:p>
      <w:pPr>
        <w:pStyle w:val="BodyText"/>
        <w:spacing w:line="360" w:lineRule="auto" w:after="120"/>
        <w:ind w:firstLine="420"/>
      </w:pPr>
      <w:r>
        <w:rPr>
          <w:rFonts w:hint="eastAsia"/>
        </w:rPr>
        <w:t xml:space="preserve">在硬件侧，项目已完成针对光伏控制器数据的采集实验，能够获取发电功率、光伏电压、电池电量、累计发电量等关键指标，并支持模拟模式下的数据生成，为后续开发和展示提供了双轨验证条件。</w:t>
      </w:r>
    </w:p>
    <w:p>
      <w:pPr>
        <w:pStyle w:val="BodyText"/>
        <w:spacing w:line="360" w:lineRule="auto" w:after="120"/>
        <w:ind w:firstLine="420"/>
      </w:pPr>
      <w:r>
        <w:rPr>
          <w:rFonts w:hint="eastAsia"/>
        </w:rPr>
        <w:t xml:space="preserve">在数据处理与可信机制方面，项目已实现关键数据的签名处理和结构化封装，并构建了与联盟链交互的基础能力，支持将采集结果进行链上记录和查询验证，形成可追溯的数据记录链。</w:t>
      </w:r>
    </w:p>
    <w:p>
      <w:pPr>
        <w:pStyle w:val="BodyText"/>
        <w:spacing w:line="360" w:lineRule="auto" w:after="120"/>
        <w:ind w:firstLine="420"/>
      </w:pPr>
      <w:r>
        <w:rPr>
          <w:rFonts w:hint="eastAsia"/>
        </w:rPr>
        <w:t xml:space="preserve">在系统功能方面，项目已开发自动监测程序，能够完成周期采样、数据落盘、图表生成、消息推送和链上同步等任务，初步具备持续监测和自动运行能力。同时，项目还搭建了</w:t>
      </w:r>
      <w:r>
        <w:t xml:space="preserve"> API </w:t>
      </w:r>
      <w:r>
        <w:rPr>
          <w:rFonts w:hint="eastAsia"/>
        </w:rPr>
        <w:t xml:space="preserve">与前端原型，能够对关键数据进行可视化展示，呈现系统整体运行逻辑。</w:t>
      </w:r>
    </w:p>
    <w:p>
      <w:pPr>
        <w:pStyle w:val="BodyText"/>
        <w:spacing w:line="360" w:lineRule="auto" w:after="120"/>
        <w:ind w:firstLine="420"/>
      </w:pPr>
      <w:r>
        <w:rPr>
          <w:rFonts w:hint="eastAsia"/>
        </w:rPr>
        <w:t xml:space="preserve">在材料成果方面，项目已形成代码仓库、实验脚本、项目总结报告、原型展示材料、政策资料库等多种成果形式，为后续商业计划书撰写、路演</w:t>
      </w:r>
      <w:r>
        <w:t xml:space="preserve"> PPT </w:t>
      </w:r>
      <w:r>
        <w:rPr>
          <w:rFonts w:hint="eastAsia"/>
        </w:rPr>
        <w:t xml:space="preserve">制作和比赛申报提供了系统性支撑。</w:t>
      </w:r>
    </w:p>
    <w:p>
      <w:pPr>
        <w:pStyle w:val="BodyText"/>
        <w:spacing w:line="360" w:lineRule="auto" w:after="120"/>
        <w:ind w:firstLine="420"/>
      </w:pPr>
      <w:r>
        <w:rPr>
          <w:rFonts w:hint="eastAsia"/>
        </w:rPr>
        <w:t xml:space="preserve">总体而言，</w:t>
      </w:r>
      <w:r>
        <w:rPr>
          <w:rStyle w:val="VerbatimChar"/>
        </w:rPr>
        <w:t xml:space="preserve">SolarGuard</w:t>
      </w:r>
      <w:r>
        <w:t xml:space="preserve"> </w:t>
      </w:r>
      <w:r>
        <w:rPr>
          <w:rFonts w:hint="eastAsia"/>
        </w:rPr>
        <w:t xml:space="preserve">当前已经从“想法提出阶段”进入“原型验证与材料整合阶段”。项目虽然仍有若干接口和业务场景需要继续完善，但核心技术链路已经明确，项目定位已经逐步稳定，具备进一步打磨为高质量创新创业参赛项目的条件。</w:t>
      </w:r>
    </w:p>
    <w:bookmarkEnd w:id="21"/>
    <w:bookmarkStart w:id="25" w:name="项目定位"/>
    <w:p>
      <w:pPr>
        <w:pStyle w:val="Heading2"/>
      </w:pPr>
      <w:r>
        <w:t xml:space="preserve">1.6 </w:t>
      </w:r>
      <w:r>
        <w:rPr>
          <w:rFonts w:hint="eastAsia"/>
        </w:rPr>
        <w:t xml:space="preserve">项目定位</w:t>
      </w:r>
    </w:p>
    <w:p>
      <w:pPr>
        <w:pStyle w:val="FirstParagraph"/>
        <w:spacing w:line="360" w:lineRule="auto" w:after="120"/>
        <w:ind w:firstLine="420"/>
      </w:pPr>
      <w:r>
        <w:rPr>
          <w:rFonts w:hint="eastAsia"/>
        </w:rPr>
        <w:t xml:space="preserve">基于当前技术完成度、政策环境和比赛申报要求，</w:t>
      </w:r>
      <w:r>
        <w:rPr>
          <w:rStyle w:val="VerbatimChar"/>
        </w:rPr>
        <w:t xml:space="preserve">SolarGuard</w:t>
      </w:r>
      <w:r>
        <w:t xml:space="preserve"> </w:t>
      </w:r>
      <w:r>
        <w:rPr>
          <w:rFonts w:hint="eastAsia"/>
        </w:rPr>
        <w:t xml:space="preserve">的正式项目定位为：</w:t>
      </w:r>
    </w:p>
    <w:p>
      <w:pPr>
        <w:pStyle w:val="BodyText"/>
        <w:spacing w:line="360" w:lineRule="auto" w:after="120"/>
        <w:ind w:firstLine="420"/>
      </w:pPr>
      <w:r>
        <w:rPr>
          <w:rStyle w:val="VerbatimChar"/>
          <w:rFonts w:hint="eastAsia"/>
        </w:rPr>
        <w:t xml:space="preserve">面向分布式光伏场景的可信数据采集、联盟链存证与绿色资产服务平台</w:t>
      </w:r>
    </w:p>
    <w:p>
      <w:pPr>
        <w:pStyle w:val="BodyText"/>
        <w:spacing w:line="360" w:lineRule="auto" w:after="120"/>
        <w:ind w:firstLine="420"/>
      </w:pPr>
      <w:r>
        <w:rPr>
          <w:rFonts w:hint="eastAsia"/>
        </w:rPr>
        <w:t xml:space="preserve">项目的核心不是做光伏硬件本体，也不是面向公众开展代币交易，而是通过物联网、密码学和联盟链等技术，为新能源数据建立可信采集、可信留痕和可信核验能力，进一步服务于绿证衔接、ESG</w:t>
      </w:r>
      <w:r>
        <w:t xml:space="preserve"> </w:t>
      </w:r>
      <w:r>
        <w:rPr>
          <w:rFonts w:hint="eastAsia"/>
        </w:rPr>
        <w:t xml:space="preserve">披露、绿色金融辅助决策和项目审计等场景。</w:t>
      </w:r>
    </w:p>
    <w:p>
      <w:pPr>
        <w:pStyle w:val="BodyText"/>
        <w:spacing w:line="360" w:lineRule="auto" w:after="120"/>
        <w:ind w:firstLine="420"/>
      </w:pPr>
      <w:r>
        <w:rPr>
          <w:rFonts w:hint="eastAsia"/>
        </w:rPr>
        <w:t xml:space="preserve">这一定位既准确反映了项目现有成果，也为后续商业化探索和比赛评审提供了更加稳健、清晰和可持续的叙事基础。</w:t>
      </w:r>
    </w:p>
    <w:p>
      <w:pPr>
        <w:pStyle w:val="CaptionedFigure"/>
      </w:pPr>
      <w:r>
        <w:drawing>
          <wp:inline>
            <wp:extent cx="5334000" cy="7000875"/>
            <wp:effectExtent b="0" l="0" r="0" t="0"/>
            <wp:docPr descr="插图" title="" id="23" name="Picture"/>
            <a:graphic>
              <a:graphicData uri="http://schemas.openxmlformats.org/drawingml/2006/picture">
                <pic:pic>
                  <pic:nvPicPr>
                    <pic:cNvPr descr="/Users/evanhan/项目/光伏项目/比赛材料/素材库/最终图片/01_项目总览图_v1.png" id="24" name="Picture"/>
                    <pic:cNvPicPr>
                      <a:picLocks noChangeArrowheads="1" noChangeAspect="1"/>
                    </pic:cNvPicPr>
                  </pic:nvPicPr>
                  <pic:blipFill>
                    <a:blip r:embed="rId22"/>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p>
      <w:pPr>
        <w:pStyle w:val="BlockText"/>
      </w:pPr>
      <w:r>
        <w:rPr>
          <w:rFonts w:hint="eastAsia"/>
          <w:i/>
          <w:color w:val="6B7280"/>
        </w:rPr>
        <w:t xml:space="preserve">待补表格：项目核心问题与解决方案对照表</w:t>
      </w:r>
    </w:p>
    <w:p>
      <w:pPr>
        <w:spacing w:line="360" w:lineRule="auto" w:after="120"/>
        <w:ind w:firstLine="420"/>
      </w:pPr>
      <w:r>
        <w:pict>
          <v:rect style="width:0;height:1.5pt" o:hralign="center" o:hrstd="t" o:hr="t"/>
        </w:pict>
      </w:r>
    </w:p>
    <w:bookmarkEnd w:id="25"/>
    <w:bookmarkEnd w:id="26"/>
    <w:bookmarkStart w:id="37" w:name="第二章-政策环境与合规边界"/>
    <w:p>
      <w:pPr>
        <w:pStyle w:val="Heading1"/>
        <w:jc w:val="left"/>
      </w:pPr>
      <w:r>
        <w:rPr>
          <w:rFonts w:hint="eastAsia"/>
        </w:rPr>
        <w:t xml:space="preserve">第二章</w:t>
        <w:br w:type="page"/>
      </w:r>
      <w:r>
        <w:t xml:space="preserve"> </w:t>
      </w:r>
      <w:r>
        <w:rPr>
          <w:rFonts w:hint="eastAsia"/>
        </w:rPr>
        <w:t xml:space="preserve">政策环境与合规边界</w:t>
      </w:r>
    </w:p>
    <w:bookmarkStart w:id="27" w:name="政策环境总体判断"/>
    <w:p>
      <w:pPr>
        <w:pStyle w:val="Heading2"/>
      </w:pPr>
      <w:r>
        <w:t xml:space="preserve">2.1 </w:t>
      </w:r>
      <w:r>
        <w:rPr>
          <w:rFonts w:hint="eastAsia"/>
        </w:rPr>
        <w:t xml:space="preserve">政策环境总体判断</w:t>
      </w:r>
    </w:p>
    <w:p>
      <w:pPr>
        <w:pStyle w:val="FirstParagraph"/>
        <w:spacing w:line="360" w:lineRule="auto" w:after="120"/>
        <w:ind w:firstLine="420"/>
      </w:pPr>
      <w:r>
        <w:rPr>
          <w:rFonts w:hint="eastAsia"/>
        </w:rPr>
        <w:t xml:space="preserve">在当前国家战略导向下，</w:t>
      </w:r>
      <w:r>
        <w:rPr>
          <w:rStyle w:val="VerbatimChar"/>
        </w:rPr>
        <w:t xml:space="preserve">SolarGuard</w:t>
      </w:r>
      <w:r>
        <w:t xml:space="preserve"> </w:t>
      </w:r>
      <w:r>
        <w:rPr>
          <w:rFonts w:hint="eastAsia"/>
        </w:rPr>
        <w:t xml:space="preserve">所处的政策环境具有鲜明的“双向特征”。一方面，国家持续鼓励数据要素市场化配置、可信数据空间建设、数字金融服务实体经济、绿色金融发展以及可再生能源环境权益管理，这为新能源数据的可信采集、流通、核验和场景化应用提供了明确的政策支持。另一方面，围绕虚拟货币、现实世界资产代币化、未经批准的金融化流转和类证券化安排，监管口径正在持续收紧，对项目的对外表述、落地模式和业务边界提出了更高要求。</w:t>
      </w:r>
    </w:p>
    <w:p>
      <w:pPr>
        <w:pStyle w:val="BodyText"/>
        <w:spacing w:line="360" w:lineRule="auto" w:after="120"/>
        <w:ind w:firstLine="420"/>
      </w:pPr>
      <w:r>
        <w:rPr>
          <w:rFonts w:hint="eastAsia"/>
        </w:rPr>
        <w:t xml:space="preserve">因此，</w:t>
      </w:r>
      <w:r>
        <w:rPr>
          <w:rStyle w:val="VerbatimChar"/>
        </w:rPr>
        <w:t xml:space="preserve">SolarGuard</w:t>
      </w:r>
      <w:r>
        <w:t xml:space="preserve"> </w:t>
      </w:r>
      <w:r>
        <w:rPr>
          <w:rFonts w:hint="eastAsia"/>
        </w:rPr>
        <w:t xml:space="preserve">在当前阶段最合理的政策适配路径，不是将自身定义为面向中国大陆的“RWA</w:t>
      </w:r>
      <w:r>
        <w:t xml:space="preserve"> </w:t>
      </w:r>
      <w:r>
        <w:rPr>
          <w:rFonts w:hint="eastAsia"/>
        </w:rPr>
        <w:t xml:space="preserve">发行或交易平台”，而是定义为“面向分布式光伏场景的可信数据采集、联盟链存证与绿色资产服务平台”。项目的重点应落在</w:t>
      </w:r>
      <w:r>
        <w:t xml:space="preserve"> </w:t>
      </w:r>
      <w:r>
        <w:rPr>
          <w:rStyle w:val="VerbatimChar"/>
          <w:rFonts w:hint="eastAsia"/>
        </w:rPr>
        <w:t xml:space="preserve">数据可信</w:t>
      </w:r>
      <w:r>
        <w:t xml:space="preserve">、</w:t>
      </w:r>
      <w:r>
        <w:rPr>
          <w:rStyle w:val="VerbatimChar"/>
          <w:rFonts w:hint="eastAsia"/>
        </w:rPr>
        <w:t xml:space="preserve">确权追溯</w:t>
      </w:r>
      <w:r>
        <w:t xml:space="preserve">、</w:t>
      </w:r>
      <w:r>
        <w:rPr>
          <w:rStyle w:val="VerbatimChar"/>
          <w:rFonts w:hint="eastAsia"/>
        </w:rPr>
        <w:t xml:space="preserve">绿证衔接</w:t>
      </w:r>
      <w:r>
        <w:t xml:space="preserve">、</w:t>
      </w:r>
      <w:r>
        <w:rPr>
          <w:rStyle w:val="VerbatimChar"/>
        </w:rPr>
        <w:t xml:space="preserve">ESG </w:t>
      </w:r>
      <w:r>
        <w:rPr>
          <w:rStyle w:val="VerbatimChar"/>
          <w:rFonts w:hint="eastAsia"/>
        </w:rPr>
        <w:t xml:space="preserve">披露支持</w:t>
      </w:r>
      <w:r>
        <w:t xml:space="preserve">、</w:t>
      </w:r>
      <w:r>
        <w:rPr>
          <w:rStyle w:val="VerbatimChar"/>
          <w:rFonts w:hint="eastAsia"/>
        </w:rPr>
        <w:t xml:space="preserve">绿色金融辅助决策</w:t>
      </w:r>
      <w:r>
        <w:t xml:space="preserve"> </w:t>
      </w:r>
      <w:r>
        <w:rPr>
          <w:rFonts w:hint="eastAsia"/>
        </w:rPr>
        <w:t xml:space="preserve">等场景，而不是面向公众开展代币化金融业务。</w:t>
      </w:r>
    </w:p>
    <w:p>
      <w:pPr>
        <w:pStyle w:val="BodyText"/>
        <w:spacing w:line="360" w:lineRule="auto" w:after="120"/>
        <w:ind w:firstLine="420"/>
      </w:pPr>
      <w:r>
        <w:rPr>
          <w:rFonts w:hint="eastAsia"/>
        </w:rPr>
        <w:t xml:space="preserve">从比赛申报和项目发展两个维度看，这一定位既符合国家支持的重点方向，也能够有效避开当前政策环境中的高风险表述，是项目现阶段最稳妥、最具说服力的合规路径。</w:t>
      </w:r>
    </w:p>
    <w:bookmarkEnd w:id="27"/>
    <w:bookmarkStart w:id="31" w:name="数据要素与可信数据空间政策机遇"/>
    <w:p>
      <w:pPr>
        <w:pStyle w:val="Heading2"/>
      </w:pPr>
      <w:r>
        <w:t xml:space="preserve">2.2 </w:t>
      </w:r>
      <w:r>
        <w:rPr>
          <w:rFonts w:hint="eastAsia"/>
        </w:rPr>
        <w:t xml:space="preserve">数据要素与可信数据空间政策机遇</w:t>
      </w:r>
    </w:p>
    <w:p>
      <w:pPr>
        <w:pStyle w:val="FirstParagraph"/>
        <w:spacing w:line="360" w:lineRule="auto" w:after="120"/>
        <w:ind w:firstLine="420"/>
      </w:pPr>
      <w:r>
        <w:rPr>
          <w:rFonts w:hint="eastAsia"/>
        </w:rPr>
        <w:t xml:space="preserve">近年来，国家围绕数据要素和可信数据基础设施持续推出顶层政策。</w:t>
      </w:r>
      <w:r>
        <w:rPr>
          <w:rStyle w:val="VerbatimChar"/>
          <w:rFonts w:hint="eastAsia"/>
        </w:rPr>
        <w:t xml:space="preserve">数据要素×三年行动计划（2024—2026年）</w:t>
      </w:r>
      <w:r>
        <w:t xml:space="preserve"> </w:t>
      </w:r>
      <w:r>
        <w:rPr>
          <w:rFonts w:hint="eastAsia"/>
        </w:rPr>
        <w:t xml:space="preserve">明确提出，要在金融服务、绿色低碳、工业制造等重点行业场景中推动数据释放乘数效应。对于</w:t>
      </w:r>
      <w:r>
        <w:t xml:space="preserve"> </w:t>
      </w:r>
      <w:r>
        <w:rPr>
          <w:rStyle w:val="VerbatimChar"/>
        </w:rPr>
        <w:t xml:space="preserve">SolarGuard</w:t>
      </w:r>
      <w:r>
        <w:t xml:space="preserve"> </w:t>
      </w:r>
      <w:r>
        <w:rPr>
          <w:rFonts w:hint="eastAsia"/>
        </w:rPr>
        <w:t xml:space="preserve">而言，分布式光伏的发电量、运行功率、电池状态和设备数据本身就是典型的行业基础数据，这些数据一旦具备结构化、可信化和可复用能力，就有潜力从单纯的监测信息转化为服务业务和治理的数据要素。</w:t>
      </w:r>
    </w:p>
    <w:p>
      <w:pPr>
        <w:pStyle w:val="BodyText"/>
        <w:spacing w:line="360" w:lineRule="auto" w:after="120"/>
        <w:ind w:firstLine="420"/>
      </w:pPr>
      <w:r>
        <w:rPr>
          <w:rFonts w:hint="eastAsia"/>
        </w:rPr>
        <w:t xml:space="preserve">与此同时，国家数据局发布的</w:t>
      </w:r>
      <w:r>
        <w:t xml:space="preserve"> </w:t>
      </w:r>
      <w:r>
        <w:rPr>
          <w:rStyle w:val="VerbatimChar"/>
          <w:rFonts w:hint="eastAsia"/>
        </w:rPr>
        <w:t xml:space="preserve">可信数据空间发展行动计划</w:t>
      </w:r>
      <w:r>
        <w:t xml:space="preserve"> </w:t>
      </w:r>
      <w:r>
        <w:rPr>
          <w:rFonts w:hint="eastAsia"/>
        </w:rPr>
        <w:t xml:space="preserve">和</w:t>
      </w:r>
      <w:r>
        <w:t xml:space="preserve"> </w:t>
      </w:r>
      <w:r>
        <w:rPr>
          <w:rStyle w:val="VerbatimChar"/>
          <w:rFonts w:hint="eastAsia"/>
        </w:rPr>
        <w:t xml:space="preserve">2025年可信数据空间创新发展试点工作通知</w:t>
      </w:r>
      <w:r>
        <w:rPr>
          <w:rFonts w:hint="eastAsia"/>
        </w:rPr>
        <w:t xml:space="preserve">，进一步明确了多主体协同、可信流通、规则保障和价值共创的政策方向。可信数据空间的核心逻辑，是让数据在“可控、可管、可核验”的前提下跨主体流通与复用，而这恰恰对应了分布式光伏数据在现实使用中最难解决的问题：原始数据能采到，但难验证；数据能存下来，但难以被外部机构低成本采信；数据能展示，但难以形成持续可用的业务基础。</w:t>
      </w:r>
    </w:p>
    <w:p>
      <w:pPr>
        <w:pStyle w:val="BodyText"/>
        <w:spacing w:line="360" w:lineRule="auto" w:after="120"/>
        <w:ind w:firstLine="420"/>
      </w:pPr>
      <w:r>
        <w:rPr>
          <w:rStyle w:val="VerbatimChar"/>
        </w:rPr>
        <w:t xml:space="preserve">SolarGuard</w:t>
      </w:r>
      <w:r>
        <w:t xml:space="preserve"> </w:t>
      </w:r>
      <w:r>
        <w:rPr>
          <w:rFonts w:hint="eastAsia"/>
        </w:rPr>
        <w:t xml:space="preserve">通过物联网采集、数据签名、联盟链存证和接口服务，尝试构建的正是一种面向新能源场景的可信数据底座。虽然项目目前仍处于原型验证阶段，但其技术逻辑与国家推动的数据要素和可信数据空间方向高度一致。因此，在比赛和立项材料中，项目完全可以被表述为：在新能源场景中探索数据要素化和可信数据基础设施建设的创新实践。</w:t>
      </w:r>
    </w:p>
    <w:p>
      <w:pPr>
        <w:pStyle w:val="CaptionedFigure"/>
      </w:pPr>
      <w:r>
        <w:drawing>
          <wp:inline>
            <wp:extent cx="5334000" cy="7000875"/>
            <wp:effectExtent b="0" l="0" r="0" t="0"/>
            <wp:docPr descr="插图" title="" id="29" name="Picture"/>
            <a:graphic>
              <a:graphicData uri="http://schemas.openxmlformats.org/drawingml/2006/picture">
                <pic:pic>
                  <pic:nvPicPr>
                    <pic:cNvPr descr="/Users/evanhan/项目/光伏项目/比赛材料/素材库/最终图片/12_政策支持逻辑图_v1.png" id="30" name="Picture"/>
                    <pic:cNvPicPr>
                      <a:picLocks noChangeArrowheads="1" noChangeAspect="1"/>
                    </pic:cNvPicPr>
                  </pic:nvPicPr>
                  <pic:blipFill>
                    <a:blip r:embed="rId28"/>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bookmarkEnd w:id="31"/>
    <w:bookmarkStart w:id="32" w:name="数字金融和绿色金融的场景支撑"/>
    <w:p>
      <w:pPr>
        <w:pStyle w:val="Heading2"/>
      </w:pPr>
      <w:r>
        <w:t xml:space="preserve">2.3 </w:t>
      </w:r>
      <w:r>
        <w:rPr>
          <w:rFonts w:hint="eastAsia"/>
        </w:rPr>
        <w:t xml:space="preserve">数字金融和绿色金融的场景支撑</w:t>
      </w:r>
    </w:p>
    <w:p>
      <w:pPr>
        <w:pStyle w:val="FirstParagraph"/>
        <w:spacing w:line="360" w:lineRule="auto" w:after="120"/>
        <w:ind w:firstLine="420"/>
      </w:pPr>
      <w:r>
        <w:rPr>
          <w:rFonts w:hint="eastAsia"/>
        </w:rPr>
        <w:t xml:space="preserve">国家对数字金融和绿色金融的支持，也为</w:t>
      </w:r>
      <w:r>
        <w:t xml:space="preserve"> </w:t>
      </w:r>
      <w:r>
        <w:rPr>
          <w:rStyle w:val="VerbatimChar"/>
        </w:rPr>
        <w:t xml:space="preserve">SolarGuard</w:t>
      </w:r>
      <w:r>
        <w:t xml:space="preserve"> </w:t>
      </w:r>
      <w:r>
        <w:rPr>
          <w:rFonts w:hint="eastAsia"/>
        </w:rPr>
        <w:t xml:space="preserve">的应用价值提供了现实支撑。</w:t>
      </w:r>
      <w:r>
        <w:rPr>
          <w:rStyle w:val="VerbatimChar"/>
          <w:rFonts w:hint="eastAsia"/>
        </w:rPr>
        <w:t xml:space="preserve">推动数字金融高质量发展行动方案</w:t>
      </w:r>
      <w:r>
        <w:t xml:space="preserve"> </w:t>
      </w:r>
      <w:r>
        <w:rPr>
          <w:rFonts w:hint="eastAsia"/>
        </w:rPr>
        <w:t xml:space="preserve">明确提出，要推动数字技术更好地服务科技创新、绿色发展和实体经济，提高金融服务的精准性和穿透性。从这个角度看，新能源领域真正缺少的并不是更多概念化金融产品，而是支撑金融判断、风险识别和价值评价的底层可信数据。</w:t>
      </w:r>
    </w:p>
    <w:p>
      <w:pPr>
        <w:pStyle w:val="BodyText"/>
        <w:spacing w:line="360" w:lineRule="auto" w:after="120"/>
        <w:ind w:firstLine="420"/>
      </w:pPr>
      <w:r>
        <w:rPr>
          <w:rFonts w:hint="eastAsia"/>
        </w:rPr>
        <w:t xml:space="preserve">对于分布式光伏项目而言，如果底层发电数据无法被持续采集、校验和追溯，那么绿色贷款、绿色保险、绿色供应链金融、园区能源评价、ESG</w:t>
      </w:r>
      <w:r>
        <w:t xml:space="preserve"> </w:t>
      </w:r>
      <w:r>
        <w:rPr>
          <w:rFonts w:hint="eastAsia"/>
        </w:rPr>
        <w:t xml:space="preserve">披露等场景的真实性与效率都会受到限制。金融机构和服务机构往往无法低成本获取可验证、可追踪的一手数据，只能依赖静态材料、人工核验和多轮沟通，导致成本上升、效率下降、风险提升。</w:t>
      </w:r>
    </w:p>
    <w:p>
      <w:pPr>
        <w:pStyle w:val="BodyText"/>
        <w:spacing w:line="360" w:lineRule="auto" w:after="120"/>
        <w:ind w:firstLine="420"/>
      </w:pPr>
      <w:r>
        <w:rPr>
          <w:rStyle w:val="VerbatimChar"/>
        </w:rPr>
        <w:t xml:space="preserve">SolarGuard</w:t>
      </w:r>
      <w:r>
        <w:t xml:space="preserve"> </w:t>
      </w:r>
      <w:r>
        <w:rPr>
          <w:rFonts w:hint="eastAsia"/>
        </w:rPr>
        <w:t xml:space="preserve">的价值就在于，尝试通过系统化的技术方案将设备侧运行数据转化为更适合金融和治理场景使用的可信业务数据。项目现阶段虽然仍以原型验证为主，但其未来可衔接的方向已经较为清晰，包括：</w:t>
      </w:r>
    </w:p>
    <w:p>
      <w:pPr>
        <w:pStyle w:val="Compact"/>
        <w:numPr>
          <w:ilvl w:val="0"/>
          <w:numId w:val="1001"/>
        </w:numPr>
      </w:pPr>
      <w:r>
        <w:rPr>
          <w:rFonts w:hint="eastAsia"/>
        </w:rPr>
        <w:t xml:space="preserve">为绿色贷款和绿色保险提供辅助尽调依据</w:t>
      </w:r>
    </w:p>
    <w:p>
      <w:pPr>
        <w:pStyle w:val="Compact"/>
        <w:numPr>
          <w:ilvl w:val="0"/>
          <w:numId w:val="1001"/>
        </w:numPr>
      </w:pPr>
      <w:r>
        <w:rPr>
          <w:rFonts w:hint="eastAsia"/>
        </w:rPr>
        <w:t xml:space="preserve">为</w:t>
      </w:r>
      <w:r>
        <w:t xml:space="preserve"> ESG </w:t>
      </w:r>
      <w:r>
        <w:rPr>
          <w:rFonts w:hint="eastAsia"/>
        </w:rPr>
        <w:t xml:space="preserve">披露和可持续发展信息核验提供支撑</w:t>
      </w:r>
    </w:p>
    <w:p>
      <w:pPr>
        <w:pStyle w:val="Compact"/>
        <w:numPr>
          <w:ilvl w:val="0"/>
          <w:numId w:val="1001"/>
        </w:numPr>
      </w:pPr>
      <w:r>
        <w:rPr>
          <w:rFonts w:hint="eastAsia"/>
        </w:rPr>
        <w:t xml:space="preserve">为园区、企业和机构开展绿色项目评价提供数据底座</w:t>
      </w:r>
    </w:p>
    <w:p>
      <w:pPr>
        <w:pStyle w:val="Compact"/>
        <w:numPr>
          <w:ilvl w:val="0"/>
          <w:numId w:val="1001"/>
        </w:numPr>
      </w:pPr>
      <w:r>
        <w:rPr>
          <w:rFonts w:hint="eastAsia"/>
        </w:rPr>
        <w:t xml:space="preserve">为新能源项目的审计追溯、运行评价和信用辅助分析提供服务</w:t>
      </w:r>
    </w:p>
    <w:p>
      <w:pPr>
        <w:pStyle w:val="FirstParagraph"/>
        <w:spacing w:line="360" w:lineRule="auto" w:after="120"/>
        <w:ind w:firstLine="420"/>
      </w:pPr>
      <w:r>
        <w:rPr>
          <w:rFonts w:hint="eastAsia"/>
        </w:rPr>
        <w:t xml:space="preserve">因此，在比赛申报中，项目的金融相关叙事应当从“金融化交易平台”转向“绿色金融辅助基础设施”，从而使其更贴近政策导向，也更贴近项目真实完成度。</w:t>
      </w:r>
    </w:p>
    <w:bookmarkEnd w:id="32"/>
    <w:bookmarkStart w:id="33" w:name="绿证制度与分布式光伏场景的政策基础"/>
    <w:p>
      <w:pPr>
        <w:pStyle w:val="Heading2"/>
      </w:pPr>
      <w:r>
        <w:t xml:space="preserve">2.4 </w:t>
      </w:r>
      <w:r>
        <w:rPr>
          <w:rFonts w:hint="eastAsia"/>
        </w:rPr>
        <w:t xml:space="preserve">绿证制度与分布式光伏场景的政策基础</w:t>
      </w:r>
    </w:p>
    <w:p>
      <w:pPr>
        <w:pStyle w:val="FirstParagraph"/>
        <w:spacing w:line="360" w:lineRule="auto" w:after="120"/>
        <w:ind w:firstLine="420"/>
      </w:pPr>
      <w:r>
        <w:rPr>
          <w:rFonts w:hint="eastAsia"/>
        </w:rPr>
        <w:t xml:space="preserve">对于</w:t>
      </w:r>
      <w:r>
        <w:t xml:space="preserve"> </w:t>
      </w:r>
      <w:r>
        <w:rPr>
          <w:rStyle w:val="VerbatimChar"/>
        </w:rPr>
        <w:t xml:space="preserve">SolarGuard</w:t>
      </w:r>
      <w:r>
        <w:t xml:space="preserve"> </w:t>
      </w:r>
      <w:r>
        <w:rPr>
          <w:rFonts w:hint="eastAsia"/>
        </w:rPr>
        <w:t xml:space="preserve">这样的项目而言，最重要的政策锚点之一不是抽象的“资产通证化”，而是我国正在不断完善的</w:t>
      </w:r>
      <w:r>
        <w:t xml:space="preserve"> </w:t>
      </w:r>
      <w:r>
        <w:rPr>
          <w:rStyle w:val="VerbatimChar"/>
          <w:rFonts w:hint="eastAsia"/>
        </w:rPr>
        <w:t xml:space="preserve">绿证制度</w:t>
      </w:r>
      <w:r>
        <w:t xml:space="preserve"> </w:t>
      </w:r>
      <w:r>
        <w:rPr>
          <w:rFonts w:hint="eastAsia"/>
        </w:rPr>
        <w:t xml:space="preserve">和</w:t>
      </w:r>
      <w:r>
        <w:t xml:space="preserve"> </w:t>
      </w:r>
      <w:r>
        <w:rPr>
          <w:rStyle w:val="VerbatimChar"/>
          <w:rFonts w:hint="eastAsia"/>
        </w:rPr>
        <w:t xml:space="preserve">分布式光伏开发建设管理制度</w:t>
      </w:r>
      <w:r>
        <w:rPr>
          <w:rFonts w:hint="eastAsia"/>
        </w:rPr>
        <w:t xml:space="preserve">。绿证制度的持续完善表明，可再生能源环境权益确权和交易管理正在逐步形成统一、权威、制度化的路径。与此同时，分布式光伏开发建设管理办法及其问答文件，进一步明确了分布式光伏在开发、并网、运行、管理等方面的政策边界和场景规范。</w:t>
      </w:r>
    </w:p>
    <w:p>
      <w:pPr>
        <w:pStyle w:val="BodyText"/>
        <w:spacing w:line="360" w:lineRule="auto" w:after="120"/>
        <w:ind w:firstLine="420"/>
      </w:pPr>
      <w:r>
        <w:rPr>
          <w:rFonts w:hint="eastAsia"/>
        </w:rPr>
        <w:t xml:space="preserve">这意味着，项目未来更具现实可行性的方向，不是单独构造一个脱离现有制度体系的“链上资产流转体系”，而是围绕正式制度中已经存在或正在完善的场景，提供可信数据支撑。例如：</w:t>
      </w:r>
    </w:p>
    <w:p>
      <w:pPr>
        <w:pStyle w:val="Compact"/>
        <w:numPr>
          <w:ilvl w:val="0"/>
          <w:numId w:val="1002"/>
        </w:numPr>
      </w:pPr>
      <w:r>
        <w:rPr>
          <w:rFonts w:hint="eastAsia"/>
        </w:rPr>
        <w:t xml:space="preserve">服务于分布式光伏运行数据的标准化留痕</w:t>
      </w:r>
    </w:p>
    <w:p>
      <w:pPr>
        <w:pStyle w:val="Compact"/>
        <w:numPr>
          <w:ilvl w:val="0"/>
          <w:numId w:val="1002"/>
        </w:numPr>
      </w:pPr>
      <w:r>
        <w:rPr>
          <w:rFonts w:hint="eastAsia"/>
        </w:rPr>
        <w:t xml:space="preserve">服务于绿证辅助核验与环境权益相关业务</w:t>
      </w:r>
    </w:p>
    <w:p>
      <w:pPr>
        <w:pStyle w:val="Compact"/>
        <w:numPr>
          <w:ilvl w:val="0"/>
          <w:numId w:val="1002"/>
        </w:numPr>
      </w:pPr>
      <w:r>
        <w:rPr>
          <w:rFonts w:hint="eastAsia"/>
        </w:rPr>
        <w:t xml:space="preserve">服务于面向新能源项目的合规披露和审计支持</w:t>
      </w:r>
    </w:p>
    <w:p>
      <w:pPr>
        <w:pStyle w:val="Compact"/>
        <w:numPr>
          <w:ilvl w:val="0"/>
          <w:numId w:val="1002"/>
        </w:numPr>
      </w:pPr>
      <w:r>
        <w:rPr>
          <w:rFonts w:hint="eastAsia"/>
        </w:rPr>
        <w:t xml:space="preserve">服务于绿色金融中对“项目是否真实、发电是否稳定、数据是否可信”的底层判断</w:t>
      </w:r>
    </w:p>
    <w:p>
      <w:pPr>
        <w:pStyle w:val="FirstParagraph"/>
        <w:spacing w:line="360" w:lineRule="auto" w:after="120"/>
        <w:ind w:firstLine="420"/>
      </w:pPr>
      <w:r>
        <w:rPr>
          <w:rFonts w:hint="eastAsia"/>
        </w:rPr>
        <w:t xml:space="preserve">这类路径与政策体系的契合度更高，也更容易在高校创新创业项目评审中被理解和认可。</w:t>
      </w:r>
    </w:p>
    <w:bookmarkEnd w:id="33"/>
    <w:bookmarkStart w:id="34" w:name="rwa-与代币化业务的监管边界"/>
    <w:p>
      <w:pPr>
        <w:pStyle w:val="Heading2"/>
      </w:pPr>
      <w:r>
        <w:t xml:space="preserve">2.5 RWA </w:t>
      </w:r>
      <w:r>
        <w:rPr>
          <w:rFonts w:hint="eastAsia"/>
        </w:rPr>
        <w:t xml:space="preserve">与代币化业务的监管边界</w:t>
      </w:r>
    </w:p>
    <w:p>
      <w:pPr>
        <w:pStyle w:val="FirstParagraph"/>
        <w:spacing w:line="360" w:lineRule="auto" w:after="120"/>
        <w:ind w:firstLine="420"/>
      </w:pPr>
      <w:r>
        <w:rPr>
          <w:rFonts w:hint="eastAsia"/>
        </w:rPr>
        <w:t xml:space="preserve">尽管“RWA”在技术讨论和国际金融创新语境中具有较强吸引力，但在中国大陆监管框架下，围绕现实世界资产代币化、虚拟货币化流转、未经批准的类证券发行和公众参与式金融化安排，监管边界已经明显收紧。</w:t>
      </w:r>
      <w:r>
        <w:rPr>
          <w:rStyle w:val="VerbatimChar"/>
          <w:rFonts w:hint="eastAsia"/>
        </w:rPr>
        <w:t xml:space="preserve">2026年2月6日</w:t>
      </w:r>
      <w:r>
        <w:rPr>
          <w:rFonts w:hint="eastAsia"/>
        </w:rPr>
        <w:t xml:space="preserve">，中国人民银行、中国证监会等多部门围绕进一步防范和处置相关风险释放了更强监管信号，明确强调要防范各类以现实权益包装、以代币形式流转并可能触发非法金融活动风险的行为。</w:t>
      </w:r>
    </w:p>
    <w:p>
      <w:pPr>
        <w:pStyle w:val="BodyText"/>
        <w:spacing w:line="360" w:lineRule="auto" w:after="120"/>
        <w:ind w:firstLine="420"/>
      </w:pPr>
      <w:r>
        <w:rPr>
          <w:rFonts w:hint="eastAsia"/>
        </w:rPr>
        <w:t xml:space="preserve">这对</w:t>
      </w:r>
      <w:r>
        <w:t xml:space="preserve"> </w:t>
      </w:r>
      <w:r>
        <w:rPr>
          <w:rStyle w:val="VerbatimChar"/>
        </w:rPr>
        <w:t xml:space="preserve">SolarGuard</w:t>
      </w:r>
      <w:r>
        <w:t xml:space="preserve"> </w:t>
      </w:r>
      <w:r>
        <w:rPr>
          <w:rFonts w:hint="eastAsia"/>
        </w:rPr>
        <w:t xml:space="preserve">项目的直接启示是：项目在技术探索阶段可以开展“价值映射逻辑”“自动结算原型”“绿色资产数字化机制”等研究，但在比赛申报、学校立项和公开展示中，不能再将“代币发行”“自动铸币”“稳定币兑换”“DEX</w:t>
      </w:r>
      <w:r>
        <w:t xml:space="preserve"> </w:t>
      </w:r>
      <w:r>
        <w:rPr>
          <w:rFonts w:hint="eastAsia"/>
        </w:rPr>
        <w:t xml:space="preserve">交易”等内容作为项目核心卖点或落地主体业务进行表达。</w:t>
      </w:r>
    </w:p>
    <w:p>
      <w:pPr>
        <w:pStyle w:val="BodyText"/>
        <w:spacing w:line="360" w:lineRule="auto" w:after="120"/>
        <w:ind w:firstLine="420"/>
      </w:pPr>
      <w:r>
        <w:rPr>
          <w:rFonts w:hint="eastAsia"/>
        </w:rPr>
        <w:t xml:space="preserve">换句话说，项目中存在的相关原型模块可以保留为技术研究成果或机制验证成果，但其对外表述必须降级处理。更适合的写法是：</w:t>
      </w:r>
    </w:p>
    <w:p>
      <w:pPr>
        <w:pStyle w:val="Compact"/>
        <w:numPr>
          <w:ilvl w:val="0"/>
          <w:numId w:val="1003"/>
        </w:numPr>
      </w:pPr>
      <w:r>
        <w:rPr>
          <w:rFonts w:hint="eastAsia"/>
        </w:rPr>
        <w:t xml:space="preserve">项目曾围绕绿色能源资产映射和价值流转机制开展原型验证</w:t>
      </w:r>
    </w:p>
    <w:p>
      <w:pPr>
        <w:pStyle w:val="Compact"/>
        <w:numPr>
          <w:ilvl w:val="0"/>
          <w:numId w:val="1003"/>
        </w:numPr>
      </w:pPr>
      <w:r>
        <w:rPr>
          <w:rFonts w:hint="eastAsia"/>
        </w:rPr>
        <w:t xml:space="preserve">当前阶段主要聚焦可信数据采集、联盟链存证和绿色资产核验服务</w:t>
      </w:r>
    </w:p>
    <w:p>
      <w:pPr>
        <w:pStyle w:val="Compact"/>
        <w:numPr>
          <w:ilvl w:val="0"/>
          <w:numId w:val="1003"/>
        </w:numPr>
      </w:pPr>
      <w:r>
        <w:rPr>
          <w:rFonts w:hint="eastAsia"/>
        </w:rPr>
        <w:t xml:space="preserve">项目不在中国大陆开展公开代币发行、代币交易或面向社会公众的金融化募集业务</w:t>
      </w:r>
    </w:p>
    <w:p>
      <w:pPr>
        <w:pStyle w:val="FirstParagraph"/>
        <w:spacing w:line="360" w:lineRule="auto" w:after="120"/>
        <w:ind w:firstLine="420"/>
      </w:pPr>
      <w:r>
        <w:rPr>
          <w:rFonts w:hint="eastAsia"/>
        </w:rPr>
        <w:t xml:space="preserve">这种表述既不否定项目的技术探索深度，也能在现有政策环境下保持清晰、稳妥和可接受的合规边界。</w:t>
      </w:r>
    </w:p>
    <w:p>
      <w:pPr>
        <w:pStyle w:val="BlockText"/>
      </w:pPr>
      <w:r>
        <w:rPr>
          <w:rFonts w:hint="eastAsia"/>
          <w:i/>
          <w:color w:val="6B7280"/>
        </w:rPr>
        <w:t xml:space="preserve">说明：合规边界示意图</w:t>
      </w:r>
      <w:r>
        <w:rPr>
          <w:i/>
          <w:color w:val="6B7280"/>
        </w:rPr>
        <w:t xml:space="preserve"> </w:t>
      </w:r>
      <w:r>
        <w:rPr>
          <w:rFonts w:hint="eastAsia"/>
          <w:i/>
          <w:color w:val="6B7280"/>
        </w:rPr>
        <w:t xml:space="preserve">当前不放入正文图片版，后续可在附录或补充材料中加入。</w:t>
      </w:r>
    </w:p>
    <w:bookmarkEnd w:id="34"/>
    <w:bookmarkStart w:id="35" w:name="项目现阶段的合规定位"/>
    <w:p>
      <w:pPr>
        <w:pStyle w:val="Heading2"/>
      </w:pPr>
      <w:r>
        <w:t xml:space="preserve">2.6 </w:t>
      </w:r>
      <w:r>
        <w:rPr>
          <w:rFonts w:hint="eastAsia"/>
        </w:rPr>
        <w:t xml:space="preserve">项目现阶段的合规定位</w:t>
      </w:r>
    </w:p>
    <w:p>
      <w:pPr>
        <w:pStyle w:val="FirstParagraph"/>
        <w:spacing w:line="360" w:lineRule="auto" w:after="120"/>
        <w:ind w:firstLine="420"/>
      </w:pPr>
      <w:r>
        <w:rPr>
          <w:rFonts w:hint="eastAsia"/>
        </w:rPr>
        <w:t xml:space="preserve">综合政策环境、项目技术现状和比赛申报需求，</w:t>
      </w:r>
      <w:r>
        <w:rPr>
          <w:rStyle w:val="VerbatimChar"/>
        </w:rPr>
        <w:t xml:space="preserve">SolarGuard</w:t>
      </w:r>
      <w:r>
        <w:t xml:space="preserve"> </w:t>
      </w:r>
      <w:r>
        <w:rPr>
          <w:rFonts w:hint="eastAsia"/>
        </w:rPr>
        <w:t xml:space="preserve">当前最适合的正式定位应当是：</w:t>
      </w:r>
    </w:p>
    <w:p>
      <w:pPr>
        <w:pStyle w:val="BodyText"/>
        <w:spacing w:line="360" w:lineRule="auto" w:after="120"/>
        <w:ind w:firstLine="420"/>
      </w:pPr>
      <w:r>
        <w:rPr>
          <w:rStyle w:val="VerbatimChar"/>
          <w:rFonts w:hint="eastAsia"/>
        </w:rPr>
        <w:t xml:space="preserve">面向分布式光伏场景的可信数据采集、联盟链存证与绿色资产服务平台</w:t>
      </w:r>
    </w:p>
    <w:p>
      <w:pPr>
        <w:pStyle w:val="BodyText"/>
        <w:spacing w:line="360" w:lineRule="auto" w:after="120"/>
        <w:ind w:firstLine="420"/>
      </w:pPr>
      <w:r>
        <w:rPr>
          <w:rFonts w:hint="eastAsia"/>
        </w:rPr>
        <w:t xml:space="preserve">这一定位包含三个关键层次。</w:t>
      </w:r>
    </w:p>
    <w:p>
      <w:pPr>
        <w:pStyle w:val="BodyText"/>
        <w:spacing w:line="360" w:lineRule="auto" w:after="120"/>
        <w:ind w:firstLine="420"/>
      </w:pPr>
      <w:r>
        <w:rPr>
          <w:rFonts w:hint="eastAsia"/>
        </w:rPr>
        <w:t xml:space="preserve">第一，项目的起点是新能源真实场景。项目围绕分布式光伏设备和发电数据展开，不是脱离产业链的金融概念包装。</w:t>
      </w:r>
    </w:p>
    <w:p>
      <w:pPr>
        <w:pStyle w:val="BodyText"/>
        <w:spacing w:line="360" w:lineRule="auto" w:after="120"/>
        <w:ind w:firstLine="420"/>
      </w:pPr>
      <w:r>
        <w:rPr>
          <w:rFonts w:hint="eastAsia"/>
        </w:rPr>
        <w:t xml:space="preserve">第二，项目的核心是可信数据机制。项目通过采集、签名、存证、可视化和接口化处理，为底层设备数据构建可信证据链和应用基础。</w:t>
      </w:r>
    </w:p>
    <w:p>
      <w:pPr>
        <w:pStyle w:val="BodyText"/>
        <w:spacing w:line="360" w:lineRule="auto" w:after="120"/>
        <w:ind w:firstLine="420"/>
      </w:pPr>
      <w:r>
        <w:rPr>
          <w:rFonts w:hint="eastAsia"/>
        </w:rPr>
        <w:t xml:space="preserve">第三，项目的延伸是面向绿色资产和绿色金融的服务能力。项目希望服务的是绿证衔接、ESG</w:t>
      </w:r>
      <w:r>
        <w:t xml:space="preserve"> </w:t>
      </w:r>
      <w:r>
        <w:rPr>
          <w:rFonts w:hint="eastAsia"/>
        </w:rPr>
        <w:t xml:space="preserve">披露、项目审计和金融辅助判断等正式场景，而不是直接面向公众提供金融化交易工具。</w:t>
      </w:r>
    </w:p>
    <w:p>
      <w:pPr>
        <w:pStyle w:val="BodyText"/>
        <w:spacing w:line="360" w:lineRule="auto" w:after="120"/>
        <w:ind w:firstLine="420"/>
      </w:pPr>
      <w:r>
        <w:rPr>
          <w:rFonts w:hint="eastAsia"/>
        </w:rPr>
        <w:t xml:space="preserve">从这个角度看，</w:t>
      </w:r>
      <w:r>
        <w:rPr>
          <w:rStyle w:val="VerbatimChar"/>
        </w:rPr>
        <w:t xml:space="preserve">SolarGuard</w:t>
      </w:r>
      <w:r>
        <w:t xml:space="preserve"> </w:t>
      </w:r>
      <w:r>
        <w:rPr>
          <w:rFonts w:hint="eastAsia"/>
        </w:rPr>
        <w:t xml:space="preserve">既保留了技术创新性，也具备明确的场景价值和政策适配性，是一个更适合创新大赛、大创和省赛立项环境的项目形态。</w:t>
      </w:r>
    </w:p>
    <w:bookmarkEnd w:id="35"/>
    <w:bookmarkStart w:id="36" w:name="本章结论"/>
    <w:p>
      <w:pPr>
        <w:pStyle w:val="Heading2"/>
      </w:pPr>
      <w:r>
        <w:t xml:space="preserve">2.7 </w:t>
      </w:r>
      <w:r>
        <w:rPr>
          <w:rFonts w:hint="eastAsia"/>
        </w:rPr>
        <w:t xml:space="preserve">本章结论</w:t>
      </w:r>
    </w:p>
    <w:p>
      <w:pPr>
        <w:pStyle w:val="FirstParagraph"/>
        <w:spacing w:line="360" w:lineRule="auto" w:after="120"/>
        <w:ind w:firstLine="420"/>
      </w:pPr>
      <w:r>
        <w:rPr>
          <w:rFonts w:hint="eastAsia"/>
        </w:rPr>
        <w:t xml:space="preserve">总体来看，</w:t>
      </w:r>
      <w:r>
        <w:rPr>
          <w:rStyle w:val="VerbatimChar"/>
        </w:rPr>
        <w:t xml:space="preserve">SolarGuard</w:t>
      </w:r>
      <w:r>
        <w:t xml:space="preserve"> </w:t>
      </w:r>
      <w:r>
        <w:rPr>
          <w:rFonts w:hint="eastAsia"/>
        </w:rPr>
        <w:t xml:space="preserve">所处的政策环境并不是简单的“支持或不支持”，而是要求项目在创新与合规之间做出更精细的平衡。国家层面对数据要素、可信数据空间、数字金融、绿色金融和新能源数字化的支持，为项目提供了明确的发展方向；而围绕代币化、RWA</w:t>
      </w:r>
      <w:r>
        <w:t xml:space="preserve"> </w:t>
      </w:r>
      <w:r>
        <w:rPr>
          <w:rFonts w:hint="eastAsia"/>
        </w:rPr>
        <w:t xml:space="preserve">金融化、类证券流转的监管收紧，则要求项目及时调整叙事和业务边界。</w:t>
      </w:r>
    </w:p>
    <w:p>
      <w:pPr>
        <w:pStyle w:val="BodyText"/>
        <w:spacing w:line="360" w:lineRule="auto" w:after="120"/>
        <w:ind w:firstLine="420"/>
      </w:pPr>
      <w:r>
        <w:rPr>
          <w:rFonts w:hint="eastAsia"/>
        </w:rPr>
        <w:t xml:space="preserve">因此，</w:t>
      </w:r>
      <w:r>
        <w:rPr>
          <w:rStyle w:val="VerbatimChar"/>
        </w:rPr>
        <w:t xml:space="preserve">SolarGuard</w:t>
      </w:r>
      <w:r>
        <w:t xml:space="preserve"> </w:t>
      </w:r>
      <w:r>
        <w:rPr>
          <w:rFonts w:hint="eastAsia"/>
        </w:rPr>
        <w:t xml:space="preserve">的正确发展路径，不是继续强调“光伏RWA代币交易”，而是立足于分布式光伏数据的真实可信采集与联盟链存证能力，进一步向绿证衔接、ESG</w:t>
      </w:r>
      <w:r>
        <w:t xml:space="preserve"> </w:t>
      </w:r>
      <w:r>
        <w:rPr>
          <w:rFonts w:hint="eastAsia"/>
        </w:rPr>
        <w:t xml:space="preserve">披露、绿色金融辅助决策和审计核验等场景延伸。这样的定位不仅更符合国家政策方向，也更有利于项目在高校创新创业赛事和后续实际应用中获得认可。</w:t>
      </w:r>
    </w:p>
    <w:p>
      <w:pPr>
        <w:pStyle w:val="BlockText"/>
      </w:pPr>
      <w:r>
        <w:rPr>
          <w:rFonts w:hint="eastAsia"/>
          <w:i/>
          <w:color w:val="6B7280"/>
        </w:rPr>
        <w:t xml:space="preserve">待补表格：关键政策文件对照表</w:t>
      </w:r>
    </w:p>
    <w:p>
      <w:pPr>
        <w:spacing w:line="360" w:lineRule="auto" w:after="120"/>
        <w:ind w:firstLine="420"/>
      </w:pPr>
      <w:r>
        <w:pict>
          <v:rect style="width:0;height:1.5pt" o:hralign="center" o:hrstd="t" o:hr="t"/>
        </w:pict>
      </w:r>
    </w:p>
    <w:bookmarkEnd w:id="36"/>
    <w:bookmarkEnd w:id="37"/>
    <w:bookmarkStart w:id="60" w:name="第三章-产品与解决方案"/>
    <w:p>
      <w:pPr>
        <w:pStyle w:val="Heading1"/>
        <w:jc w:val="left"/>
      </w:pPr>
      <w:r>
        <w:rPr>
          <w:rFonts w:hint="eastAsia"/>
        </w:rPr>
        <w:t xml:space="preserve">第三章</w:t>
        <w:br w:type="page"/>
      </w:r>
      <w:r>
        <w:t xml:space="preserve"> </w:t>
      </w:r>
      <w:r>
        <w:rPr>
          <w:rFonts w:hint="eastAsia"/>
        </w:rPr>
        <w:t xml:space="preserve">产品与解决方案</w:t>
      </w:r>
    </w:p>
    <w:bookmarkStart w:id="38" w:name="产品定义"/>
    <w:p>
      <w:pPr>
        <w:pStyle w:val="Heading2"/>
      </w:pPr>
      <w:r>
        <w:t xml:space="preserve">3.1 </w:t>
      </w:r>
      <w:r>
        <w:rPr>
          <w:rFonts w:hint="eastAsia"/>
        </w:rPr>
        <w:t xml:space="preserve">产品定义</w:t>
      </w:r>
    </w:p>
    <w:p>
      <w:pPr>
        <w:pStyle w:val="FirstParagraph"/>
        <w:spacing w:line="360" w:lineRule="auto" w:after="120"/>
        <w:ind w:firstLine="420"/>
      </w:pPr>
      <w:r>
        <w:rPr>
          <w:rStyle w:val="VerbatimChar"/>
        </w:rPr>
        <w:t xml:space="preserve">SolarGuard</w:t>
      </w:r>
      <w:r>
        <w:t xml:space="preserve"> </w:t>
      </w:r>
      <w:r>
        <w:rPr>
          <w:rFonts w:hint="eastAsia"/>
        </w:rPr>
        <w:t xml:space="preserve">是一套面向分布式光伏场景的可信数据采集、联盟链存证与绿色资产服务平台。项目围绕“底层数据如何被真实采集、如何被可信记录、如何被后续场景复用”这一核心问题展开，试图将分散、易丢失、难核验的设备运行数据，转化为可追溯、可验证、可服务多方场景的可信业务数据。</w:t>
      </w:r>
    </w:p>
    <w:p>
      <w:pPr>
        <w:pStyle w:val="BodyText"/>
        <w:spacing w:line="360" w:lineRule="auto" w:after="120"/>
        <w:ind w:firstLine="420"/>
      </w:pPr>
      <w:r>
        <w:rPr>
          <w:rFonts w:hint="eastAsia"/>
        </w:rPr>
        <w:t xml:space="preserve">从产品属性上看，</w:t>
      </w:r>
      <w:r>
        <w:rPr>
          <w:rStyle w:val="VerbatimChar"/>
        </w:rPr>
        <w:t xml:space="preserve">SolarGuard</w:t>
      </w:r>
      <w:r>
        <w:t xml:space="preserve"> </w:t>
      </w:r>
      <w:r>
        <w:rPr>
          <w:rFonts w:hint="eastAsia"/>
        </w:rPr>
        <w:t xml:space="preserve">既不是传统意义上的光伏硬件设备，也不是单纯的监控看板，更不是当前阶段面向公众开放交易的金融平台。它更接近于新能源数字化基础设施中的一个关键环节：以真实光伏设备和运行数据为起点，以可信采集和联盟链存证为手段，以绿色资产核验和绿色金融辅助服务为延伸方向，连接底层物理设备与上层业务场景。</w:t>
      </w:r>
    </w:p>
    <w:p>
      <w:pPr>
        <w:pStyle w:val="BodyText"/>
        <w:spacing w:line="360" w:lineRule="auto" w:after="120"/>
        <w:ind w:firstLine="420"/>
      </w:pPr>
      <w:r>
        <w:rPr>
          <w:rFonts w:hint="eastAsia"/>
        </w:rPr>
        <w:t xml:space="preserve">因此，</w:t>
      </w:r>
      <w:r>
        <w:rPr>
          <w:rStyle w:val="VerbatimChar"/>
        </w:rPr>
        <w:t xml:space="preserve">SolarGuard</w:t>
      </w:r>
      <w:r>
        <w:t xml:space="preserve"> </w:t>
      </w:r>
      <w:r>
        <w:rPr>
          <w:rFonts w:hint="eastAsia"/>
        </w:rPr>
        <w:t xml:space="preserve">的产品定义可以概括为：</w:t>
      </w:r>
    </w:p>
    <w:p>
      <w:pPr>
        <w:pStyle w:val="BodyText"/>
        <w:spacing w:line="360" w:lineRule="auto" w:after="120"/>
        <w:ind w:firstLine="420"/>
      </w:pPr>
      <w:r>
        <w:rPr>
          <w:rStyle w:val="VerbatimChar"/>
          <w:rFonts w:hint="eastAsia"/>
        </w:rPr>
        <w:t xml:space="preserve">面向分布式光伏场景的可信数据服务底座</w:t>
      </w:r>
    </w:p>
    <w:p>
      <w:pPr>
        <w:pStyle w:val="BodyText"/>
        <w:spacing w:line="360" w:lineRule="auto" w:after="120"/>
        <w:ind w:firstLine="420"/>
      </w:pPr>
      <w:r>
        <w:rPr>
          <w:rFonts w:hint="eastAsia"/>
        </w:rPr>
        <w:t xml:space="preserve">这一定位决定了项目的核心竞争力不在于单一模块，而在于从“采集”到“存证”再到“服务”的整链路能力。相比只提供数据可视化的普通系统，</w:t>
      </w:r>
      <w:r>
        <w:rPr>
          <w:rStyle w:val="VerbatimChar"/>
        </w:rPr>
        <w:t xml:space="preserve">SolarGuard</w:t>
      </w:r>
      <w:r>
        <w:t xml:space="preserve"> </w:t>
      </w:r>
      <w:r>
        <w:rPr>
          <w:rFonts w:hint="eastAsia"/>
        </w:rPr>
        <w:t xml:space="preserve">更强调数据的可信性、可验证性和跨主体可使用性；相比只做概念验证的区块链项目，</w:t>
      </w:r>
      <w:r>
        <w:rPr>
          <w:rStyle w:val="VerbatimChar"/>
        </w:rPr>
        <w:t xml:space="preserve">SolarGuard</w:t>
      </w:r>
      <w:r>
        <w:t xml:space="preserve"> </w:t>
      </w:r>
      <w:r>
        <w:rPr>
          <w:rFonts w:hint="eastAsia"/>
        </w:rPr>
        <w:t xml:space="preserve">又更强调真实设备接入与现实场景落点。</w:t>
      </w:r>
    </w:p>
    <w:bookmarkEnd w:id="38"/>
    <w:bookmarkStart w:id="42" w:name="产品总体解决方案"/>
    <w:p>
      <w:pPr>
        <w:pStyle w:val="Heading2"/>
      </w:pPr>
      <w:r>
        <w:t xml:space="preserve">3.2 </w:t>
      </w:r>
      <w:r>
        <w:rPr>
          <w:rFonts w:hint="eastAsia"/>
        </w:rPr>
        <w:t xml:space="preserve">产品总体解决方案</w:t>
      </w:r>
    </w:p>
    <w:p>
      <w:pPr>
        <w:pStyle w:val="FirstParagraph"/>
        <w:spacing w:line="360" w:lineRule="auto" w:after="120"/>
        <w:ind w:firstLine="420"/>
      </w:pPr>
      <w:r>
        <w:rPr>
          <w:rFonts w:hint="eastAsia"/>
        </w:rPr>
        <w:t xml:space="preserve">围绕分布式光伏数据在真实场景中的使用障碍，</w:t>
      </w:r>
      <w:r>
        <w:rPr>
          <w:rStyle w:val="VerbatimChar"/>
        </w:rPr>
        <w:t xml:space="preserve">SolarGuard</w:t>
      </w:r>
      <w:r>
        <w:t xml:space="preserve"> </w:t>
      </w:r>
      <w:r>
        <w:rPr>
          <w:rFonts w:hint="eastAsia"/>
        </w:rPr>
        <w:t xml:space="preserve">提出了“硬件采集</w:t>
      </w:r>
      <w:r>
        <w:t xml:space="preserve"> + </w:t>
      </w:r>
      <w:r>
        <w:rPr>
          <w:rFonts w:hint="eastAsia"/>
        </w:rPr>
        <w:t xml:space="preserve">数据签名</w:t>
      </w:r>
      <w:r>
        <w:t xml:space="preserve"> + </w:t>
      </w:r>
      <w:r>
        <w:rPr>
          <w:rFonts w:hint="eastAsia"/>
        </w:rPr>
        <w:t xml:space="preserve">联盟链存证</w:t>
      </w:r>
      <w:r>
        <w:t xml:space="preserve"> + </w:t>
      </w:r>
      <w:r>
        <w:rPr>
          <w:rFonts w:hint="eastAsia"/>
        </w:rPr>
        <w:t xml:space="preserve">自动监测</w:t>
      </w:r>
      <w:r>
        <w:t xml:space="preserve"> + </w:t>
      </w:r>
      <w:r>
        <w:rPr>
          <w:rFonts w:hint="eastAsia"/>
        </w:rPr>
        <w:t xml:space="preserve">可视化展示</w:t>
      </w:r>
      <w:r>
        <w:t xml:space="preserve"> + </w:t>
      </w:r>
      <w:r>
        <w:rPr>
          <w:rFonts w:hint="eastAsia"/>
        </w:rPr>
        <w:t xml:space="preserve">绿色资产服务”的总体解决方案。</w:t>
      </w:r>
    </w:p>
    <w:p>
      <w:pPr>
        <w:pStyle w:val="BodyText"/>
        <w:spacing w:line="360" w:lineRule="auto" w:after="120"/>
        <w:ind w:firstLine="420"/>
      </w:pPr>
      <w:r>
        <w:rPr>
          <w:rFonts w:hint="eastAsia"/>
        </w:rPr>
        <w:t xml:space="preserve">在系统底层，项目通过接入光伏控制器等硬件设备，获取发电功率、光伏电压、电池电压、电池电量、累计发电量等关键指标，形成可持续采集的基础数据流。在数据处理环节，项目对核心数据进行结构化封装和签名处理，以降低后续场景中数据被篡改、被伪造或来源不清的问题。在存证环节，项目通过联盟链读写能力完成链上记录，使关键运行数据具备可追溯、可验证、可查询的基础属性。</w:t>
      </w:r>
    </w:p>
    <w:p>
      <w:pPr>
        <w:pStyle w:val="BodyText"/>
        <w:spacing w:line="360" w:lineRule="auto" w:after="120"/>
        <w:ind w:firstLine="420"/>
      </w:pPr>
      <w:r>
        <w:rPr>
          <w:rFonts w:hint="eastAsia"/>
        </w:rPr>
        <w:t xml:space="preserve">在应用层面，项目通过自动监测脚本、图表生成、接口服务和前端看板，将原本分散在设备端和程序端的数据整合为便于使用和展示的应用成果。这使得系统不仅可以服务于技术开发和原型验证，也具备向运维展示、管理决策、审计核验和绿色金融辅助场景延伸的可能性。</w:t>
      </w:r>
    </w:p>
    <w:p>
      <w:pPr>
        <w:pStyle w:val="BodyText"/>
        <w:spacing w:line="360" w:lineRule="auto" w:after="120"/>
        <w:ind w:firstLine="420"/>
      </w:pPr>
      <w:r>
        <w:rPr>
          <w:rFonts w:hint="eastAsia"/>
        </w:rPr>
        <w:t xml:space="preserve">整体来看，</w:t>
      </w:r>
      <w:r>
        <w:rPr>
          <w:rStyle w:val="VerbatimChar"/>
        </w:rPr>
        <w:t xml:space="preserve">SolarGuard</w:t>
      </w:r>
      <w:r>
        <w:t xml:space="preserve"> </w:t>
      </w:r>
      <w:r>
        <w:rPr>
          <w:rFonts w:hint="eastAsia"/>
        </w:rPr>
        <w:t xml:space="preserve">并不是只解决一个局部问题，而是构建了一条完整的处理链路：让底层设备数据在产生之后，不再只是一次性读数，而是能够进入可信记录、可视化展示和业务调用的完整生命周期。</w:t>
      </w:r>
    </w:p>
    <w:p>
      <w:pPr>
        <w:pStyle w:val="CaptionedFigure"/>
      </w:pPr>
      <w:r>
        <w:drawing>
          <wp:inline>
            <wp:extent cx="5334000" cy="5334000"/>
            <wp:effectExtent b="0" l="0" r="0" t="0"/>
            <wp:docPr descr="插图" title="" id="40" name="Picture"/>
            <a:graphic>
              <a:graphicData uri="http://schemas.openxmlformats.org/drawingml/2006/picture">
                <pic:pic>
                  <pic:nvPicPr>
                    <pic:cNvPr descr="/Users/evanhan/项目/光伏项目/比赛材料/素材库/最终图片/06_产品功能模块图_v2.png" id="41" name="Picture"/>
                    <pic:cNvPicPr>
                      <a:picLocks noChangeArrowheads="1" noChangeAspect="1"/>
                    </pic:cNvPicPr>
                  </pic:nvPicPr>
                  <pic:blipFill>
                    <a:blip r:embed="rId3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插图</w:t>
      </w:r>
    </w:p>
    <w:bookmarkEnd w:id="42"/>
    <w:bookmarkStart w:id="49" w:name="核心功能模块"/>
    <w:p>
      <w:pPr>
        <w:pStyle w:val="Heading2"/>
      </w:pPr>
      <w:r>
        <w:t xml:space="preserve">3.3 </w:t>
      </w:r>
      <w:r>
        <w:rPr>
          <w:rFonts w:hint="eastAsia"/>
        </w:rPr>
        <w:t xml:space="preserve">核心功能模块</w:t>
      </w:r>
    </w:p>
    <w:p>
      <w:pPr>
        <w:pStyle w:val="FirstParagraph"/>
        <w:spacing w:line="360" w:lineRule="auto" w:after="120"/>
        <w:ind w:firstLine="420"/>
      </w:pPr>
      <w:r>
        <w:rPr>
          <w:rFonts w:hint="eastAsia"/>
        </w:rPr>
        <w:t xml:space="preserve">为了实现上述目标，</w:t>
      </w:r>
      <w:r>
        <w:rPr>
          <w:rStyle w:val="VerbatimChar"/>
        </w:rPr>
        <w:t xml:space="preserve">SolarGuard</w:t>
      </w:r>
      <w:r>
        <w:t xml:space="preserve"> </w:t>
      </w:r>
      <w:r>
        <w:rPr>
          <w:rFonts w:hint="eastAsia"/>
        </w:rPr>
        <w:t xml:space="preserve">形成了由多个核心模块构成的产品体系。</w:t>
      </w:r>
    </w:p>
    <w:bookmarkStart w:id="43" w:name="硬件数据采集模块"/>
    <w:p>
      <w:pPr>
        <w:pStyle w:val="Heading3"/>
      </w:pPr>
      <w:r>
        <w:t xml:space="preserve">3.3.1 </w:t>
      </w:r>
      <w:r>
        <w:rPr>
          <w:rFonts w:hint="eastAsia"/>
        </w:rPr>
        <w:t xml:space="preserve">硬件数据采集模块</w:t>
      </w:r>
    </w:p>
    <w:p>
      <w:pPr>
        <w:pStyle w:val="FirstParagraph"/>
        <w:spacing w:line="360" w:lineRule="auto" w:after="120"/>
        <w:ind w:firstLine="420"/>
      </w:pPr>
      <w:r>
        <w:rPr>
          <w:rFonts w:hint="eastAsia"/>
        </w:rPr>
        <w:t xml:space="preserve">该模块面向分布式光伏设备的数据源头，负责采集发电过程中的关键指标，包括实时功率、电压、电流、电池状态以及累计发电量等。项目已围绕实际设备通信接口进行开发，并提供模拟模式支持，便于在缺乏实物条件时继续开展原型调试和展示。</w:t>
      </w:r>
    </w:p>
    <w:p>
      <w:pPr>
        <w:pStyle w:val="BodyText"/>
        <w:spacing w:line="360" w:lineRule="auto" w:after="120"/>
        <w:ind w:firstLine="420"/>
      </w:pPr>
      <w:r>
        <w:rPr>
          <w:rFonts w:hint="eastAsia"/>
        </w:rPr>
        <w:t xml:space="preserve">这一模块解决的是“数据从哪里来”的问题，是整个系统的起点。没有真实设备数据，后续的签名、存证和场景服务都将失去现实锚点。</w:t>
      </w:r>
    </w:p>
    <w:bookmarkEnd w:id="43"/>
    <w:bookmarkStart w:id="44" w:name="数据签名与可信封装模块"/>
    <w:p>
      <w:pPr>
        <w:pStyle w:val="Heading3"/>
      </w:pPr>
      <w:r>
        <w:t xml:space="preserve">3.3.2 </w:t>
      </w:r>
      <w:r>
        <w:rPr>
          <w:rFonts w:hint="eastAsia"/>
        </w:rPr>
        <w:t xml:space="preserve">数据签名与可信封装模块</w:t>
      </w:r>
    </w:p>
    <w:p>
      <w:pPr>
        <w:pStyle w:val="FirstParagraph"/>
        <w:spacing w:line="360" w:lineRule="auto" w:after="120"/>
        <w:ind w:firstLine="420"/>
      </w:pPr>
      <w:r>
        <w:rPr>
          <w:rFonts w:hint="eastAsia"/>
        </w:rPr>
        <w:t xml:space="preserve">该模块负责对关键数据进行结构化处理和签名，确保数据在进入后续环节前具备明确来源和基础可信性。项目引入签名机制后，数据不再只是简单的监测记录，而是具备了“谁产生、何时产生、内容为何”的可验证属性，为后续多方使用奠定基础。</w:t>
      </w:r>
    </w:p>
    <w:p>
      <w:pPr>
        <w:pStyle w:val="BodyText"/>
        <w:spacing w:line="360" w:lineRule="auto" w:after="120"/>
        <w:ind w:firstLine="420"/>
      </w:pPr>
      <w:r>
        <w:rPr>
          <w:rFonts w:hint="eastAsia"/>
        </w:rPr>
        <w:t xml:space="preserve">这一模块解决的是“数据能不能被信任”的问题，是系统从普通采集工具走向可信数据平台的关键跃迁。</w:t>
      </w:r>
    </w:p>
    <w:bookmarkEnd w:id="44"/>
    <w:bookmarkStart w:id="45" w:name="联盟链存证模块"/>
    <w:p>
      <w:pPr>
        <w:pStyle w:val="Heading3"/>
      </w:pPr>
      <w:r>
        <w:t xml:space="preserve">3.3.3 </w:t>
      </w:r>
      <w:r>
        <w:rPr>
          <w:rFonts w:hint="eastAsia"/>
        </w:rPr>
        <w:t xml:space="preserve">联盟链存证模块</w:t>
      </w:r>
    </w:p>
    <w:p>
      <w:pPr>
        <w:pStyle w:val="FirstParagraph"/>
        <w:spacing w:line="360" w:lineRule="auto" w:after="120"/>
        <w:ind w:firstLine="420"/>
      </w:pPr>
      <w:r>
        <w:rPr>
          <w:rFonts w:hint="eastAsia"/>
        </w:rPr>
        <w:t xml:space="preserve">该模块负责将关键数据同步到联盟链上，形成不可随意篡改、可长期追溯的记录。通过链上写入、链上查询和历史记录调用，项目为分布式光伏数据构建了可信留痕机制。</w:t>
      </w:r>
    </w:p>
    <w:p>
      <w:pPr>
        <w:pStyle w:val="BodyText"/>
        <w:spacing w:line="360" w:lineRule="auto" w:after="120"/>
        <w:ind w:firstLine="420"/>
      </w:pPr>
      <w:r>
        <w:rPr>
          <w:rFonts w:hint="eastAsia"/>
        </w:rPr>
        <w:t xml:space="preserve">联盟链在这里不是为了制造概念，而是作为一个适合多方协同、便于记录和审计的底层存证工具。其作用重点在于提高数据的可追溯性和可信度，而不是直接承载公开金融交易。</w:t>
      </w:r>
    </w:p>
    <w:bookmarkEnd w:id="45"/>
    <w:bookmarkStart w:id="46" w:name="自动监测与告警模块"/>
    <w:p>
      <w:pPr>
        <w:pStyle w:val="Heading3"/>
      </w:pPr>
      <w:r>
        <w:t xml:space="preserve">3.3.4 </w:t>
      </w:r>
      <w:r>
        <w:rPr>
          <w:rFonts w:hint="eastAsia"/>
        </w:rPr>
        <w:t xml:space="preserve">自动监测与告警模块</w:t>
      </w:r>
    </w:p>
    <w:p>
      <w:pPr>
        <w:pStyle w:val="FirstParagraph"/>
        <w:spacing w:line="360" w:lineRule="auto" w:after="120"/>
        <w:ind w:firstLine="420"/>
      </w:pPr>
      <w:r>
        <w:rPr>
          <w:rFonts w:hint="eastAsia"/>
        </w:rPr>
        <w:t xml:space="preserve">该模块负责将单次读取升级为周期性监测，支持定时采样、数据保存、图表生成和异常通知。通过自动监测机制，项目能够持续记录设备运行状态，并将关键变化以更适合展示和分析的方式保留下来。</w:t>
      </w:r>
    </w:p>
    <w:p>
      <w:pPr>
        <w:pStyle w:val="BodyText"/>
        <w:spacing w:line="360" w:lineRule="auto" w:after="120"/>
        <w:ind w:firstLine="420"/>
      </w:pPr>
      <w:r>
        <w:rPr>
          <w:rFonts w:hint="eastAsia"/>
        </w:rPr>
        <w:t xml:space="preserve">这一模块解决的是“数据能不能连续、稳定、低成本地被记录”的问题，也是项目从演示系统走向应用系统的重要一步。</w:t>
      </w:r>
    </w:p>
    <w:bookmarkEnd w:id="46"/>
    <w:bookmarkStart w:id="47" w:name="api-与前端可视化模块"/>
    <w:p>
      <w:pPr>
        <w:pStyle w:val="Heading3"/>
      </w:pPr>
      <w:r>
        <w:t xml:space="preserve">3.3.5 API </w:t>
      </w:r>
      <w:r>
        <w:rPr>
          <w:rFonts w:hint="eastAsia"/>
        </w:rPr>
        <w:t xml:space="preserve">与前端可视化模块</w:t>
      </w:r>
    </w:p>
    <w:p>
      <w:pPr>
        <w:pStyle w:val="FirstParagraph"/>
        <w:spacing w:line="360" w:lineRule="auto" w:after="120"/>
        <w:ind w:firstLine="420"/>
      </w:pPr>
      <w:r>
        <w:rPr>
          <w:rFonts w:hint="eastAsia"/>
        </w:rPr>
        <w:t xml:space="preserve">该模块面向使用者，提供数据调用和结果展示能力。前端看板能够展示当前功率、累计发电量、电池状态、链上记录等信息，使系统具备较强的可演示性和交互性。API</w:t>
      </w:r>
      <w:r>
        <w:t xml:space="preserve"> </w:t>
      </w:r>
      <w:r>
        <w:rPr>
          <w:rFonts w:hint="eastAsia"/>
        </w:rPr>
        <w:t xml:space="preserve">层则为未来的业务系统对接预留了接口基础。</w:t>
      </w:r>
    </w:p>
    <w:p>
      <w:pPr>
        <w:pStyle w:val="BodyText"/>
        <w:spacing w:line="360" w:lineRule="auto" w:after="120"/>
        <w:ind w:firstLine="420"/>
      </w:pPr>
      <w:r>
        <w:rPr>
          <w:rFonts w:hint="eastAsia"/>
        </w:rPr>
        <w:t xml:space="preserve">这一模块解决的是“数据能不能被理解和使用”的问题，使系统不只停留在后台程序或实验环境中，而能够形成面向管理者、合作方和评审者的直观产品形态。</w:t>
      </w:r>
    </w:p>
    <w:bookmarkEnd w:id="47"/>
    <w:bookmarkStart w:id="48" w:name="绿色资产服务原型模块"/>
    <w:p>
      <w:pPr>
        <w:pStyle w:val="Heading3"/>
      </w:pPr>
      <w:r>
        <w:t xml:space="preserve">3.3.6 </w:t>
      </w:r>
      <w:r>
        <w:rPr>
          <w:rFonts w:hint="eastAsia"/>
        </w:rPr>
        <w:t xml:space="preserve">绿色资产服务原型模块</w:t>
      </w:r>
    </w:p>
    <w:p>
      <w:pPr>
        <w:pStyle w:val="FirstParagraph"/>
        <w:spacing w:line="360" w:lineRule="auto" w:after="120"/>
        <w:ind w:firstLine="420"/>
      </w:pPr>
      <w:r>
        <w:rPr>
          <w:rFonts w:hint="eastAsia"/>
        </w:rPr>
        <w:t xml:space="preserve">该模块是项目在应用延伸层面的探索方向。项目已围绕绿色资产映射与价值流转逻辑开展原型验证，用以模拟新能源数据向上层服务场景延展的可能性。结合当前政策环境，项目后续将更强调绿证衔接、ESG</w:t>
      </w:r>
      <w:r>
        <w:t xml:space="preserve"> </w:t>
      </w:r>
      <w:r>
        <w:rPr>
          <w:rFonts w:hint="eastAsia"/>
        </w:rPr>
        <w:t xml:space="preserve">披露、绿色金融辅助决策和审计支持等场景，而非继续强化面向公众的代币化表达。</w:t>
      </w:r>
    </w:p>
    <w:p>
      <w:pPr>
        <w:pStyle w:val="BodyText"/>
        <w:spacing w:line="360" w:lineRule="auto" w:after="120"/>
        <w:ind w:firstLine="420"/>
      </w:pPr>
      <w:r>
        <w:rPr>
          <w:rFonts w:hint="eastAsia"/>
        </w:rPr>
        <w:t xml:space="preserve">这一模块解决的是“数据能不能进入高价值场景”的问题，是项目未来从技术原型走向服务平台的重要方向。</w:t>
      </w:r>
    </w:p>
    <w:bookmarkEnd w:id="48"/>
    <w:bookmarkEnd w:id="49"/>
    <w:bookmarkStart w:id="53" w:name="目标用户与使用对象"/>
    <w:p>
      <w:pPr>
        <w:pStyle w:val="Heading2"/>
      </w:pPr>
      <w:r>
        <w:t xml:space="preserve">3.4 </w:t>
      </w:r>
      <w:r>
        <w:rPr>
          <w:rFonts w:hint="eastAsia"/>
        </w:rPr>
        <w:t xml:space="preserve">目标用户与使用对象</w:t>
      </w:r>
    </w:p>
    <w:p>
      <w:pPr>
        <w:pStyle w:val="FirstParagraph"/>
        <w:spacing w:line="360" w:lineRule="auto" w:after="120"/>
        <w:ind w:firstLine="420"/>
      </w:pPr>
      <w:r>
        <w:rPr>
          <w:rStyle w:val="VerbatimChar"/>
        </w:rPr>
        <w:t xml:space="preserve">SolarGuard</w:t>
      </w:r>
      <w:r>
        <w:t xml:space="preserve"> </w:t>
      </w:r>
      <w:r>
        <w:rPr>
          <w:rFonts w:hint="eastAsia"/>
        </w:rPr>
        <w:t xml:space="preserve">的目标用户不是单一群体，而是围绕分布式光伏数据使用链条上的多个主体展开。</w:t>
      </w:r>
    </w:p>
    <w:p>
      <w:pPr>
        <w:pStyle w:val="BodyText"/>
        <w:spacing w:line="360" w:lineRule="auto" w:after="120"/>
        <w:ind w:firstLine="420"/>
      </w:pPr>
      <w:r>
        <w:rPr>
          <w:rFonts w:hint="eastAsia"/>
        </w:rPr>
        <w:t xml:space="preserve">首先，是分布式光伏运营方和项目管理方。这类用户最直接的需求是实时掌握设备状态、持续记录发电数据、形成可查询的历史记录，并降低人工巡检和人工整理数据的成本。对他们来说，</w:t>
      </w:r>
      <w:r>
        <w:rPr>
          <w:rStyle w:val="VerbatimChar"/>
        </w:rPr>
        <w:t xml:space="preserve">SolarGuard</w:t>
      </w:r>
      <w:r>
        <w:t xml:space="preserve"> </w:t>
      </w:r>
      <w:r>
        <w:rPr>
          <w:rFonts w:hint="eastAsia"/>
        </w:rPr>
        <w:t xml:space="preserve">既可以提高运维效率，也可以帮助其形成更加标准化、可信化的数据资产基础。</w:t>
      </w:r>
    </w:p>
    <w:p>
      <w:pPr>
        <w:pStyle w:val="BodyText"/>
        <w:spacing w:line="360" w:lineRule="auto" w:after="120"/>
        <w:ind w:firstLine="420"/>
      </w:pPr>
      <w:r>
        <w:rPr>
          <w:rFonts w:hint="eastAsia"/>
        </w:rPr>
        <w:t xml:space="preserve">其次，是园区、企业和能源管理平台。这类主体往往需要对多个分布式项目进行汇总管理，并在节能降碳、绿色评价、能源绩效分析等方面使用数据。</w:t>
      </w:r>
      <w:r>
        <w:rPr>
          <w:rStyle w:val="VerbatimChar"/>
        </w:rPr>
        <w:t xml:space="preserve">SolarGuard</w:t>
      </w:r>
      <w:r>
        <w:t xml:space="preserve"> </w:t>
      </w:r>
      <w:r>
        <w:rPr>
          <w:rFonts w:hint="eastAsia"/>
        </w:rPr>
        <w:t xml:space="preserve">提供的可信采集和统一记录能力，有助于提升数据治理水平，为能源管理数字化提供底层支撑。</w:t>
      </w:r>
    </w:p>
    <w:p>
      <w:pPr>
        <w:pStyle w:val="BodyText"/>
        <w:spacing w:line="360" w:lineRule="auto" w:after="120"/>
        <w:ind w:firstLine="420"/>
      </w:pPr>
      <w:r>
        <w:rPr>
          <w:rFonts w:hint="eastAsia"/>
        </w:rPr>
        <w:t xml:space="preserve">再次，是</w:t>
      </w:r>
      <w:r>
        <w:t xml:space="preserve"> ESG </w:t>
      </w:r>
      <w:r>
        <w:rPr>
          <w:rFonts w:hint="eastAsia"/>
        </w:rPr>
        <w:t xml:space="preserve">服务机构、审计主体和绿色金融服务机构。这类主体往往不直接管理设备，却需要使用与设备和发电行为相关的可信数据。例如，在</w:t>
      </w:r>
      <w:r>
        <w:t xml:space="preserve"> ESG </w:t>
      </w:r>
      <w:r>
        <w:rPr>
          <w:rFonts w:hint="eastAsia"/>
        </w:rPr>
        <w:t xml:space="preserve">披露、绿色项目尽调、绿色贷款审批、保险风险评估、项目审计追溯等场景中，可信底层数据可以显著降低核验成本，提高判断效率。</w:t>
      </w:r>
    </w:p>
    <w:p>
      <w:pPr>
        <w:pStyle w:val="BodyText"/>
        <w:spacing w:line="360" w:lineRule="auto" w:after="120"/>
        <w:ind w:firstLine="420"/>
      </w:pPr>
      <w:r>
        <w:rPr>
          <w:rFonts w:hint="eastAsia"/>
        </w:rPr>
        <w:t xml:space="preserve">从长期来看，政府部门、行业平台和绿证相关服务主体也可能成为项目的潜在合作对象。虽然项目当前仍处于原型阶段，但其数据服务能力具备进一步扩展到更大范围行业协同场景的可能性。</w:t>
      </w:r>
    </w:p>
    <w:p>
      <w:pPr>
        <w:pStyle w:val="CaptionedFigure"/>
      </w:pPr>
      <w:r>
        <w:drawing>
          <wp:inline>
            <wp:extent cx="5334000" cy="7000875"/>
            <wp:effectExtent b="0" l="0" r="0" t="0"/>
            <wp:docPr descr="插图" title="" id="51" name="Picture"/>
            <a:graphic>
              <a:graphicData uri="http://schemas.openxmlformats.org/drawingml/2006/picture">
                <pic:pic>
                  <pic:nvPicPr>
                    <pic:cNvPr descr="/Users/evanhan/项目/光伏项目/比赛材料/素材库/最终图片/14_用户与场景关系图_v1.png" id="52" name="Picture"/>
                    <pic:cNvPicPr>
                      <a:picLocks noChangeArrowheads="1" noChangeAspect="1"/>
                    </pic:cNvPicPr>
                  </pic:nvPicPr>
                  <pic:blipFill>
                    <a:blip r:embed="rId50"/>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bookmarkEnd w:id="53"/>
    <w:bookmarkStart w:id="54" w:name="产品价值主张"/>
    <w:p>
      <w:pPr>
        <w:pStyle w:val="Heading2"/>
      </w:pPr>
      <w:r>
        <w:t xml:space="preserve">3.5 </w:t>
      </w:r>
      <w:r>
        <w:rPr>
          <w:rFonts w:hint="eastAsia"/>
        </w:rPr>
        <w:t xml:space="preserve">产品价值主张</w:t>
      </w:r>
    </w:p>
    <w:p>
      <w:pPr>
        <w:pStyle w:val="FirstParagraph"/>
        <w:spacing w:line="360" w:lineRule="auto" w:after="120"/>
        <w:ind w:firstLine="420"/>
      </w:pPr>
      <w:r>
        <w:rPr>
          <w:rStyle w:val="VerbatimChar"/>
        </w:rPr>
        <w:t xml:space="preserve">SolarGuard</w:t>
      </w:r>
      <w:r>
        <w:t xml:space="preserve"> </w:t>
      </w:r>
      <w:r>
        <w:rPr>
          <w:rFonts w:hint="eastAsia"/>
        </w:rPr>
        <w:t xml:space="preserve">的产品价值并不在于简单地“多做了一个系统”，而在于重新定义了分布式光伏数据的使用方式。</w:t>
      </w:r>
    </w:p>
    <w:p>
      <w:pPr>
        <w:pStyle w:val="BodyText"/>
        <w:spacing w:line="360" w:lineRule="auto" w:after="120"/>
        <w:ind w:firstLine="420"/>
      </w:pPr>
      <w:r>
        <w:rPr>
          <w:rFonts w:hint="eastAsia"/>
        </w:rPr>
        <w:t xml:space="preserve">对于发电侧和运维侧用户，项目的价值在于将原本分散、一次性、易丢失的设备运行数据转化为持续、结构化、可留痕的系统记录，帮助用户提升监测效率、留存能力和管理规范性。</w:t>
      </w:r>
    </w:p>
    <w:p>
      <w:pPr>
        <w:pStyle w:val="BodyText"/>
        <w:spacing w:line="360" w:lineRule="auto" w:after="120"/>
        <w:ind w:firstLine="420"/>
      </w:pPr>
      <w:r>
        <w:rPr>
          <w:rFonts w:hint="eastAsia"/>
        </w:rPr>
        <w:t xml:space="preserve">对于需要核验和判断的机构用户，项目的价值在于提供一套更加可信的数据来源机制，使底层数据不再只是静态报表中的结果，而是具备明确来源、可追溯路径和验证依据的业务数据，从而降低多方沟通和核验的成本。</w:t>
      </w:r>
    </w:p>
    <w:p>
      <w:pPr>
        <w:pStyle w:val="BodyText"/>
        <w:spacing w:line="360" w:lineRule="auto" w:after="120"/>
        <w:ind w:firstLine="420"/>
      </w:pPr>
      <w:r>
        <w:rPr>
          <w:rFonts w:hint="eastAsia"/>
        </w:rPr>
        <w:t xml:space="preserve">对于绿色金融和绿色治理相关场景，项目的价值在于把新能源项目中的底层数据与上层制度场景衔接起来，使分布式光伏不只是一个发电单元，也可以逐步成为具备可信数据支撑的绿色资产服务对象。</w:t>
      </w:r>
    </w:p>
    <w:p>
      <w:pPr>
        <w:pStyle w:val="BodyText"/>
        <w:spacing w:line="360" w:lineRule="auto" w:after="120"/>
        <w:ind w:firstLine="420"/>
      </w:pPr>
      <w:r>
        <w:rPr>
          <w:rFonts w:hint="eastAsia"/>
        </w:rPr>
        <w:t xml:space="preserve">因此，</w:t>
      </w:r>
      <w:r>
        <w:rPr>
          <w:rStyle w:val="VerbatimChar"/>
        </w:rPr>
        <w:t xml:space="preserve">SolarGuard</w:t>
      </w:r>
      <w:r>
        <w:t xml:space="preserve"> </w:t>
      </w:r>
      <w:r>
        <w:rPr>
          <w:rFonts w:hint="eastAsia"/>
        </w:rPr>
        <w:t xml:space="preserve">的核心价值主张可以概括为：</w:t>
      </w:r>
    </w:p>
    <w:p>
      <w:pPr>
        <w:pStyle w:val="BodyText"/>
        <w:spacing w:line="360" w:lineRule="auto" w:after="120"/>
        <w:ind w:firstLine="420"/>
      </w:pPr>
      <w:r>
        <w:rPr>
          <w:rStyle w:val="VerbatimChar"/>
          <w:rFonts w:hint="eastAsia"/>
        </w:rPr>
        <w:t xml:space="preserve">把分布式光伏设备侧的原始数据，转化为可被机构采信、可被业务调用、可被长期沉淀的可信业务数据。</w:t>
      </w:r>
    </w:p>
    <w:bookmarkEnd w:id="54"/>
    <w:bookmarkStart w:id="58" w:name="与现有同类方案的差异化"/>
    <w:p>
      <w:pPr>
        <w:pStyle w:val="Heading2"/>
      </w:pPr>
      <w:r>
        <w:t xml:space="preserve">3.6 </w:t>
      </w:r>
      <w:r>
        <w:rPr>
          <w:rFonts w:hint="eastAsia"/>
        </w:rPr>
        <w:t xml:space="preserve">与现有同类方案的差异化</w:t>
      </w:r>
    </w:p>
    <w:p>
      <w:pPr>
        <w:pStyle w:val="FirstParagraph"/>
        <w:spacing w:line="360" w:lineRule="auto" w:after="120"/>
        <w:ind w:firstLine="420"/>
      </w:pPr>
      <w:r>
        <w:rPr>
          <w:rFonts w:hint="eastAsia"/>
        </w:rPr>
        <w:t xml:space="preserve">当前市面上与</w:t>
      </w:r>
      <w:r>
        <w:t xml:space="preserve"> </w:t>
      </w:r>
      <w:r>
        <w:rPr>
          <w:rStyle w:val="VerbatimChar"/>
        </w:rPr>
        <w:t xml:space="preserve">SolarGuard</w:t>
      </w:r>
      <w:r>
        <w:t xml:space="preserve"> </w:t>
      </w:r>
      <w:r>
        <w:rPr>
          <w:rFonts w:hint="eastAsia"/>
        </w:rPr>
        <w:t xml:space="preserve">看似相近的方案，通常可以分为三类。</w:t>
      </w:r>
    </w:p>
    <w:p>
      <w:pPr>
        <w:pStyle w:val="BodyText"/>
        <w:spacing w:line="360" w:lineRule="auto" w:after="120"/>
        <w:ind w:firstLine="420"/>
      </w:pPr>
      <w:r>
        <w:rPr>
          <w:rFonts w:hint="eastAsia"/>
        </w:rPr>
        <w:t xml:space="preserve">第一类是传统光伏监控系统。这类系统侧重于设备连接、状态监测和运维展示，在实时监控方面功能较强，但通常更关注“能否看到数据”，而较少关注“数据能否被可信验证和跨主体使用”。</w:t>
      </w:r>
    </w:p>
    <w:p>
      <w:pPr>
        <w:pStyle w:val="BodyText"/>
        <w:spacing w:line="360" w:lineRule="auto" w:after="120"/>
        <w:ind w:firstLine="420"/>
      </w:pPr>
      <w:r>
        <w:rPr>
          <w:rFonts w:hint="eastAsia"/>
        </w:rPr>
        <w:t xml:space="preserve">第二类是通用数据存证或区块链平台。这类平台通常具备记录和追溯能力，但缺少对分布式光伏实际数据源、业务逻辑和应用场景的深度理解，容易停留在“通用上链”层面，而无法解决新能源领域的真实问题。</w:t>
      </w:r>
    </w:p>
    <w:p>
      <w:pPr>
        <w:pStyle w:val="BodyText"/>
        <w:spacing w:line="360" w:lineRule="auto" w:after="120"/>
        <w:ind w:firstLine="420"/>
      </w:pPr>
      <w:r>
        <w:rPr>
          <w:rFonts w:hint="eastAsia"/>
        </w:rPr>
        <w:t xml:space="preserve">第三类是围绕</w:t>
      </w:r>
      <w:r>
        <w:t xml:space="preserve"> </w:t>
      </w:r>
      <w:r>
        <w:rPr>
          <w:rFonts w:hint="eastAsia"/>
        </w:rPr>
        <w:t xml:space="preserve">ESG、绿色金融或能源管理的上层服务工具。这类工具更接近机构场景，但往往依赖外部已有数据输入，缺少面向设备源头的数据采集和确权能力，导致底层可信性不足。</w:t>
      </w:r>
    </w:p>
    <w:p>
      <w:pPr>
        <w:pStyle w:val="BodyText"/>
        <w:spacing w:line="360" w:lineRule="auto" w:after="120"/>
        <w:ind w:firstLine="420"/>
      </w:pPr>
      <w:r>
        <w:rPr>
          <w:rFonts w:hint="eastAsia"/>
        </w:rPr>
        <w:t xml:space="preserve">与这些方案相比，</w:t>
      </w:r>
      <w:r>
        <w:rPr>
          <w:rStyle w:val="VerbatimChar"/>
        </w:rPr>
        <w:t xml:space="preserve">SolarGuard</w:t>
      </w:r>
      <w:r>
        <w:t xml:space="preserve"> </w:t>
      </w:r>
      <w:r>
        <w:rPr>
          <w:rFonts w:hint="eastAsia"/>
        </w:rPr>
        <w:t xml:space="preserve">的差异化在于：</w:t>
      </w:r>
    </w:p>
    <w:p>
      <w:pPr>
        <w:pStyle w:val="Compact"/>
        <w:numPr>
          <w:ilvl w:val="0"/>
          <w:numId w:val="1004"/>
        </w:numPr>
      </w:pPr>
      <w:r>
        <w:rPr>
          <w:rFonts w:hint="eastAsia"/>
        </w:rPr>
        <w:t xml:space="preserve">以真实分布式光伏设备数据为起点，而不是只做平台层包装</w:t>
      </w:r>
    </w:p>
    <w:p>
      <w:pPr>
        <w:pStyle w:val="Compact"/>
        <w:numPr>
          <w:ilvl w:val="0"/>
          <w:numId w:val="1004"/>
        </w:numPr>
      </w:pPr>
      <w:r>
        <w:rPr>
          <w:rFonts w:hint="eastAsia"/>
        </w:rPr>
        <w:t xml:space="preserve">既做采集，也做签名、存证和可视化，具备系统闭环</w:t>
      </w:r>
    </w:p>
    <w:p>
      <w:pPr>
        <w:pStyle w:val="Compact"/>
        <w:numPr>
          <w:ilvl w:val="0"/>
          <w:numId w:val="1004"/>
        </w:numPr>
      </w:pPr>
      <w:r>
        <w:rPr>
          <w:rFonts w:hint="eastAsia"/>
        </w:rPr>
        <w:t xml:space="preserve">更强调可信数据能力，而不是单纯数据展示能力</w:t>
      </w:r>
    </w:p>
    <w:p>
      <w:pPr>
        <w:pStyle w:val="Compact"/>
        <w:numPr>
          <w:ilvl w:val="0"/>
          <w:numId w:val="1004"/>
        </w:numPr>
      </w:pPr>
      <w:r>
        <w:rPr>
          <w:rFonts w:hint="eastAsia"/>
        </w:rPr>
        <w:t xml:space="preserve">面向绿证、ESG、绿色金融等现实应用场景，而不是停留在单点技术演示</w:t>
      </w:r>
    </w:p>
    <w:p>
      <w:pPr>
        <w:pStyle w:val="FirstParagraph"/>
        <w:spacing w:line="360" w:lineRule="auto" w:after="120"/>
        <w:ind w:firstLine="420"/>
      </w:pPr>
      <w:r>
        <w:rPr>
          <w:rFonts w:hint="eastAsia"/>
        </w:rPr>
        <w:t xml:space="preserve">这种“从源头到场景”的设计思路，使项目具备较强的整体性和延展性。</w:t>
      </w:r>
    </w:p>
    <w:p>
      <w:pPr>
        <w:pStyle w:val="BodyText"/>
        <w:spacing w:line="360" w:lineRule="auto" w:after="120"/>
        <w:ind w:firstLine="420"/>
      </w:pPr>
      <w:r>
        <w:drawing>
          <wp:inline>
            <wp:extent cx="5334000" cy="7000875"/>
            <wp:effectExtent b="0" l="0" r="0" t="0"/>
            <wp:docPr descr="插图" title="" id="56" name="Picture"/>
            <a:graphic>
              <a:graphicData uri="http://schemas.openxmlformats.org/drawingml/2006/picture">
                <pic:pic>
                  <pic:nvPicPr>
                    <pic:cNvPr descr="/Users/evanhan/项目/光伏项目/比赛材料/素材库/最终图片/07_前端页面展示图_v6.png" id="57" name="Picture"/>
                    <pic:cNvPicPr>
                      <a:picLocks noChangeArrowheads="1" noChangeAspect="1"/>
                    </pic:cNvPicPr>
                  </pic:nvPicPr>
                  <pic:blipFill>
                    <a:blip r:embed="rId55"/>
                    <a:stretch>
                      <a:fillRect/>
                    </a:stretch>
                  </pic:blipFill>
                  <pic:spPr bwMode="auto">
                    <a:xfrm>
                      <a:off x="0" y="0"/>
                      <a:ext cx="5334000" cy="7000875"/>
                    </a:xfrm>
                    <a:prstGeom prst="rect">
                      <a:avLst/>
                    </a:prstGeom>
                    <a:noFill/>
                    <a:ln w="9525">
                      <a:noFill/>
                      <a:headEnd/>
                      <a:tailEnd/>
                    </a:ln>
                  </pic:spPr>
                </pic:pic>
              </a:graphicData>
            </a:graphic>
          </wp:inline>
        </w:drawing>
      </w:r>
      <w:r>
        <w:t xml:space="preserve"> </w:t>
      </w:r>
      <w:r>
        <w:t xml:space="preserve">&gt; </w:t>
      </w:r>
      <w:r>
        <w:rPr>
          <w:rFonts w:hint="eastAsia"/>
        </w:rPr>
        <w:t xml:space="preserve">待补表格：功能模块清单表</w:t>
      </w:r>
    </w:p>
    <w:bookmarkEnd w:id="58"/>
    <w:bookmarkStart w:id="59" w:name="本章结论-1"/>
    <w:p>
      <w:pPr>
        <w:pStyle w:val="Heading2"/>
      </w:pPr>
      <w:r>
        <w:t xml:space="preserve">3.7 </w:t>
      </w:r>
      <w:r>
        <w:rPr>
          <w:rFonts w:hint="eastAsia"/>
        </w:rPr>
        <w:t xml:space="preserve">本章结论</w:t>
      </w:r>
    </w:p>
    <w:p>
      <w:pPr>
        <w:pStyle w:val="FirstParagraph"/>
        <w:spacing w:line="360" w:lineRule="auto" w:after="120"/>
        <w:ind w:firstLine="420"/>
      </w:pPr>
      <w:r>
        <w:rPr>
          <w:rFonts w:hint="eastAsia"/>
        </w:rPr>
        <w:t xml:space="preserve">总体而言，</w:t>
      </w:r>
      <w:r>
        <w:rPr>
          <w:rStyle w:val="VerbatimChar"/>
        </w:rPr>
        <w:t xml:space="preserve">SolarGuard</w:t>
      </w:r>
      <w:r>
        <w:t xml:space="preserve"> </w:t>
      </w:r>
      <w:r>
        <w:rPr>
          <w:rFonts w:hint="eastAsia"/>
        </w:rPr>
        <w:t xml:space="preserve">提供的不是一个单独的软件功能，而是一套面向分布式光伏数据使用全链条的解决方案。项目通过硬件采集、签名确权、联盟链存证、自动监测、可视化展示和场景服务探索，初步打通了新能源底层数据从产生到使用的关键环节。</w:t>
      </w:r>
    </w:p>
    <w:p>
      <w:pPr>
        <w:pStyle w:val="BodyText"/>
        <w:spacing w:line="360" w:lineRule="auto" w:after="120"/>
        <w:ind w:firstLine="420"/>
      </w:pPr>
      <w:r>
        <w:rPr>
          <w:rFonts w:hint="eastAsia"/>
        </w:rPr>
        <w:t xml:space="preserve">这一产品设计既建立在真实实验和现有代码基础之上，也面向绿证衔接、ESG</w:t>
      </w:r>
      <w:r>
        <w:t xml:space="preserve"> </w:t>
      </w:r>
      <w:r>
        <w:rPr>
          <w:rFonts w:hint="eastAsia"/>
        </w:rPr>
        <w:t xml:space="preserve">披露、绿色金融辅助决策等更高价值场景，具备较好的技术完整性和应用延展性。对创新大赛和后续项目推进而言，这种清晰的产品定义和解决方案结构，将成为项目继续深化和展开论证的核心基础。</w:t>
      </w:r>
    </w:p>
    <w:p>
      <w:pPr>
        <w:spacing w:line="360" w:lineRule="auto" w:after="120"/>
        <w:ind w:firstLine="420"/>
      </w:pPr>
      <w:r>
        <w:pict>
          <v:rect style="width:0;height:1.5pt" o:hralign="center" o:hrstd="t" o:hr="t"/>
        </w:pict>
      </w:r>
    </w:p>
    <w:bookmarkEnd w:id="59"/>
    <w:bookmarkEnd w:id="60"/>
    <w:bookmarkStart w:id="89" w:name="第四章-技术架构与实验验证"/>
    <w:p>
      <w:pPr>
        <w:pStyle w:val="Heading1"/>
        <w:jc w:val="left"/>
      </w:pPr>
      <w:r>
        <w:rPr>
          <w:rFonts w:hint="eastAsia"/>
        </w:rPr>
        <w:t xml:space="preserve">第四章</w:t>
        <w:br w:type="page"/>
      </w:r>
      <w:r>
        <w:t xml:space="preserve"> </w:t>
      </w:r>
      <w:r>
        <w:rPr>
          <w:rFonts w:hint="eastAsia"/>
        </w:rPr>
        <w:t xml:space="preserve">技术架构与实验验证</w:t>
      </w:r>
    </w:p>
    <w:bookmarkStart w:id="64" w:name="系统总体技术架构"/>
    <w:p>
      <w:pPr>
        <w:pStyle w:val="Heading2"/>
      </w:pPr>
      <w:r>
        <w:t xml:space="preserve">4.1 </w:t>
      </w:r>
      <w:r>
        <w:rPr>
          <w:rFonts w:hint="eastAsia"/>
        </w:rPr>
        <w:t xml:space="preserve">系统总体技术架构</w:t>
      </w:r>
    </w:p>
    <w:p>
      <w:pPr>
        <w:pStyle w:val="FirstParagraph"/>
        <w:spacing w:line="360" w:lineRule="auto" w:after="120"/>
        <w:ind w:firstLine="420"/>
      </w:pPr>
      <w:r>
        <w:rPr>
          <w:rStyle w:val="VerbatimChar"/>
        </w:rPr>
        <w:t xml:space="preserve">SolarGuard</w:t>
      </w:r>
      <w:r>
        <w:t xml:space="preserve"> </w:t>
      </w:r>
      <w:r>
        <w:rPr>
          <w:rFonts w:hint="eastAsia"/>
        </w:rPr>
        <w:t xml:space="preserve">的技术架构围绕分布式光伏数据“从源头产生到可信使用”的完整生命周期展开，整体可划分为五个层次：设备采集层、边缘处理层、可信存证层、服务接口层和应用展示层。</w:t>
      </w:r>
    </w:p>
    <w:p>
      <w:pPr>
        <w:pStyle w:val="BodyText"/>
        <w:spacing w:line="360" w:lineRule="auto" w:after="120"/>
        <w:ind w:firstLine="420"/>
      </w:pPr>
      <w:r>
        <w:rPr>
          <w:rFonts w:hint="eastAsia"/>
        </w:rPr>
        <w:t xml:space="preserve">在设备采集层，系统直接面向光伏控制器等物理设备，通过通信协议读取发电功率、电压、电流、电池状态和累计发电量等关键指标。这一层负责解决数据“能不能从真实世界采集上来”的问题，是整个系统的物理基础。</w:t>
      </w:r>
    </w:p>
    <w:p>
      <w:pPr>
        <w:pStyle w:val="BodyText"/>
        <w:spacing w:line="360" w:lineRule="auto" w:after="120"/>
        <w:ind w:firstLine="420"/>
      </w:pPr>
      <w:r>
        <w:rPr>
          <w:rFonts w:hint="eastAsia"/>
        </w:rPr>
        <w:t xml:space="preserve">在边缘处理层，系统对采集到的数据进行结构化处理、签名封装、异常值处理和周期性组织，保证原始数据从一开始就具备统一格式和可信处理逻辑。这一层负责解决数据“能不能被可信组织起来”的问题。</w:t>
      </w:r>
    </w:p>
    <w:p>
      <w:pPr>
        <w:pStyle w:val="BodyText"/>
        <w:spacing w:line="360" w:lineRule="auto" w:after="120"/>
        <w:ind w:firstLine="420"/>
      </w:pPr>
      <w:r>
        <w:rPr>
          <w:rFonts w:hint="eastAsia"/>
        </w:rPr>
        <w:t xml:space="preserve">在可信存证层，系统借助联盟链完成关键数据的链上写入、链上查询和历史追溯。联盟链在本项目中承担的是可信留痕和协同验证的角色，而不是单纯作为展示性区块链模块存在。这一层负责解决数据“能不能形成多方可核验的记录”的问题。</w:t>
      </w:r>
    </w:p>
    <w:p>
      <w:pPr>
        <w:pStyle w:val="BodyText"/>
        <w:spacing w:line="360" w:lineRule="auto" w:after="120"/>
        <w:ind w:firstLine="420"/>
      </w:pPr>
      <w:r>
        <w:rPr>
          <w:rFonts w:hint="eastAsia"/>
        </w:rPr>
        <w:t xml:space="preserve">在服务接口层，系统通过后端接口与业务封装，为上层应用提供可调用的数据入口。这使得采集与存证后的数据不再停留在底层脚本中，而能够通过标准化方式服务前端展示和后续应用扩展。</w:t>
      </w:r>
    </w:p>
    <w:p>
      <w:pPr>
        <w:pStyle w:val="BodyText"/>
        <w:spacing w:line="360" w:lineRule="auto" w:after="120"/>
        <w:ind w:firstLine="420"/>
      </w:pPr>
      <w:r>
        <w:rPr>
          <w:rFonts w:hint="eastAsia"/>
        </w:rPr>
        <w:t xml:space="preserve">在应用展示层，系统通过看板、图表、状态面板等形式，向使用者展示实时数据、历史记录和链上状态，使整个系统既具备技术闭环，也具备展示和演示能力。</w:t>
      </w:r>
    </w:p>
    <w:p>
      <w:pPr>
        <w:pStyle w:val="BodyText"/>
        <w:spacing w:line="360" w:lineRule="auto" w:after="120"/>
        <w:ind w:firstLine="420"/>
      </w:pPr>
      <w:r>
        <w:rPr>
          <w:rFonts w:hint="eastAsia"/>
        </w:rPr>
        <w:t xml:space="preserve">从整体技术逻辑看，</w:t>
      </w:r>
      <w:r>
        <w:rPr>
          <w:rStyle w:val="VerbatimChar"/>
        </w:rPr>
        <w:t xml:space="preserve">SolarGuard</w:t>
      </w:r>
      <w:r>
        <w:t xml:space="preserve"> </w:t>
      </w:r>
      <w:r>
        <w:rPr>
          <w:rFonts w:hint="eastAsia"/>
        </w:rPr>
        <w:t xml:space="preserve">并不是“把几个技术模块堆在一起”，而是通过统一的目标导向，把物联网、密码学、联盟链和可视化系统组织成一套完整的数据基础设施原型。</w:t>
      </w:r>
    </w:p>
    <w:p>
      <w:pPr>
        <w:pStyle w:val="CaptionedFigure"/>
      </w:pPr>
      <w:r>
        <w:drawing>
          <wp:inline>
            <wp:extent cx="5334000" cy="5334000"/>
            <wp:effectExtent b="0" l="0" r="0" t="0"/>
            <wp:docPr descr="插图" title="" id="62" name="Picture"/>
            <a:graphic>
              <a:graphicData uri="http://schemas.openxmlformats.org/drawingml/2006/picture">
                <pic:pic>
                  <pic:nvPicPr>
                    <pic:cNvPr descr="/Users/evanhan/项目/光伏项目/比赛材料/素材库/最终图片/03_系统总体技术架构图_v5_1.png" id="63" name="Picture"/>
                    <pic:cNvPicPr>
                      <a:picLocks noChangeArrowheads="1" noChangeAspect="1"/>
                    </pic:cNvPicPr>
                  </pic:nvPicPr>
                  <pic:blipFill>
                    <a:blip r:embed="rId6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插图</w:t>
      </w:r>
    </w:p>
    <w:bookmarkEnd w:id="64"/>
    <w:bookmarkStart w:id="73" w:name="关键技术路线"/>
    <w:p>
      <w:pPr>
        <w:pStyle w:val="Heading2"/>
      </w:pPr>
      <w:r>
        <w:t xml:space="preserve">4.2 </w:t>
      </w:r>
      <w:r>
        <w:rPr>
          <w:rFonts w:hint="eastAsia"/>
        </w:rPr>
        <w:t xml:space="preserve">关键技术路线</w:t>
      </w:r>
    </w:p>
    <w:bookmarkStart w:id="68" w:name="光伏设备数据采集"/>
    <w:p>
      <w:pPr>
        <w:pStyle w:val="Heading3"/>
      </w:pPr>
      <w:r>
        <w:t xml:space="preserve">4.2.1 </w:t>
      </w:r>
      <w:r>
        <w:rPr>
          <w:rFonts w:hint="eastAsia"/>
        </w:rPr>
        <w:t xml:space="preserve">光伏设备数据采集</w:t>
      </w:r>
    </w:p>
    <w:p>
      <w:pPr>
        <w:pStyle w:val="FirstParagraph"/>
        <w:spacing w:line="360" w:lineRule="auto" w:after="120"/>
        <w:ind w:firstLine="420"/>
      </w:pPr>
      <w:r>
        <w:rPr>
          <w:rFonts w:hint="eastAsia"/>
        </w:rPr>
        <w:t xml:space="preserve">项目围绕分布式光伏控制器等设备开展了数据采集实现，重点获取与发电过程和电池状态相关的核心指标，包括光伏功率、光伏电压、光伏电流、电池电压、电池电量和累计发电量等。系统在设计时既考虑了真实设备接入，也保留了模拟模式，以便在硬件不在场的情况下继续进行开发、演示和逻辑验证。</w:t>
      </w:r>
    </w:p>
    <w:p>
      <w:pPr>
        <w:pStyle w:val="BodyText"/>
        <w:spacing w:line="360" w:lineRule="auto" w:after="120"/>
        <w:ind w:firstLine="420"/>
      </w:pPr>
      <w:r>
        <w:rPr>
          <w:rFonts w:hint="eastAsia"/>
        </w:rPr>
        <w:t xml:space="preserve">这一技术路线的意义在于，项目不是从“数据已经存在”的假设出发，而是从真实采集这一最底层问题开始构建。只有真正打通设备数据链路，后续的签名、上链和可视化才有现实意义。</w:t>
      </w:r>
    </w:p>
    <w:p>
      <w:pPr>
        <w:pStyle w:val="CaptionedFigure"/>
      </w:pPr>
      <w:r>
        <w:drawing>
          <wp:inline>
            <wp:extent cx="5334000" cy="5334000"/>
            <wp:effectExtent b="0" l="0" r="0" t="0"/>
            <wp:docPr descr="插图" title="" id="66" name="Picture"/>
            <a:graphic>
              <a:graphicData uri="http://schemas.openxmlformats.org/drawingml/2006/picture">
                <pic:pic>
                  <pic:nvPicPr>
                    <pic:cNvPr descr="/Users/evanhan/项目/光伏项目/比赛材料/素材库/最终图片/04_IoT数据采集流程图_v3.png" id="67" name="Picture"/>
                    <pic:cNvPicPr>
                      <a:picLocks noChangeArrowheads="1" noChangeAspect="1"/>
                    </pic:cNvPicPr>
                  </pic:nvPicPr>
                  <pic:blipFill>
                    <a:blip r:embed="rId6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插图</w:t>
      </w:r>
    </w:p>
    <w:bookmarkEnd w:id="68"/>
    <w:bookmarkStart w:id="69" w:name="数据结构化与签名机制"/>
    <w:p>
      <w:pPr>
        <w:pStyle w:val="Heading3"/>
      </w:pPr>
      <w:r>
        <w:t xml:space="preserve">4.2.2 </w:t>
      </w:r>
      <w:r>
        <w:rPr>
          <w:rFonts w:hint="eastAsia"/>
        </w:rPr>
        <w:t xml:space="preserve">数据结构化与签名机制</w:t>
      </w:r>
    </w:p>
    <w:p>
      <w:pPr>
        <w:pStyle w:val="FirstParagraph"/>
        <w:spacing w:line="360" w:lineRule="auto" w:after="120"/>
        <w:ind w:firstLine="420"/>
      </w:pPr>
      <w:r>
        <w:rPr>
          <w:rFonts w:hint="eastAsia"/>
        </w:rPr>
        <w:t xml:space="preserve">为了让采集到的数据具备后续使用价值，项目在原始读取之后会对关键字段进行结构化封装，并引入签名机制对数据进行保护。系统当前采用签名方案对关键数据内容进行处理，使数据在进入存证和业务场景之前具备明确的数据边界和可信属性。</w:t>
      </w:r>
    </w:p>
    <w:p>
      <w:pPr>
        <w:pStyle w:val="BodyText"/>
        <w:spacing w:line="360" w:lineRule="auto" w:after="120"/>
        <w:ind w:firstLine="420"/>
      </w:pPr>
      <w:r>
        <w:rPr>
          <w:rFonts w:hint="eastAsia"/>
        </w:rPr>
        <w:t xml:space="preserve">这一部分的设计重点在于避免系统沦为普通监测软件。单纯展示数据并不能支撑跨主体协作和后续核验，而带有可信处理逻辑的数据则更接近可被业务场景采信的数字凭据。</w:t>
      </w:r>
    </w:p>
    <w:bookmarkEnd w:id="69"/>
    <w:bookmarkStart w:id="70" w:name="联盟链存证与链上查询"/>
    <w:p>
      <w:pPr>
        <w:pStyle w:val="Heading3"/>
      </w:pPr>
      <w:r>
        <w:t xml:space="preserve">4.2.3 </w:t>
      </w:r>
      <w:r>
        <w:rPr>
          <w:rFonts w:hint="eastAsia"/>
        </w:rPr>
        <w:t xml:space="preserve">联盟链存证与链上查询</w:t>
      </w:r>
    </w:p>
    <w:p>
      <w:pPr>
        <w:pStyle w:val="FirstParagraph"/>
        <w:spacing w:line="360" w:lineRule="auto" w:after="120"/>
        <w:ind w:firstLine="420"/>
      </w:pPr>
      <w:r>
        <w:rPr>
          <w:rFonts w:hint="eastAsia"/>
        </w:rPr>
        <w:t xml:space="preserve">项目采用</w:t>
      </w:r>
      <w:r>
        <w:t xml:space="preserve"> FISCO-BCOS </w:t>
      </w:r>
      <w:r>
        <w:rPr>
          <w:rFonts w:hint="eastAsia"/>
        </w:rPr>
        <w:t xml:space="preserve">联盟链作为可信记录底座，设计了链上写入、状态查询和历史记录读取等基础能力。通过链上存证，关键发电数据可以在后续被追溯、查询和交叉验证，提升系统整体的可信度和审计友好性。</w:t>
      </w:r>
    </w:p>
    <w:p>
      <w:pPr>
        <w:pStyle w:val="BodyText"/>
        <w:spacing w:line="360" w:lineRule="auto" w:after="120"/>
        <w:ind w:firstLine="420"/>
      </w:pPr>
      <w:r>
        <w:rPr>
          <w:rFonts w:hint="eastAsia"/>
        </w:rPr>
        <w:t xml:space="preserve">与公链式的开放金融逻辑不同，联盟链更适合当前项目所面向的多方协同和可控记录场景，也更符合当前中国大陆政策环境下对可信数据基础设施的实际需求。</w:t>
      </w:r>
    </w:p>
    <w:bookmarkEnd w:id="70"/>
    <w:bookmarkStart w:id="71" w:name="自动监测与告警逻辑"/>
    <w:p>
      <w:pPr>
        <w:pStyle w:val="Heading3"/>
      </w:pPr>
      <w:r>
        <w:t xml:space="preserve">4.2.4 </w:t>
      </w:r>
      <w:r>
        <w:rPr>
          <w:rFonts w:hint="eastAsia"/>
        </w:rPr>
        <w:t xml:space="preserve">自动监测与告警逻辑</w:t>
      </w:r>
    </w:p>
    <w:p>
      <w:pPr>
        <w:pStyle w:val="FirstParagraph"/>
        <w:spacing w:line="360" w:lineRule="auto" w:after="120"/>
        <w:ind w:firstLine="420"/>
      </w:pPr>
      <w:r>
        <w:rPr>
          <w:rFonts w:hint="eastAsia"/>
        </w:rPr>
        <w:t xml:space="preserve">项目已实现自动监测程序，能够按照固定周期采集数据、生成图表、保存本地记录并触发通知逻辑。相比一次性测试脚本，自动监测机制使项目具备持续运行和长期观察能力，能够更接近真实业务中的运维与数据治理场景。</w:t>
      </w:r>
    </w:p>
    <w:p>
      <w:pPr>
        <w:pStyle w:val="BodyText"/>
        <w:spacing w:line="360" w:lineRule="auto" w:after="120"/>
        <w:ind w:firstLine="420"/>
      </w:pPr>
      <w:r>
        <w:rPr>
          <w:rFonts w:hint="eastAsia"/>
        </w:rPr>
        <w:t xml:space="preserve">这一技术模块的价值在于，它将单点实验能力提升为“可连续运行的系统能力”，使项目从“技术</w:t>
      </w:r>
      <w:r>
        <w:t xml:space="preserve"> </w:t>
      </w:r>
      <w:r>
        <w:rPr>
          <w:rFonts w:hint="eastAsia"/>
        </w:rPr>
        <w:t xml:space="preserve">demo”进一步走向“可复用的原型系统”。</w:t>
      </w:r>
    </w:p>
    <w:bookmarkEnd w:id="71"/>
    <w:bookmarkStart w:id="72" w:name="api-与前端可视化原型"/>
    <w:p>
      <w:pPr>
        <w:pStyle w:val="Heading3"/>
      </w:pPr>
      <w:r>
        <w:t xml:space="preserve">4.2.5 API </w:t>
      </w:r>
      <w:r>
        <w:rPr>
          <w:rFonts w:hint="eastAsia"/>
        </w:rPr>
        <w:t xml:space="preserve">与前端可视化原型</w:t>
      </w:r>
    </w:p>
    <w:p>
      <w:pPr>
        <w:pStyle w:val="FirstParagraph"/>
        <w:spacing w:line="360" w:lineRule="auto" w:after="120"/>
        <w:ind w:firstLine="420"/>
      </w:pPr>
      <w:r>
        <w:rPr>
          <w:rFonts w:hint="eastAsia"/>
        </w:rPr>
        <w:t xml:space="preserve">项目同时开发了</w:t>
      </w:r>
      <w:r>
        <w:t xml:space="preserve"> API </w:t>
      </w:r>
      <w:r>
        <w:rPr>
          <w:rFonts w:hint="eastAsia"/>
        </w:rPr>
        <w:t xml:space="preserve">与前端看板原型，用于承接底层数据并展示关键状态。这种设计一方面提高了项目的可演示性，另一方面也为未来对接其他业务系统预留了接口条件。前端模块当前部分数据仍处于</w:t>
      </w:r>
      <w:r>
        <w:t xml:space="preserve"> mock </w:t>
      </w:r>
      <w:r>
        <w:rPr>
          <w:rFonts w:hint="eastAsia"/>
        </w:rPr>
        <w:t xml:space="preserve">阶段，但其结构已经清晰呈现了未来平台化的发展方向。</w:t>
      </w:r>
    </w:p>
    <w:bookmarkEnd w:id="72"/>
    <w:bookmarkEnd w:id="73"/>
    <w:bookmarkStart w:id="74" w:name="关键代码与系统模块实现情况"/>
    <w:p>
      <w:pPr>
        <w:pStyle w:val="Heading2"/>
      </w:pPr>
      <w:r>
        <w:t xml:space="preserve">4.3 </w:t>
      </w:r>
      <w:r>
        <w:rPr>
          <w:rFonts w:hint="eastAsia"/>
        </w:rPr>
        <w:t xml:space="preserve">关键代码与系统模块实现情况</w:t>
      </w:r>
    </w:p>
    <w:p>
      <w:pPr>
        <w:pStyle w:val="FirstParagraph"/>
        <w:spacing w:line="360" w:lineRule="auto" w:after="120"/>
        <w:ind w:firstLine="420"/>
      </w:pPr>
      <w:r>
        <w:rPr>
          <w:rFonts w:hint="eastAsia"/>
        </w:rPr>
        <w:t xml:space="preserve">从代码实现层面看，项目目前已经具备较为完整的模块划分和工程骨架。</w:t>
      </w:r>
    </w:p>
    <w:p>
      <w:pPr>
        <w:pStyle w:val="BodyText"/>
        <w:spacing w:line="360" w:lineRule="auto" w:after="120"/>
        <w:ind w:firstLine="420"/>
      </w:pPr>
      <w:r>
        <w:rPr>
          <w:rFonts w:hint="eastAsia"/>
        </w:rPr>
        <w:t xml:space="preserve">在设备采集侧，系统已完成核心采集程序，支持读取光伏关键参数并生成符合业务需要的数据对象。相关实现不仅面向真实读取，也保留了模拟路径，增强了系统的开发韧性和展示可持续性。</w:t>
      </w:r>
    </w:p>
    <w:p>
      <w:pPr>
        <w:pStyle w:val="BodyText"/>
        <w:spacing w:line="360" w:lineRule="auto" w:after="120"/>
        <w:ind w:firstLine="420"/>
      </w:pPr>
      <w:r>
        <w:rPr>
          <w:rFonts w:hint="eastAsia"/>
        </w:rPr>
        <w:t xml:space="preserve">在自动运行侧，系统已实现自动监测、定时采样、CSV</w:t>
      </w:r>
      <w:r>
        <w:t xml:space="preserve"> </w:t>
      </w:r>
      <w:r>
        <w:rPr>
          <w:rFonts w:hint="eastAsia"/>
        </w:rPr>
        <w:t xml:space="preserve">落盘、图表生成和消息推送逻辑，使项目具备了连续运行的能力，并形成了可视化的实验数据输出。</w:t>
      </w:r>
    </w:p>
    <w:p>
      <w:pPr>
        <w:pStyle w:val="BodyText"/>
        <w:spacing w:line="360" w:lineRule="auto" w:after="120"/>
        <w:ind w:firstLine="420"/>
      </w:pPr>
      <w:r>
        <w:rPr>
          <w:rFonts w:hint="eastAsia"/>
        </w:rPr>
        <w:t xml:space="preserve">在区块链交互侧，系统已经完成联盟链客户端、隧道连接、写入调用、读取查询和链状态汇总等基础能力，并围绕智能合约构建了数据上链和原型验证逻辑。</w:t>
      </w:r>
    </w:p>
    <w:p>
      <w:pPr>
        <w:pStyle w:val="BodyText"/>
        <w:spacing w:line="360" w:lineRule="auto" w:after="120"/>
        <w:ind w:firstLine="420"/>
      </w:pPr>
      <w:r>
        <w:rPr>
          <w:rFonts w:hint="eastAsia"/>
        </w:rPr>
        <w:t xml:space="preserve">在合约侧，项目已完成数据存证合约和绿色资产映射原型合约的设计与实现。虽然围绕代币映射和价值流转的部分在当前政策环境下不再作为主要对外叙事，但从技术角度看，这些合约仍体现了项目在链上业务逻辑上的探索深度。</w:t>
      </w:r>
    </w:p>
    <w:p>
      <w:pPr>
        <w:pStyle w:val="BodyText"/>
        <w:spacing w:line="360" w:lineRule="auto" w:after="120"/>
        <w:ind w:firstLine="420"/>
      </w:pPr>
      <w:r>
        <w:rPr>
          <w:rFonts w:hint="eastAsia"/>
        </w:rPr>
        <w:t xml:space="preserve">在服务和展示侧，项目已完成</w:t>
      </w:r>
      <w:r>
        <w:t xml:space="preserve"> API </w:t>
      </w:r>
      <w:r>
        <w:rPr>
          <w:rFonts w:hint="eastAsia"/>
        </w:rPr>
        <w:t xml:space="preserve">原型、钱包原型、仪表盘页面和前端组件雏形，形成了较完整的展示链路。即使部分接口目前仍有</w:t>
      </w:r>
      <w:r>
        <w:t xml:space="preserve"> mock </w:t>
      </w:r>
      <w:r>
        <w:rPr>
          <w:rFonts w:hint="eastAsia"/>
        </w:rPr>
        <w:t xml:space="preserve">成分，整体工程结构已经说明，项目并非停留在实验脚本集合，而是在朝产品化原型持续推进。</w:t>
      </w:r>
    </w:p>
    <w:p>
      <w:pPr>
        <w:pStyle w:val="BlockText"/>
      </w:pPr>
      <w:r>
        <w:rPr>
          <w:rFonts w:hint="eastAsia"/>
          <w:i/>
          <w:color w:val="6B7280"/>
        </w:rPr>
        <w:t xml:space="preserve">待补表格：技术栈清单表</w:t>
      </w:r>
    </w:p>
    <w:bookmarkEnd w:id="74"/>
    <w:bookmarkStart w:id="85" w:name="已完成的实验与验证成果"/>
    <w:p>
      <w:pPr>
        <w:pStyle w:val="Heading2"/>
      </w:pPr>
      <w:r>
        <w:t xml:space="preserve">4.4 </w:t>
      </w:r>
      <w:r>
        <w:rPr>
          <w:rFonts w:hint="eastAsia"/>
        </w:rPr>
        <w:t xml:space="preserve">已完成的实验与验证成果</w:t>
      </w:r>
    </w:p>
    <w:bookmarkStart w:id="75" w:name="硬件读取与数据生成实验"/>
    <w:p>
      <w:pPr>
        <w:pStyle w:val="Heading3"/>
      </w:pPr>
      <w:r>
        <w:t xml:space="preserve">4.4.1 </w:t>
      </w:r>
      <w:r>
        <w:rPr>
          <w:rFonts w:hint="eastAsia"/>
        </w:rPr>
        <w:t xml:space="preserve">硬件读取与数据生成实验</w:t>
      </w:r>
    </w:p>
    <w:p>
      <w:pPr>
        <w:pStyle w:val="FirstParagraph"/>
        <w:spacing w:line="360" w:lineRule="auto" w:after="120"/>
        <w:ind w:firstLine="420"/>
      </w:pPr>
      <w:r>
        <w:rPr>
          <w:rFonts w:hint="eastAsia"/>
        </w:rPr>
        <w:t xml:space="preserve">项目围绕真实光伏设备通信链路完成了关键指标读取实验，验证了系统在硬件接入条件下的数据获取能力。同时，为应对硬件不在场的现实限制，系统还构建了模拟模式，使得核心业务逻辑可以在无设备环境下继续验证和演示。</w:t>
      </w:r>
    </w:p>
    <w:p>
      <w:pPr>
        <w:pStyle w:val="BodyText"/>
        <w:spacing w:line="360" w:lineRule="auto" w:after="120"/>
        <w:ind w:firstLine="420"/>
      </w:pPr>
      <w:r>
        <w:rPr>
          <w:rFonts w:hint="eastAsia"/>
        </w:rPr>
        <w:t xml:space="preserve">这意味着项目在实验设计上兼顾了真实性与可持续性，既有真实设备锚点，也具备脱离设备继续推进开发的能力。</w:t>
      </w:r>
    </w:p>
    <w:bookmarkEnd w:id="75"/>
    <w:bookmarkStart w:id="79" w:name="自动监测与持续运行实验"/>
    <w:p>
      <w:pPr>
        <w:pStyle w:val="Heading3"/>
      </w:pPr>
      <w:r>
        <w:t xml:space="preserve">4.4.2 </w:t>
      </w:r>
      <w:r>
        <w:rPr>
          <w:rFonts w:hint="eastAsia"/>
        </w:rPr>
        <w:t xml:space="preserve">自动监测与持续运行实验</w:t>
      </w:r>
    </w:p>
    <w:p>
      <w:pPr>
        <w:pStyle w:val="FirstParagraph"/>
        <w:spacing w:line="360" w:lineRule="auto" w:after="120"/>
        <w:ind w:firstLine="420"/>
      </w:pPr>
      <w:r>
        <w:rPr>
          <w:rFonts w:hint="eastAsia"/>
        </w:rPr>
        <w:t xml:space="preserve">项目已围绕自动监测程序完成持续采样、数据保存、图表更新和告警推送相关实验。这一部分的价值在于，它证明系统不仅能读取一次数据，更能在一段时间内持续运行并生成连续结果，为后续“可信记录”和“历史分析”提供基础。</w:t>
      </w:r>
    </w:p>
    <w:p>
      <w:pPr>
        <w:pStyle w:val="BodyText"/>
        <w:spacing w:line="360" w:lineRule="auto" w:after="120"/>
        <w:ind w:firstLine="420"/>
      </w:pPr>
      <w:r>
        <w:rPr>
          <w:rFonts w:hint="eastAsia"/>
        </w:rPr>
        <w:t xml:space="preserve">从项目已有图表和脚本可以看出，系统已具备将实时数据转化为连续监测结果的能力，这使其更接近真实使用场景。</w:t>
      </w:r>
    </w:p>
    <w:p>
      <w:pPr>
        <w:pStyle w:val="CaptionedFigure"/>
      </w:pPr>
      <w:r>
        <w:drawing>
          <wp:inline>
            <wp:extent cx="5334000" cy="7000875"/>
            <wp:effectExtent b="0" l="0" r="0" t="0"/>
            <wp:docPr descr="插图" title="" id="77" name="Picture"/>
            <a:graphic>
              <a:graphicData uri="http://schemas.openxmlformats.org/drawingml/2006/picture">
                <pic:pic>
                  <pic:nvPicPr>
                    <pic:cNvPr descr="/Users/evanhan/项目/光伏项目/比赛材料/素材库/最终图片/05_自动监测图表_v2.png" id="78" name="Picture"/>
                    <pic:cNvPicPr>
                      <a:picLocks noChangeArrowheads="1" noChangeAspect="1"/>
                    </pic:cNvPicPr>
                  </pic:nvPicPr>
                  <pic:blipFill>
                    <a:blip r:embed="rId76"/>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bookmarkEnd w:id="79"/>
    <w:bookmarkStart w:id="80" w:name="联盟链读写与链上验证实验"/>
    <w:p>
      <w:pPr>
        <w:pStyle w:val="Heading3"/>
      </w:pPr>
      <w:r>
        <w:t xml:space="preserve">4.4.3 </w:t>
      </w:r>
      <w:r>
        <w:rPr>
          <w:rFonts w:hint="eastAsia"/>
        </w:rPr>
        <w:t xml:space="preserve">联盟链读写与链上验证实验</w:t>
      </w:r>
    </w:p>
    <w:p>
      <w:pPr>
        <w:pStyle w:val="FirstParagraph"/>
        <w:spacing w:line="360" w:lineRule="auto" w:after="120"/>
        <w:ind w:firstLine="420"/>
      </w:pPr>
      <w:r>
        <w:rPr>
          <w:rFonts w:hint="eastAsia"/>
        </w:rPr>
        <w:t xml:space="preserve">项目已完成链上读写相关实验，能够将光伏数据上链，并支持链状态读取、记录数查询、最新记录调用等操作。这部分实验说明，项目不是停留在“打算上链”的层面，而是已经完成了真实的交互验证。</w:t>
      </w:r>
    </w:p>
    <w:p>
      <w:pPr>
        <w:pStyle w:val="BodyText"/>
        <w:spacing w:line="360" w:lineRule="auto" w:after="120"/>
        <w:ind w:firstLine="420"/>
      </w:pPr>
      <w:r>
        <w:rPr>
          <w:rFonts w:hint="eastAsia"/>
        </w:rPr>
        <w:t xml:space="preserve">联盟链实验的完成，使项目的核心价值主张获得了技术支撑：分布式光伏数据不只是被采集和展示，而且可以进入可信记录和多方可查询的状态。</w:t>
      </w:r>
    </w:p>
    <w:bookmarkEnd w:id="80"/>
    <w:bookmarkStart w:id="81" w:name="原型机制验证实验"/>
    <w:p>
      <w:pPr>
        <w:pStyle w:val="Heading3"/>
      </w:pPr>
      <w:r>
        <w:t xml:space="preserve">4.4.4 </w:t>
      </w:r>
      <w:r>
        <w:rPr>
          <w:rFonts w:hint="eastAsia"/>
        </w:rPr>
        <w:t xml:space="preserve">原型机制验证实验</w:t>
      </w:r>
    </w:p>
    <w:p>
      <w:pPr>
        <w:pStyle w:val="FirstParagraph"/>
        <w:spacing w:line="360" w:lineRule="auto" w:after="120"/>
        <w:ind w:firstLine="420"/>
      </w:pPr>
      <w:r>
        <w:rPr>
          <w:rFonts w:hint="eastAsia"/>
        </w:rPr>
        <w:t xml:space="preserve">在技术探索过程中，项目还围绕绿色资产映射、自动结算和价值流转逻辑开展了原型验证。这部分实验体现了项目团队对于新能源数据向更高层业务场景延伸的思考与尝试，说明项目不是仅仅停留在运维监测层面，而是主动探索了数据如何服务上层场景的问题。</w:t>
      </w:r>
    </w:p>
    <w:p>
      <w:pPr>
        <w:pStyle w:val="BodyText"/>
        <w:spacing w:line="360" w:lineRule="auto" w:after="120"/>
        <w:ind w:firstLine="420"/>
      </w:pPr>
      <w:r>
        <w:rPr>
          <w:rFonts w:hint="eastAsia"/>
        </w:rPr>
        <w:t xml:space="preserve">需要强调的是，在当前政策环境下，这部分成果在比赛材料中应更多作为“技术探索和机制验证”的体现，而非直接作为当前落地业务方向进行表达。</w:t>
      </w:r>
    </w:p>
    <w:bookmarkEnd w:id="81"/>
    <w:bookmarkStart w:id="84" w:name="前端可视化与交互原型验证"/>
    <w:p>
      <w:pPr>
        <w:pStyle w:val="Heading3"/>
      </w:pPr>
      <w:r>
        <w:t xml:space="preserve">4.4.5 </w:t>
      </w:r>
      <w:r>
        <w:rPr>
          <w:rFonts w:hint="eastAsia"/>
        </w:rPr>
        <w:t xml:space="preserve">前端可视化与交互原型验证</w:t>
      </w:r>
    </w:p>
    <w:p>
      <w:pPr>
        <w:pStyle w:val="FirstParagraph"/>
        <w:spacing w:line="360" w:lineRule="auto" w:after="120"/>
        <w:ind w:firstLine="420"/>
      </w:pPr>
      <w:r>
        <w:rPr>
          <w:rFonts w:hint="eastAsia"/>
        </w:rPr>
        <w:t xml:space="preserve">项目已完成前端看板和页面原型的搭建，能够展示实时功率、累计发电量、链上状态等关键内容。可视化原型的价值不只在于美观，更在于它证明项目已经具备从底层数据到用户可感知产品界面的完整转换能力。</w:t>
      </w:r>
    </w:p>
    <w:p>
      <w:pPr>
        <w:pStyle w:val="BodyText"/>
        <w:spacing w:line="360" w:lineRule="auto" w:after="120"/>
        <w:ind w:firstLine="420"/>
      </w:pPr>
      <w:r>
        <w:rPr>
          <w:rFonts w:hint="eastAsia"/>
        </w:rPr>
        <w:t xml:space="preserve">这对于创新大赛类比赛尤为重要，因为评审通常不仅关注技术逻辑，也关注产品形态是否清晰、是否具备“可展示、可理解、可想象”的应用前景。</w:t>
      </w:r>
    </w:p>
    <w:p>
      <w:pPr>
        <w:pStyle w:val="BodyText"/>
        <w:spacing w:line="360" w:lineRule="auto" w:after="120"/>
        <w:ind w:firstLine="420"/>
      </w:pPr>
      <w:r>
        <w:drawing>
          <wp:inline>
            <wp:extent cx="5334000" cy="7000875"/>
            <wp:effectExtent b="0" l="0" r="0" t="0"/>
            <wp:docPr descr="前端原型界面图" title="" id="82" name="Picture"/>
            <a:graphic>
              <a:graphicData uri="http://schemas.openxmlformats.org/drawingml/2006/picture">
                <pic:pic>
                  <pic:nvPicPr>
                    <pic:cNvPr descr="/Users/evanhan/项目/光伏项目/比赛材料/素材库/最终图片/07_前端页面展示图_v6.png" id="83" name="Picture"/>
                    <pic:cNvPicPr>
                      <a:picLocks noChangeArrowheads="1" noChangeAspect="1"/>
                    </pic:cNvPicPr>
                  </pic:nvPicPr>
                  <pic:blipFill>
                    <a:blip r:embed="rId55"/>
                    <a:stretch>
                      <a:fillRect/>
                    </a:stretch>
                  </pic:blipFill>
                  <pic:spPr bwMode="auto">
                    <a:xfrm>
                      <a:off x="0" y="0"/>
                      <a:ext cx="5334000" cy="7000875"/>
                    </a:xfrm>
                    <a:prstGeom prst="rect">
                      <a:avLst/>
                    </a:prstGeom>
                    <a:noFill/>
                    <a:ln w="9525">
                      <a:noFill/>
                      <a:headEnd/>
                      <a:tailEnd/>
                    </a:ln>
                  </pic:spPr>
                </pic:pic>
              </a:graphicData>
            </a:graphic>
          </wp:inline>
        </w:drawing>
      </w:r>
      <w:r>
        <w:t xml:space="preserve"> </w:t>
      </w:r>
      <w:r>
        <w:t xml:space="preserve">&gt; </w:t>
      </w:r>
      <w:r>
        <w:rPr>
          <w:rFonts w:hint="eastAsia"/>
        </w:rPr>
        <w:t xml:space="preserve">待补表格：实验完成情况表</w:t>
      </w:r>
    </w:p>
    <w:bookmarkEnd w:id="84"/>
    <w:bookmarkEnd w:id="85"/>
    <w:bookmarkStart w:id="86" w:name="当前技术完成度评估"/>
    <w:p>
      <w:pPr>
        <w:pStyle w:val="Heading2"/>
      </w:pPr>
      <w:r>
        <w:t xml:space="preserve">4.5 </w:t>
      </w:r>
      <w:r>
        <w:rPr>
          <w:rFonts w:hint="eastAsia"/>
        </w:rPr>
        <w:t xml:space="preserve">当前技术完成度评估</w:t>
      </w:r>
    </w:p>
    <w:p>
      <w:pPr>
        <w:pStyle w:val="FirstParagraph"/>
        <w:spacing w:line="360" w:lineRule="auto" w:after="120"/>
        <w:ind w:firstLine="420"/>
      </w:pPr>
      <w:r>
        <w:rPr>
          <w:rFonts w:hint="eastAsia"/>
        </w:rPr>
        <w:t xml:space="preserve">综合现有代码、实验和原型情况，</w:t>
      </w:r>
      <w:r>
        <w:rPr>
          <w:rStyle w:val="VerbatimChar"/>
        </w:rPr>
        <w:t xml:space="preserve">SolarGuard</w:t>
      </w:r>
      <w:r>
        <w:t xml:space="preserve"> </w:t>
      </w:r>
      <w:r>
        <w:rPr>
          <w:rFonts w:hint="eastAsia"/>
        </w:rPr>
        <w:t xml:space="preserve">当前的技术完成度可以概括为：</w:t>
      </w:r>
    </w:p>
    <w:p>
      <w:pPr>
        <w:pStyle w:val="BodyText"/>
        <w:spacing w:line="360" w:lineRule="auto" w:after="120"/>
        <w:ind w:firstLine="420"/>
      </w:pPr>
      <w:r>
        <w:rPr>
          <w:rFonts w:hint="eastAsia"/>
        </w:rPr>
        <w:t xml:space="preserve">第一，核心技术链路已经明确并完成打通。项目已经实现了设备采集、签名处理、链上写入、状态读取、自动监测和前端原型等关键模块，形成了较完整的系统骨架。</w:t>
      </w:r>
    </w:p>
    <w:p>
      <w:pPr>
        <w:pStyle w:val="BodyText"/>
        <w:spacing w:line="360" w:lineRule="auto" w:after="120"/>
        <w:ind w:firstLine="420"/>
      </w:pPr>
      <w:r>
        <w:rPr>
          <w:rFonts w:hint="eastAsia"/>
        </w:rPr>
        <w:t xml:space="preserve">第二，项目目前处于“原型验证基本完成、产品化程度仍需提升”的阶段。一些后端接口、前端展示和业务服务逻辑仍存在</w:t>
      </w:r>
      <w:r>
        <w:t xml:space="preserve"> mock </w:t>
      </w:r>
      <w:r>
        <w:rPr>
          <w:rFonts w:hint="eastAsia"/>
        </w:rPr>
        <w:t xml:space="preserve">或半实装状态，这意味着项目在展示和论证上已经足够完整，但距离正式应用产品仍有进一步深化空间。</w:t>
      </w:r>
    </w:p>
    <w:p>
      <w:pPr>
        <w:pStyle w:val="BodyText"/>
        <w:spacing w:line="360" w:lineRule="auto" w:after="120"/>
        <w:ind w:firstLine="420"/>
      </w:pPr>
      <w:r>
        <w:rPr>
          <w:rFonts w:hint="eastAsia"/>
        </w:rPr>
        <w:t xml:space="preserve">第三，项目具备继续迭代的良好基础。由于代码结构清晰、模块边界明确、实验记录较完整，后续无论是继续推进真实接口接入、补充场景服务能力，还是进一步优化展示和部署方式，都具备较好的工程延展性。</w:t>
      </w:r>
    </w:p>
    <w:p>
      <w:pPr>
        <w:pStyle w:val="BodyText"/>
        <w:spacing w:line="360" w:lineRule="auto" w:after="120"/>
        <w:ind w:firstLine="420"/>
      </w:pPr>
      <w:r>
        <w:rPr>
          <w:rFonts w:hint="eastAsia"/>
        </w:rPr>
        <w:t xml:space="preserve">从比赛视角看，这种完成度是有说服力的。它说明项目并非停留在“想法阶段”，而是已经完成了一套真实可展示、可验证、可继续深化的系统原型。</w:t>
      </w:r>
    </w:p>
    <w:bookmarkEnd w:id="86"/>
    <w:bookmarkStart w:id="87" w:name="后续技术迭代方向"/>
    <w:p>
      <w:pPr>
        <w:pStyle w:val="Heading2"/>
      </w:pPr>
      <w:r>
        <w:t xml:space="preserve">4.6 </w:t>
      </w:r>
      <w:r>
        <w:rPr>
          <w:rFonts w:hint="eastAsia"/>
        </w:rPr>
        <w:t xml:space="preserve">后续技术迭代方向</w:t>
      </w:r>
    </w:p>
    <w:p>
      <w:pPr>
        <w:pStyle w:val="FirstParagraph"/>
        <w:spacing w:line="360" w:lineRule="auto" w:after="120"/>
        <w:ind w:firstLine="420"/>
      </w:pPr>
      <w:r>
        <w:rPr>
          <w:rFonts w:hint="eastAsia"/>
        </w:rPr>
        <w:t xml:space="preserve">在恢复硬件条件和继续推进项目后，</w:t>
      </w:r>
      <w:r>
        <w:rPr>
          <w:rStyle w:val="VerbatimChar"/>
        </w:rPr>
        <w:t xml:space="preserve">SolarGuard</w:t>
      </w:r>
      <w:r>
        <w:t xml:space="preserve"> </w:t>
      </w:r>
      <w:r>
        <w:rPr>
          <w:rFonts w:hint="eastAsia"/>
        </w:rPr>
        <w:t xml:space="preserve">的技术迭代可以沿着三个方向展开。</w:t>
      </w:r>
    </w:p>
    <w:p>
      <w:pPr>
        <w:pStyle w:val="BodyText"/>
        <w:spacing w:line="360" w:lineRule="auto" w:after="120"/>
        <w:ind w:firstLine="420"/>
      </w:pPr>
      <w:r>
        <w:rPr>
          <w:rFonts w:hint="eastAsia"/>
        </w:rPr>
        <w:t xml:space="preserve">第一，进一步增强设备侧接入能力和多设备兼容性，使系统能够支持更多分布式光伏场景和更丰富的数据采集需求。</w:t>
      </w:r>
    </w:p>
    <w:p>
      <w:pPr>
        <w:pStyle w:val="BodyText"/>
        <w:spacing w:line="360" w:lineRule="auto" w:after="120"/>
        <w:ind w:firstLine="420"/>
      </w:pPr>
      <w:r>
        <w:rPr>
          <w:rFonts w:hint="eastAsia"/>
        </w:rPr>
        <w:t xml:space="preserve">第二，完善</w:t>
      </w:r>
      <w:r>
        <w:t xml:space="preserve"> </w:t>
      </w:r>
      <w:r>
        <w:rPr>
          <w:rFonts w:hint="eastAsia"/>
        </w:rPr>
        <w:t xml:space="preserve">API、前端和业务服务层，降低</w:t>
      </w:r>
      <w:r>
        <w:t xml:space="preserve"> mock </w:t>
      </w:r>
      <w:r>
        <w:rPr>
          <w:rFonts w:hint="eastAsia"/>
        </w:rPr>
        <w:t xml:space="preserve">成分，提高系统在真实应用场景中的可用性和可交互性，推动原型系统向更高完成度的产品形态演进。</w:t>
      </w:r>
    </w:p>
    <w:p>
      <w:pPr>
        <w:pStyle w:val="BodyText"/>
        <w:spacing w:line="360" w:lineRule="auto" w:after="120"/>
        <w:ind w:firstLine="420"/>
      </w:pPr>
      <w:r>
        <w:rPr>
          <w:rFonts w:hint="eastAsia"/>
        </w:rPr>
        <w:t xml:space="preserve">第三，围绕绿证衔接、ESG</w:t>
      </w:r>
      <w:r>
        <w:t xml:space="preserve"> </w:t>
      </w:r>
      <w:r>
        <w:rPr>
          <w:rFonts w:hint="eastAsia"/>
        </w:rPr>
        <w:t xml:space="preserve">披露、绿色金融辅助尽调等场景，进一步设计更加贴近政策和市场需求的上层功能，强化系统从“可信数据原型”向“可信数据服务平台”的转化能力。</w:t>
      </w:r>
    </w:p>
    <w:p>
      <w:pPr>
        <w:pStyle w:val="BodyText"/>
        <w:spacing w:line="360" w:lineRule="auto" w:after="120"/>
        <w:ind w:firstLine="420"/>
      </w:pPr>
      <w:r>
        <w:rPr>
          <w:rFonts w:hint="eastAsia"/>
        </w:rPr>
        <w:t xml:space="preserve">这些方向都建立在现有代码和实验基础之上，说明项目后续发展并非重新开始，而是在已有成果上持续迭代。</w:t>
      </w:r>
    </w:p>
    <w:bookmarkEnd w:id="87"/>
    <w:bookmarkStart w:id="88" w:name="本章结论-2"/>
    <w:p>
      <w:pPr>
        <w:pStyle w:val="Heading2"/>
      </w:pPr>
      <w:r>
        <w:t xml:space="preserve">4.7 </w:t>
      </w:r>
      <w:r>
        <w:rPr>
          <w:rFonts w:hint="eastAsia"/>
        </w:rPr>
        <w:t xml:space="preserve">本章结论</w:t>
      </w:r>
    </w:p>
    <w:p>
      <w:pPr>
        <w:pStyle w:val="FirstParagraph"/>
        <w:spacing w:line="360" w:lineRule="auto" w:after="120"/>
        <w:ind w:firstLine="420"/>
      </w:pPr>
      <w:r>
        <w:rPr>
          <w:rFonts w:hint="eastAsia"/>
        </w:rPr>
        <w:t xml:space="preserve">总体来看，</w:t>
      </w:r>
      <w:r>
        <w:rPr>
          <w:rStyle w:val="VerbatimChar"/>
        </w:rPr>
        <w:t xml:space="preserve">SolarGuard</w:t>
      </w:r>
      <w:r>
        <w:t xml:space="preserve"> </w:t>
      </w:r>
      <w:r>
        <w:rPr>
          <w:rFonts w:hint="eastAsia"/>
        </w:rPr>
        <w:t xml:space="preserve">已经完成了一条具有现实意义的技术验证路径：从分布式光伏设备数据采集出发，通过结构化处理、签名机制、联盟链存证、自动监测和前端可视化，形成了一套相对完整的可信数据服务原型。</w:t>
      </w:r>
    </w:p>
    <w:p>
      <w:pPr>
        <w:pStyle w:val="BodyText"/>
        <w:spacing w:line="360" w:lineRule="auto" w:after="120"/>
        <w:ind w:firstLine="420"/>
      </w:pPr>
      <w:r>
        <w:rPr>
          <w:rFonts w:hint="eastAsia"/>
        </w:rPr>
        <w:t xml:space="preserve">这一结果说明，项目不仅在概念上成立，而且在代码、实验和系统实现层面具备真实支撑。虽然当前仍有部分模块需要进一步完善，但其核心技术框架、关键逻辑和实验基础已经基本成型，足以支撑项目进入更高质量的商业计划书撰写和创新创业赛事论证阶段。</w:t>
      </w:r>
    </w:p>
    <w:p>
      <w:pPr>
        <w:spacing w:line="360" w:lineRule="auto" w:after="120"/>
        <w:ind w:firstLine="420"/>
      </w:pPr>
      <w:r>
        <w:pict>
          <v:rect style="width:0;height:1.5pt" o:hralign="center" o:hrstd="t" o:hr="t"/>
        </w:pict>
      </w:r>
    </w:p>
    <w:bookmarkEnd w:id="88"/>
    <w:bookmarkEnd w:id="89"/>
    <w:bookmarkStart w:id="110" w:name="第五章-应用场景与市场分析"/>
    <w:p>
      <w:pPr>
        <w:pStyle w:val="Heading1"/>
        <w:jc w:val="left"/>
      </w:pPr>
      <w:r>
        <w:rPr>
          <w:rFonts w:hint="eastAsia"/>
        </w:rPr>
        <w:t xml:space="preserve">第五章</w:t>
        <w:br w:type="page"/>
      </w:r>
      <w:r>
        <w:t xml:space="preserve"> </w:t>
      </w:r>
      <w:r>
        <w:rPr>
          <w:rFonts w:hint="eastAsia"/>
        </w:rPr>
        <w:t xml:space="preserve">应用场景与市场分析</w:t>
      </w:r>
    </w:p>
    <w:bookmarkStart w:id="90" w:name="行业背景"/>
    <w:p>
      <w:pPr>
        <w:pStyle w:val="Heading2"/>
      </w:pPr>
      <w:r>
        <w:t xml:space="preserve">5.1 </w:t>
      </w:r>
      <w:r>
        <w:rPr>
          <w:rFonts w:hint="eastAsia"/>
        </w:rPr>
        <w:t xml:space="preserve">行业背景</w:t>
      </w:r>
    </w:p>
    <w:p>
      <w:pPr>
        <w:pStyle w:val="FirstParagraph"/>
        <w:spacing w:line="360" w:lineRule="auto" w:after="120"/>
        <w:ind w:firstLine="420"/>
      </w:pPr>
      <w:r>
        <w:rPr>
          <w:rFonts w:hint="eastAsia"/>
        </w:rPr>
        <w:t xml:space="preserve">在“双碳”目标和能源结构调整持续推进的背景下，分布式光伏已成为我国新能源体系中最活跃的应用场景之一。与传统集中式能源项目相比，分布式光伏具有建设灵活、就地消纳、贴近负荷中心和适配工商业及园区场景等特点，因此在校园、园区、企业厂房、公共建筑和居民屋顶等空间中快速扩张。随着装机规模的不断提升，围绕分布式光伏运行数据的管理、评估和使用需求也同步增长。</w:t>
      </w:r>
    </w:p>
    <w:p>
      <w:pPr>
        <w:pStyle w:val="BodyText"/>
        <w:spacing w:line="360" w:lineRule="auto" w:after="120"/>
        <w:ind w:firstLine="420"/>
      </w:pPr>
      <w:r>
        <w:rPr>
          <w:rFonts w:hint="eastAsia"/>
        </w:rPr>
        <w:t xml:space="preserve">但行业的发展并不意味着数据能力已经同步成熟。现实中，分布式光伏项目数量多、体量分散、设备来源复杂、管理主体多样，导致大量底层运行数据虽然存在，却难以形成统一、可信、连续和可复用的数据体系。数据往往停留在设备显示、平台截图或阶段性报表中，难以被进一步转化为审计依据、治理依据或金融辅助判断依据。</w:t>
      </w:r>
    </w:p>
    <w:p>
      <w:pPr>
        <w:pStyle w:val="BodyText"/>
        <w:spacing w:line="360" w:lineRule="auto" w:after="120"/>
        <w:ind w:firstLine="420"/>
      </w:pPr>
      <w:r>
        <w:rPr>
          <w:rFonts w:hint="eastAsia"/>
        </w:rPr>
        <w:t xml:space="preserve">与此同时，国家正持续推进绿证制度完善、绿色金融发展、ESG</w:t>
      </w:r>
      <w:r>
        <w:t xml:space="preserve"> </w:t>
      </w:r>
      <w:r>
        <w:rPr>
          <w:rFonts w:hint="eastAsia"/>
        </w:rPr>
        <w:t xml:space="preserve">披露制度建设和数据要素市场化改革。新能源项目的数据价值正在从“运维信息”向“治理资源”和“金融辅助基础”转变。谁能把底层分布式光伏数据做成可信、持续、可核验的数据底座，谁就有机会切入新能源数字化与绿色金融服务融合的新赛道。</w:t>
      </w:r>
    </w:p>
    <w:p>
      <w:pPr>
        <w:pStyle w:val="BodyText"/>
        <w:spacing w:line="360" w:lineRule="auto" w:after="120"/>
        <w:ind w:firstLine="420"/>
      </w:pPr>
      <w:r>
        <w:rPr>
          <w:rFonts w:hint="eastAsia"/>
        </w:rPr>
        <w:t xml:space="preserve">因此，</w:t>
      </w:r>
      <w:r>
        <w:rPr>
          <w:rStyle w:val="VerbatimChar"/>
        </w:rPr>
        <w:t xml:space="preserve">SolarGuard</w:t>
      </w:r>
      <w:r>
        <w:t xml:space="preserve"> </w:t>
      </w:r>
      <w:r>
        <w:rPr>
          <w:rFonts w:hint="eastAsia"/>
        </w:rPr>
        <w:t xml:space="preserve">所面向的市场，不是单一的“光伏监控软件市场”，而是一个由新能源数字化、可信数据基础设施、绿色资产核验、绿证衔接和绿色金融辅助服务共同构成的复合型新兴市场。</w:t>
      </w:r>
    </w:p>
    <w:bookmarkEnd w:id="90"/>
    <w:bookmarkStart w:id="95" w:name="市场痛点"/>
    <w:p>
      <w:pPr>
        <w:pStyle w:val="Heading2"/>
      </w:pPr>
      <w:r>
        <w:t xml:space="preserve">5.2 </w:t>
      </w:r>
      <w:r>
        <w:rPr>
          <w:rFonts w:hint="eastAsia"/>
        </w:rPr>
        <w:t xml:space="preserve">市场痛点</w:t>
      </w:r>
    </w:p>
    <w:bookmarkStart w:id="91" w:name="数据采集与管理碎片化"/>
    <w:p>
      <w:pPr>
        <w:pStyle w:val="Heading3"/>
      </w:pPr>
      <w:r>
        <w:t xml:space="preserve">5.2.1 </w:t>
      </w:r>
      <w:r>
        <w:rPr>
          <w:rFonts w:hint="eastAsia"/>
        </w:rPr>
        <w:t xml:space="preserve">数据采集与管理碎片化</w:t>
      </w:r>
    </w:p>
    <w:p>
      <w:pPr>
        <w:pStyle w:val="FirstParagraph"/>
        <w:spacing w:line="360" w:lineRule="auto" w:after="120"/>
        <w:ind w:firstLine="420"/>
      </w:pPr>
      <w:r>
        <w:rPr>
          <w:rFonts w:hint="eastAsia"/>
        </w:rPr>
        <w:t xml:space="preserve">目前许多分布式光伏项目虽然安装了监控设备或管理平台，但不同设备之间通信协议、数据格式和采样方式差异较大，导致数据接口分散、历史记录不统一、跨项目对比困难。很多数据只适用于本地查看，缺少后续整合和沉淀能力，难以形成可持续利用的数据基础。</w:t>
      </w:r>
    </w:p>
    <w:bookmarkEnd w:id="91"/>
    <w:bookmarkStart w:id="92" w:name="数据真实性和可核验性不足"/>
    <w:p>
      <w:pPr>
        <w:pStyle w:val="Heading3"/>
      </w:pPr>
      <w:r>
        <w:t xml:space="preserve">5.2.2 </w:t>
      </w:r>
      <w:r>
        <w:rPr>
          <w:rFonts w:hint="eastAsia"/>
        </w:rPr>
        <w:t xml:space="preserve">数据真实性和可核验性不足</w:t>
      </w:r>
    </w:p>
    <w:p>
      <w:pPr>
        <w:pStyle w:val="FirstParagraph"/>
        <w:spacing w:line="360" w:lineRule="auto" w:after="120"/>
        <w:ind w:firstLine="420"/>
      </w:pPr>
      <w:r>
        <w:rPr>
          <w:rFonts w:hint="eastAsia"/>
        </w:rPr>
        <w:t xml:space="preserve">在运维管理、项目审计、ESG</w:t>
      </w:r>
      <w:r>
        <w:t xml:space="preserve"> </w:t>
      </w:r>
      <w:r>
        <w:rPr>
          <w:rFonts w:hint="eastAsia"/>
        </w:rPr>
        <w:t xml:space="preserve">披露和绿色金融场景中，数据不仅要“存在”，还要“可信”。然而当前大量分布式光伏项目的数据记录方式并不具备明确来源验证、连续留痕和可追溯机制。一旦需要向合作机构、金融机构、审计主体或园区平台提供依据，就容易出现数据证明链不足的问题。</w:t>
      </w:r>
    </w:p>
    <w:bookmarkEnd w:id="92"/>
    <w:bookmarkStart w:id="93" w:name="机构用户获取可信底层数据成本高"/>
    <w:p>
      <w:pPr>
        <w:pStyle w:val="Heading3"/>
      </w:pPr>
      <w:r>
        <w:t xml:space="preserve">5.2.3 </w:t>
      </w:r>
      <w:r>
        <w:rPr>
          <w:rFonts w:hint="eastAsia"/>
        </w:rPr>
        <w:t xml:space="preserve">机构用户获取可信底层数据成本高</w:t>
      </w:r>
    </w:p>
    <w:p>
      <w:pPr>
        <w:pStyle w:val="FirstParagraph"/>
        <w:spacing w:line="360" w:lineRule="auto" w:after="120"/>
        <w:ind w:firstLine="420"/>
      </w:pPr>
      <w:r>
        <w:rPr>
          <w:rFonts w:hint="eastAsia"/>
        </w:rPr>
        <w:t xml:space="preserve">金融机构、ESG</w:t>
      </w:r>
      <w:r>
        <w:t xml:space="preserve"> </w:t>
      </w:r>
      <w:r>
        <w:rPr>
          <w:rFonts w:hint="eastAsia"/>
        </w:rPr>
        <w:t xml:space="preserve">服务机构、园区平台和第三方核验主体，往往需要对项目运行情况进行判断，但他们并不直接掌握设备层数据，也缺少低成本获取可信原始数据的手段。结果往往是依赖静态材料、人工访谈和事后验证，效率低、成本高、可扩展性弱。</w:t>
      </w:r>
    </w:p>
    <w:bookmarkEnd w:id="93"/>
    <w:bookmarkStart w:id="94" w:name="场景之间存在明显断层"/>
    <w:p>
      <w:pPr>
        <w:pStyle w:val="Heading3"/>
      </w:pPr>
      <w:r>
        <w:t xml:space="preserve">5.2.4 </w:t>
      </w:r>
      <w:r>
        <w:rPr>
          <w:rFonts w:hint="eastAsia"/>
        </w:rPr>
        <w:t xml:space="preserve">场景之间存在明显断层</w:t>
      </w:r>
    </w:p>
    <w:p>
      <w:pPr>
        <w:pStyle w:val="FirstParagraph"/>
        <w:spacing w:line="360" w:lineRule="auto" w:after="120"/>
        <w:ind w:firstLine="420"/>
      </w:pPr>
      <w:r>
        <w:rPr>
          <w:rFonts w:hint="eastAsia"/>
        </w:rPr>
        <w:t xml:space="preserve">当前分布式光伏底层数据与上层制度场景之间尚未有效打通。设备运维系统与绿证核验、ESG</w:t>
      </w:r>
      <w:r>
        <w:t xml:space="preserve"> </w:t>
      </w:r>
      <w:r>
        <w:rPr>
          <w:rFonts w:hint="eastAsia"/>
        </w:rPr>
        <w:t xml:space="preserve">披露、绿色金融辅助决策、项目绩效评价等场景之间仍存在明显断层，导致本应具备价值的数据长期停留在低层次使用阶段，难以充分释放要素价值。</w:t>
      </w:r>
    </w:p>
    <w:p>
      <w:pPr>
        <w:pStyle w:val="BodyText"/>
        <w:spacing w:line="360" w:lineRule="auto" w:after="120"/>
        <w:ind w:firstLine="420"/>
      </w:pPr>
      <w:r>
        <w:rPr>
          <w:rFonts w:hint="eastAsia"/>
        </w:rPr>
        <w:t xml:space="preserve">综上，当前行业并不缺少“监控系统”，真正缺少的是一套能够把底层数据变成可信业务数据、并进一步服务多场景使用的系统解决方案。</w:t>
      </w:r>
    </w:p>
    <w:bookmarkEnd w:id="94"/>
    <w:bookmarkEnd w:id="95"/>
    <w:bookmarkStart w:id="101" w:name="典型应用场景"/>
    <w:p>
      <w:pPr>
        <w:pStyle w:val="Heading2"/>
      </w:pPr>
      <w:r>
        <w:t xml:space="preserve">5.3 </w:t>
      </w:r>
      <w:r>
        <w:rPr>
          <w:rFonts w:hint="eastAsia"/>
        </w:rPr>
        <w:t xml:space="preserve">典型应用场景</w:t>
      </w:r>
    </w:p>
    <w:bookmarkStart w:id="96" w:name="分布式光伏运维与数据留痕"/>
    <w:p>
      <w:pPr>
        <w:pStyle w:val="Heading3"/>
      </w:pPr>
      <w:r>
        <w:t xml:space="preserve">5.3.1 </w:t>
      </w:r>
      <w:r>
        <w:rPr>
          <w:rFonts w:hint="eastAsia"/>
        </w:rPr>
        <w:t xml:space="preserve">分布式光伏运维与数据留痕</w:t>
      </w:r>
    </w:p>
    <w:p>
      <w:pPr>
        <w:pStyle w:val="FirstParagraph"/>
        <w:spacing w:line="360" w:lineRule="auto" w:after="120"/>
        <w:ind w:firstLine="420"/>
      </w:pPr>
      <w:r>
        <w:rPr>
          <w:rFonts w:hint="eastAsia"/>
        </w:rPr>
        <w:t xml:space="preserve">这是</w:t>
      </w:r>
      <w:r>
        <w:t xml:space="preserve"> </w:t>
      </w:r>
      <w:r>
        <w:rPr>
          <w:rStyle w:val="VerbatimChar"/>
        </w:rPr>
        <w:t xml:space="preserve">SolarGuard</w:t>
      </w:r>
      <w:r>
        <w:t xml:space="preserve"> </w:t>
      </w:r>
      <w:r>
        <w:rPr>
          <w:rFonts w:hint="eastAsia"/>
        </w:rPr>
        <w:t xml:space="preserve">当前最直接、最贴近已有原型的应用场景。项目可用于持续采集分布式光伏设备的关键运行指标，自动记录发电数据、形成可视化图表并保留历史轨迹。对运营方而言，这不仅有助于降低人工记录和排查成本，也有助于在长期运行中沉淀更加标准化、连续化的数据资产。</w:t>
      </w:r>
    </w:p>
    <w:bookmarkEnd w:id="96"/>
    <w:bookmarkStart w:id="97" w:name="园区与企业能源管理"/>
    <w:p>
      <w:pPr>
        <w:pStyle w:val="Heading3"/>
      </w:pPr>
      <w:r>
        <w:t xml:space="preserve">5.3.2 </w:t>
      </w:r>
      <w:r>
        <w:rPr>
          <w:rFonts w:hint="eastAsia"/>
        </w:rPr>
        <w:t xml:space="preserve">园区与企业能源管理</w:t>
      </w:r>
    </w:p>
    <w:p>
      <w:pPr>
        <w:pStyle w:val="FirstParagraph"/>
        <w:spacing w:line="360" w:lineRule="auto" w:after="120"/>
        <w:ind w:firstLine="420"/>
      </w:pPr>
      <w:r>
        <w:rPr>
          <w:rFonts w:hint="eastAsia"/>
        </w:rPr>
        <w:t xml:space="preserve">对于园区、校园或企业来说，分布式光伏往往是能源管理体系中的一个组成部分。此类主体不仅关心设备是否运行，还关心实际发电效果、节能减排贡献、历史变化趋势以及多项目之间的统一管理。</w:t>
      </w:r>
      <w:r>
        <w:rPr>
          <w:rStyle w:val="VerbatimChar"/>
        </w:rPr>
        <w:t xml:space="preserve">SolarGuard</w:t>
      </w:r>
      <w:r>
        <w:t xml:space="preserve"> </w:t>
      </w:r>
      <w:r>
        <w:rPr>
          <w:rFonts w:hint="eastAsia"/>
        </w:rPr>
        <w:t xml:space="preserve">的可信采集和记录能力，可以作为园区能源管理平台或内部绿色治理体系的基础支撑模块。</w:t>
      </w:r>
    </w:p>
    <w:bookmarkEnd w:id="97"/>
    <w:bookmarkStart w:id="98" w:name="绿证与绿色权益辅助核验"/>
    <w:p>
      <w:pPr>
        <w:pStyle w:val="Heading3"/>
      </w:pPr>
      <w:r>
        <w:t xml:space="preserve">5.3.3 </w:t>
      </w:r>
      <w:r>
        <w:rPr>
          <w:rFonts w:hint="eastAsia"/>
        </w:rPr>
        <w:t xml:space="preserve">绿证与绿色权益辅助核验</w:t>
      </w:r>
    </w:p>
    <w:p>
      <w:pPr>
        <w:pStyle w:val="FirstParagraph"/>
        <w:spacing w:line="360" w:lineRule="auto" w:after="120"/>
        <w:ind w:firstLine="420"/>
      </w:pPr>
      <w:r>
        <w:rPr>
          <w:rFonts w:hint="eastAsia"/>
        </w:rPr>
        <w:t xml:space="preserve">随着绿证制度不断完善，可再生能源环境权益的核验和管理将越来越依赖真实、连续、可追溯的数据支撑。</w:t>
      </w:r>
      <w:r>
        <w:rPr>
          <w:rStyle w:val="VerbatimChar"/>
        </w:rPr>
        <w:t xml:space="preserve">SolarGuard</w:t>
      </w:r>
      <w:r>
        <w:t xml:space="preserve"> </w:t>
      </w:r>
      <w:r>
        <w:rPr>
          <w:rFonts w:hint="eastAsia"/>
        </w:rPr>
        <w:t xml:space="preserve">虽然当前尚未直接接入绿证业务流程，但其技术方向与这一场景具有天然衔接性。未来，系统可以为绿证相关环节提供底层发电数据支撑，增强环境权益核验的可信基础。</w:t>
      </w:r>
    </w:p>
    <w:bookmarkEnd w:id="98"/>
    <w:bookmarkStart w:id="99" w:name="esg-披露与项目审计支持"/>
    <w:p>
      <w:pPr>
        <w:pStyle w:val="Heading3"/>
      </w:pPr>
      <w:r>
        <w:t xml:space="preserve">5.3.4 ESG </w:t>
      </w:r>
      <w:r>
        <w:rPr>
          <w:rFonts w:hint="eastAsia"/>
        </w:rPr>
        <w:t xml:space="preserve">披露与项目审计支持</w:t>
      </w:r>
    </w:p>
    <w:p>
      <w:pPr>
        <w:pStyle w:val="FirstParagraph"/>
        <w:spacing w:line="360" w:lineRule="auto" w:after="120"/>
        <w:ind w:firstLine="420"/>
      </w:pPr>
      <w:r>
        <w:rPr>
          <w:rFonts w:hint="eastAsia"/>
        </w:rPr>
        <w:t xml:space="preserve">在</w:t>
      </w:r>
      <w:r>
        <w:t xml:space="preserve"> ESG </w:t>
      </w:r>
      <w:r>
        <w:rPr>
          <w:rFonts w:hint="eastAsia"/>
        </w:rPr>
        <w:t xml:space="preserve">信息披露和项目审计场景中，很多指标虽然最终以汇总形式呈现，但其可信性取决于底层记录是否真实、是否连续、是否可以追溯。</w:t>
      </w:r>
      <w:r>
        <w:rPr>
          <w:rStyle w:val="VerbatimChar"/>
        </w:rPr>
        <w:t xml:space="preserve">SolarGuard</w:t>
      </w:r>
      <w:r>
        <w:t xml:space="preserve"> </w:t>
      </w:r>
      <w:r>
        <w:rPr>
          <w:rFonts w:hint="eastAsia"/>
        </w:rPr>
        <w:t xml:space="preserve">能够为分布式光伏项目形成更完整的数据留痕，为相关主体提供基础证据链，进而提升披露、评价和审计的效率与可信度。</w:t>
      </w:r>
    </w:p>
    <w:bookmarkEnd w:id="99"/>
    <w:bookmarkStart w:id="100" w:name="绿色金融辅助决策"/>
    <w:p>
      <w:pPr>
        <w:pStyle w:val="Heading3"/>
      </w:pPr>
      <w:r>
        <w:t xml:space="preserve">5.3.5 </w:t>
      </w:r>
      <w:r>
        <w:rPr>
          <w:rFonts w:hint="eastAsia"/>
        </w:rPr>
        <w:t xml:space="preserve">绿色金融辅助决策</w:t>
      </w:r>
    </w:p>
    <w:p>
      <w:pPr>
        <w:pStyle w:val="FirstParagraph"/>
        <w:spacing w:line="360" w:lineRule="auto" w:after="120"/>
        <w:ind w:firstLine="420"/>
      </w:pPr>
      <w:r>
        <w:rPr>
          <w:rFonts w:hint="eastAsia"/>
        </w:rPr>
        <w:t xml:space="preserve">绿色贷款、绿色保险、绿色担保等业务本质上都需要对项目运行真实性、绿色属性和持续表现进行判断。如果底层数据无法被低成本获取和验证，金融决策的难度和成本都会提高。</w:t>
      </w:r>
      <w:r>
        <w:rPr>
          <w:rStyle w:val="VerbatimChar"/>
        </w:rPr>
        <w:t xml:space="preserve">SolarGuard</w:t>
      </w:r>
      <w:r>
        <w:t xml:space="preserve"> </w:t>
      </w:r>
      <w:r>
        <w:rPr>
          <w:rFonts w:hint="eastAsia"/>
        </w:rPr>
        <w:t xml:space="preserve">的长期价值之一，正是在于为绿色金融场景提供辅助判断所需的可信底层数据，使机构能够更高效地理解项目运行情况。</w:t>
      </w:r>
    </w:p>
    <w:p>
      <w:pPr>
        <w:pStyle w:val="BlockText"/>
      </w:pPr>
      <w:r>
        <w:rPr>
          <w:rFonts w:hint="eastAsia"/>
          <w:i/>
          <w:color w:val="6B7280"/>
        </w:rPr>
        <w:t xml:space="preserve">说明：应用场景矩阵图</w:t>
      </w:r>
      <w:r>
        <w:rPr>
          <w:i/>
          <w:color w:val="6B7280"/>
        </w:rPr>
        <w:t xml:space="preserve"> </w:t>
      </w:r>
      <w:r>
        <w:rPr>
          <w:rFonts w:hint="eastAsia"/>
          <w:i/>
          <w:color w:val="6B7280"/>
        </w:rPr>
        <w:t xml:space="preserve">当前不放入正文图片版，后续可在附录或补充材料中加入。</w:t>
      </w:r>
    </w:p>
    <w:bookmarkEnd w:id="100"/>
    <w:bookmarkEnd w:id="101"/>
    <w:bookmarkStart w:id="102" w:name="目标市场划分"/>
    <w:p>
      <w:pPr>
        <w:pStyle w:val="Heading2"/>
      </w:pPr>
      <w:r>
        <w:t xml:space="preserve">5.4 </w:t>
      </w:r>
      <w:r>
        <w:rPr>
          <w:rFonts w:hint="eastAsia"/>
        </w:rPr>
        <w:t xml:space="preserve">目标市场划分</w:t>
      </w:r>
    </w:p>
    <w:p>
      <w:pPr>
        <w:pStyle w:val="FirstParagraph"/>
        <w:spacing w:line="360" w:lineRule="auto" w:after="120"/>
        <w:ind w:firstLine="420"/>
      </w:pPr>
      <w:r>
        <w:rPr>
          <w:rFonts w:hint="eastAsia"/>
        </w:rPr>
        <w:t xml:space="preserve">结合当前项目阶段和未来发展方向，</w:t>
      </w:r>
      <w:r>
        <w:rPr>
          <w:rStyle w:val="VerbatimChar"/>
        </w:rPr>
        <w:t xml:space="preserve">SolarGuard</w:t>
      </w:r>
      <w:r>
        <w:t xml:space="preserve"> </w:t>
      </w:r>
      <w:r>
        <w:rPr>
          <w:rFonts w:hint="eastAsia"/>
        </w:rPr>
        <w:t xml:space="preserve">的目标市场可分为三个层级。</w:t>
      </w:r>
    </w:p>
    <w:p>
      <w:pPr>
        <w:pStyle w:val="BodyText"/>
        <w:spacing w:line="360" w:lineRule="auto" w:after="120"/>
        <w:ind w:firstLine="420"/>
      </w:pPr>
      <w:r>
        <w:rPr>
          <w:rFonts w:hint="eastAsia"/>
        </w:rPr>
        <w:t xml:space="preserve">第一层是</w:t>
      </w:r>
      <w:r>
        <w:t xml:space="preserve"> </w:t>
      </w:r>
      <w:r>
        <w:rPr>
          <w:rStyle w:val="VerbatimChar"/>
          <w:rFonts w:hint="eastAsia"/>
        </w:rPr>
        <w:t xml:space="preserve">直接使用型市场</w:t>
      </w:r>
      <w:r>
        <w:rPr>
          <w:rFonts w:hint="eastAsia"/>
        </w:rPr>
        <w:t xml:space="preserve">，主要包括分布式光伏运营方、校园及园区能源管理主体、设备运维团队等。这类用户最关心的是数据采集、监测、记录和管理效率，也是项目最容易切入和验证价值的市场。</w:t>
      </w:r>
    </w:p>
    <w:p>
      <w:pPr>
        <w:pStyle w:val="BodyText"/>
        <w:spacing w:line="360" w:lineRule="auto" w:after="120"/>
        <w:ind w:firstLine="420"/>
      </w:pPr>
      <w:r>
        <w:rPr>
          <w:rFonts w:hint="eastAsia"/>
        </w:rPr>
        <w:t xml:space="preserve">第二层是</w:t>
      </w:r>
      <w:r>
        <w:t xml:space="preserve"> </w:t>
      </w:r>
      <w:r>
        <w:rPr>
          <w:rStyle w:val="VerbatimChar"/>
          <w:rFonts w:hint="eastAsia"/>
        </w:rPr>
        <w:t xml:space="preserve">协同服务型市场</w:t>
      </w:r>
      <w:r>
        <w:rPr>
          <w:rFonts w:hint="eastAsia"/>
        </w:rPr>
        <w:t xml:space="preserve">，主要包括</w:t>
      </w:r>
      <w:r>
        <w:t xml:space="preserve"> ESG </w:t>
      </w:r>
      <w:r>
        <w:rPr>
          <w:rFonts w:hint="eastAsia"/>
        </w:rPr>
        <w:t xml:space="preserve">服务机构、审计主体、园区数字化平台、行业解决方案提供商等。这类用户不一定直接管理设备，但需要使用项目形成的数据成果，为他们的业务流程提供支撑。</w:t>
      </w:r>
    </w:p>
    <w:p>
      <w:pPr>
        <w:pStyle w:val="BodyText"/>
        <w:spacing w:line="360" w:lineRule="auto" w:after="120"/>
        <w:ind w:firstLine="420"/>
      </w:pPr>
      <w:r>
        <w:rPr>
          <w:rFonts w:hint="eastAsia"/>
        </w:rPr>
        <w:t xml:space="preserve">第三层是</w:t>
      </w:r>
      <w:r>
        <w:t xml:space="preserve"> </w:t>
      </w:r>
      <w:r>
        <w:rPr>
          <w:rStyle w:val="VerbatimChar"/>
          <w:rFonts w:hint="eastAsia"/>
        </w:rPr>
        <w:t xml:space="preserve">延伸合作型市场</w:t>
      </w:r>
      <w:r>
        <w:rPr>
          <w:rFonts w:hint="eastAsia"/>
        </w:rPr>
        <w:t xml:space="preserve">，主要包括绿色金融机构、绿证相关服务主体以及未来可能参与新能源数据治理的平台型机构。这部分市场目前对项目而言仍偏中长期，但其存在使项目具备较强的成长性和叙事延展空间。</w:t>
      </w:r>
    </w:p>
    <w:p>
      <w:pPr>
        <w:pStyle w:val="BodyText"/>
        <w:spacing w:line="360" w:lineRule="auto" w:after="120"/>
        <w:ind w:firstLine="420"/>
      </w:pPr>
      <w:r>
        <w:rPr>
          <w:rFonts w:hint="eastAsia"/>
        </w:rPr>
        <w:t xml:space="preserve">对于当前比赛阶段而言，项目不需要一开始就证明自己可以全面覆盖所有层级市场，而应重点突出：已经找到了清晰的起步市场，并具备向更高价值场景延伸的逻辑。</w:t>
      </w:r>
    </w:p>
    <w:bookmarkEnd w:id="102"/>
    <w:bookmarkStart w:id="106" w:name="市场定位"/>
    <w:p>
      <w:pPr>
        <w:pStyle w:val="Heading2"/>
      </w:pPr>
      <w:r>
        <w:t xml:space="preserve">5.5 </w:t>
      </w:r>
      <w:r>
        <w:rPr>
          <w:rFonts w:hint="eastAsia"/>
        </w:rPr>
        <w:t xml:space="preserve">市场定位</w:t>
      </w:r>
    </w:p>
    <w:p>
      <w:pPr>
        <w:pStyle w:val="FirstParagraph"/>
        <w:spacing w:line="360" w:lineRule="auto" w:after="120"/>
        <w:ind w:firstLine="420"/>
      </w:pPr>
      <w:r>
        <w:rPr>
          <w:rStyle w:val="VerbatimChar"/>
        </w:rPr>
        <w:t xml:space="preserve">SolarGuard</w:t>
      </w:r>
      <w:r>
        <w:t xml:space="preserve"> </w:t>
      </w:r>
      <w:r>
        <w:rPr>
          <w:rFonts w:hint="eastAsia"/>
        </w:rPr>
        <w:t xml:space="preserve">的市场定位不是“替代所有光伏监控系统”，也不是“做一个泛区块链平台”，而是聚焦在分布式光伏场景中最稀缺的能力上，即：</w:t>
      </w:r>
      <w:r>
        <w:rPr>
          <w:rStyle w:val="VerbatimChar"/>
          <w:rFonts w:hint="eastAsia"/>
        </w:rPr>
        <w:t xml:space="preserve">可信数据能力</w:t>
      </w:r>
      <w:r>
        <w:t xml:space="preserve">。</w:t>
      </w:r>
    </w:p>
    <w:p>
      <w:pPr>
        <w:pStyle w:val="BodyText"/>
        <w:spacing w:line="360" w:lineRule="auto" w:after="120"/>
        <w:ind w:firstLine="420"/>
      </w:pPr>
      <w:r>
        <w:rPr>
          <w:rFonts w:hint="eastAsia"/>
        </w:rPr>
        <w:t xml:space="preserve">因此，项目的市场定位可以归纳为：</w:t>
      </w:r>
    </w:p>
    <w:p>
      <w:pPr>
        <w:pStyle w:val="BodyText"/>
        <w:spacing w:line="360" w:lineRule="auto" w:after="120"/>
        <w:ind w:firstLine="420"/>
      </w:pPr>
      <w:r>
        <w:rPr>
          <w:rStyle w:val="VerbatimChar"/>
          <w:rFonts w:hint="eastAsia"/>
        </w:rPr>
        <w:t xml:space="preserve">新能源场景中的可信数据服务平台</w:t>
      </w:r>
    </w:p>
    <w:p>
      <w:pPr>
        <w:pStyle w:val="BodyText"/>
        <w:spacing w:line="360" w:lineRule="auto" w:after="120"/>
        <w:ind w:firstLine="420"/>
      </w:pPr>
      <w:r>
        <w:rPr>
          <w:rFonts w:hint="eastAsia"/>
        </w:rPr>
        <w:t xml:space="preserve">更具体地说：</w:t>
      </w:r>
    </w:p>
    <w:p>
      <w:pPr>
        <w:pStyle w:val="Compact"/>
        <w:numPr>
          <w:ilvl w:val="0"/>
          <w:numId w:val="1005"/>
        </w:numPr>
      </w:pPr>
      <w:r>
        <w:rPr>
          <w:rFonts w:hint="eastAsia"/>
        </w:rPr>
        <w:t xml:space="preserve">对传统监控平台，</w:t>
      </w:r>
      <w:r>
        <w:rPr>
          <w:rStyle w:val="VerbatimChar"/>
        </w:rPr>
        <w:t xml:space="preserve">SolarGuard</w:t>
      </w:r>
      <w:r>
        <w:t xml:space="preserve"> </w:t>
      </w:r>
      <w:r>
        <w:rPr>
          <w:rFonts w:hint="eastAsia"/>
        </w:rPr>
        <w:t xml:space="preserve">强调可信采集和可追溯记录</w:t>
      </w:r>
    </w:p>
    <w:p>
      <w:pPr>
        <w:pStyle w:val="Compact"/>
        <w:numPr>
          <w:ilvl w:val="0"/>
          <w:numId w:val="1005"/>
        </w:numPr>
      </w:pPr>
      <w:r>
        <w:rPr>
          <w:rFonts w:hint="eastAsia"/>
        </w:rPr>
        <w:t xml:space="preserve">对上层金融和治理场景，</w:t>
      </w:r>
      <w:r>
        <w:rPr>
          <w:rStyle w:val="VerbatimChar"/>
        </w:rPr>
        <w:t xml:space="preserve">SolarGuard</w:t>
      </w:r>
      <w:r>
        <w:t xml:space="preserve"> </w:t>
      </w:r>
      <w:r>
        <w:rPr>
          <w:rFonts w:hint="eastAsia"/>
        </w:rPr>
        <w:t xml:space="preserve">强调底层真实数据支撑</w:t>
      </w:r>
    </w:p>
    <w:p>
      <w:pPr>
        <w:pStyle w:val="Compact"/>
        <w:numPr>
          <w:ilvl w:val="0"/>
          <w:numId w:val="1005"/>
        </w:numPr>
      </w:pPr>
      <w:r>
        <w:rPr>
          <w:rFonts w:hint="eastAsia"/>
        </w:rPr>
        <w:t xml:space="preserve">对区块链类项目，</w:t>
      </w:r>
      <w:r>
        <w:rPr>
          <w:rStyle w:val="VerbatimChar"/>
        </w:rPr>
        <w:t xml:space="preserve">SolarGuard</w:t>
      </w:r>
      <w:r>
        <w:t xml:space="preserve"> </w:t>
      </w:r>
      <w:r>
        <w:rPr>
          <w:rFonts w:hint="eastAsia"/>
        </w:rPr>
        <w:t xml:space="preserve">强调真实场景和数据源头</w:t>
      </w:r>
    </w:p>
    <w:p>
      <w:pPr>
        <w:pStyle w:val="FirstParagraph"/>
        <w:spacing w:line="360" w:lineRule="auto" w:after="120"/>
        <w:ind w:firstLine="420"/>
      </w:pPr>
      <w:r>
        <w:rPr>
          <w:rFonts w:hint="eastAsia"/>
        </w:rPr>
        <w:t xml:space="preserve">这种定位使项目既避免陷入与大型综合平台的正面竞争，也形成了较明确的差异化切口。</w:t>
      </w:r>
    </w:p>
    <w:p>
      <w:pPr>
        <w:pStyle w:val="CaptionedFigure"/>
      </w:pPr>
      <w:r>
        <w:drawing>
          <wp:inline>
            <wp:extent cx="5334000" cy="3190677"/>
            <wp:effectExtent b="0" l="0" r="0" t="0"/>
            <wp:docPr descr="插图" title="" id="104" name="Picture"/>
            <a:graphic>
              <a:graphicData uri="http://schemas.openxmlformats.org/drawingml/2006/picture">
                <pic:pic>
                  <pic:nvPicPr>
                    <pic:cNvPr descr="/Users/evanhan/项目/光伏项目/比赛材料/素材库/最终图片/08_市场定位图.png" id="105" name="Picture"/>
                    <pic:cNvPicPr>
                      <a:picLocks noChangeArrowheads="1" noChangeAspect="1"/>
                    </pic:cNvPicPr>
                  </pic:nvPicPr>
                  <pic:blipFill>
                    <a:blip r:embed="rId103"/>
                    <a:stretch>
                      <a:fillRect/>
                    </a:stretch>
                  </pic:blipFill>
                  <pic:spPr bwMode="auto">
                    <a:xfrm>
                      <a:off x="0" y="0"/>
                      <a:ext cx="5334000" cy="3190677"/>
                    </a:xfrm>
                    <a:prstGeom prst="rect">
                      <a:avLst/>
                    </a:prstGeom>
                    <a:noFill/>
                    <a:ln w="9525">
                      <a:noFill/>
                      <a:headEnd/>
                      <a:tailEnd/>
                    </a:ln>
                  </pic:spPr>
                </pic:pic>
              </a:graphicData>
            </a:graphic>
          </wp:inline>
        </w:drawing>
      </w:r>
    </w:p>
    <w:p>
      <w:pPr>
        <w:pStyle w:val="ImageCaption"/>
      </w:pPr>
      <w:r>
        <w:rPr>
          <w:rFonts w:hint="eastAsia"/>
        </w:rPr>
        <w:t xml:space="preserve">插图</w:t>
      </w:r>
    </w:p>
    <w:bookmarkEnd w:id="106"/>
    <w:bookmarkStart w:id="107" w:name="竞争分析"/>
    <w:p>
      <w:pPr>
        <w:pStyle w:val="Heading2"/>
      </w:pPr>
      <w:r>
        <w:t xml:space="preserve">5.6 </w:t>
      </w:r>
      <w:r>
        <w:rPr>
          <w:rFonts w:hint="eastAsia"/>
        </w:rPr>
        <w:t xml:space="preserve">竞争分析</w:t>
      </w:r>
    </w:p>
    <w:p>
      <w:pPr>
        <w:pStyle w:val="FirstParagraph"/>
        <w:spacing w:line="360" w:lineRule="auto" w:after="120"/>
        <w:ind w:firstLine="420"/>
      </w:pPr>
      <w:r>
        <w:rPr>
          <w:rFonts w:hint="eastAsia"/>
        </w:rPr>
        <w:t xml:space="preserve">从竞争结构看，</w:t>
      </w:r>
      <w:r>
        <w:rPr>
          <w:rStyle w:val="VerbatimChar"/>
        </w:rPr>
        <w:t xml:space="preserve">SolarGuard</w:t>
      </w:r>
      <w:r>
        <w:t xml:space="preserve"> </w:t>
      </w:r>
      <w:r>
        <w:rPr>
          <w:rFonts w:hint="eastAsia"/>
        </w:rPr>
        <w:t xml:space="preserve">面临的不是单一竞争者，而是几类不同类型的现有方案。</w:t>
      </w:r>
    </w:p>
    <w:p>
      <w:pPr>
        <w:pStyle w:val="BodyText"/>
        <w:spacing w:line="360" w:lineRule="auto" w:after="120"/>
        <w:ind w:firstLine="420"/>
      </w:pPr>
      <w:r>
        <w:rPr>
          <w:rFonts w:hint="eastAsia"/>
        </w:rPr>
        <w:t xml:space="preserve">第一类竞争者是传统能源监控和运维平台。这类平台在设备接入、远程监测和运维管理方面较为成熟，但通常更偏向“状态可视化”和“运维支撑”，较少把可信确权、多方核验和绿色资产场景作为核心能力。</w:t>
      </w:r>
    </w:p>
    <w:p>
      <w:pPr>
        <w:pStyle w:val="BodyText"/>
        <w:spacing w:line="360" w:lineRule="auto" w:after="120"/>
        <w:ind w:firstLine="420"/>
      </w:pPr>
      <w:r>
        <w:rPr>
          <w:rFonts w:hint="eastAsia"/>
        </w:rPr>
        <w:t xml:space="preserve">第二类竞争者是通用区块链存证平台。这类方案能够提供上链和追溯能力，但往往没有深度结合新能源设备采集和具体业务场景，容易缺乏现实落点。</w:t>
      </w:r>
    </w:p>
    <w:p>
      <w:pPr>
        <w:pStyle w:val="BodyText"/>
        <w:spacing w:line="360" w:lineRule="auto" w:after="120"/>
        <w:ind w:firstLine="420"/>
      </w:pPr>
      <w:r>
        <w:rPr>
          <w:rFonts w:hint="eastAsia"/>
        </w:rPr>
        <w:t xml:space="preserve">第三类竞争者是</w:t>
      </w:r>
      <w:r>
        <w:t xml:space="preserve"> </w:t>
      </w:r>
      <w:r>
        <w:rPr>
          <w:rFonts w:hint="eastAsia"/>
        </w:rPr>
        <w:t xml:space="preserve">ESG、绿色金融或数据服务类平台。这类平台贴近上层应用，但通常缺少底层设备接入和源头数据确权能力，因此在数据真实性和持续性方面存在短板。</w:t>
      </w:r>
    </w:p>
    <w:p>
      <w:pPr>
        <w:pStyle w:val="BodyText"/>
        <w:spacing w:line="360" w:lineRule="auto" w:after="120"/>
        <w:ind w:firstLine="420"/>
      </w:pPr>
      <w:r>
        <w:rPr>
          <w:rFonts w:hint="eastAsia"/>
        </w:rPr>
        <w:t xml:space="preserve">相比之下，</w:t>
      </w:r>
      <w:r>
        <w:rPr>
          <w:rStyle w:val="VerbatimChar"/>
        </w:rPr>
        <w:t xml:space="preserve">SolarGuard</w:t>
      </w:r>
      <w:r>
        <w:t xml:space="preserve"> </w:t>
      </w:r>
      <w:r>
        <w:rPr>
          <w:rFonts w:hint="eastAsia"/>
        </w:rPr>
        <w:t xml:space="preserve">的差异化优势主要体现在以下三个方面。</w:t>
      </w:r>
    </w:p>
    <w:p>
      <w:pPr>
        <w:pStyle w:val="BodyText"/>
        <w:spacing w:line="360" w:lineRule="auto" w:after="120"/>
        <w:ind w:firstLine="420"/>
      </w:pPr>
      <w:r>
        <w:rPr>
          <w:rFonts w:hint="eastAsia"/>
        </w:rPr>
        <w:t xml:space="preserve">第一，项目具有真实设备采集基础，不是只处理“已经存在的数据”。</w:t>
      </w:r>
      <w:r>
        <w:br/>
      </w:r>
      <w:r>
        <w:rPr>
          <w:rFonts w:hint="eastAsia"/>
        </w:rPr>
        <w:t xml:space="preserve">第二，项目同时具备可信存证与可视化能力，而不是单点工具。</w:t>
      </w:r>
      <w:r>
        <w:br/>
      </w:r>
      <w:r>
        <w:rPr>
          <w:rFonts w:hint="eastAsia"/>
        </w:rPr>
        <w:t xml:space="preserve">第三，项目从一开始就围绕绿证衔接、ESG</w:t>
      </w:r>
      <w:r>
        <w:t xml:space="preserve"> </w:t>
      </w:r>
      <w:r>
        <w:rPr>
          <w:rFonts w:hint="eastAsia"/>
        </w:rPr>
        <w:t xml:space="preserve">披露和绿色金融辅助场景思考，而不是只停留在技术展示层。</w:t>
      </w:r>
    </w:p>
    <w:p>
      <w:pPr>
        <w:pStyle w:val="BodyText"/>
        <w:spacing w:line="360" w:lineRule="auto" w:after="120"/>
        <w:ind w:firstLine="420"/>
      </w:pPr>
      <w:r>
        <w:rPr>
          <w:rFonts w:hint="eastAsia"/>
        </w:rPr>
        <w:t xml:space="preserve">这种差异化使项目在比赛阶段具备较强的逻辑说服力，也为未来进一步细分赛道提供了空间。</w:t>
      </w:r>
    </w:p>
    <w:bookmarkEnd w:id="107"/>
    <w:bookmarkStart w:id="108" w:name="市场机会判断"/>
    <w:p>
      <w:pPr>
        <w:pStyle w:val="Heading2"/>
      </w:pPr>
      <w:r>
        <w:t xml:space="preserve">5.7 </w:t>
      </w:r>
      <w:r>
        <w:rPr>
          <w:rFonts w:hint="eastAsia"/>
        </w:rPr>
        <w:t xml:space="preserve">市场机会判断</w:t>
      </w:r>
    </w:p>
    <w:p>
      <w:pPr>
        <w:pStyle w:val="FirstParagraph"/>
        <w:spacing w:line="360" w:lineRule="auto" w:after="120"/>
        <w:ind w:firstLine="420"/>
      </w:pPr>
      <w:r>
        <w:rPr>
          <w:rFonts w:hint="eastAsia"/>
        </w:rPr>
        <w:t xml:space="preserve">从当前环境看，</w:t>
      </w:r>
      <w:r>
        <w:rPr>
          <w:rStyle w:val="VerbatimChar"/>
        </w:rPr>
        <w:t xml:space="preserve">SolarGuard</w:t>
      </w:r>
      <w:r>
        <w:t xml:space="preserve"> </w:t>
      </w:r>
      <w:r>
        <w:rPr>
          <w:rFonts w:hint="eastAsia"/>
        </w:rPr>
        <w:t xml:space="preserve">的市场机会主要来自三个趋势的叠加。</w:t>
      </w:r>
    </w:p>
    <w:p>
      <w:pPr>
        <w:pStyle w:val="BodyText"/>
        <w:spacing w:line="360" w:lineRule="auto" w:after="120"/>
        <w:ind w:firstLine="420"/>
      </w:pPr>
      <w:r>
        <w:rPr>
          <w:rFonts w:hint="eastAsia"/>
        </w:rPr>
        <w:t xml:space="preserve">第一，分布式光伏持续增长，带来海量设备数据和运维管理需求。随着项目数量增加，围绕数据采集、管理、核验和评价的需求将同步放大。</w:t>
      </w:r>
    </w:p>
    <w:p>
      <w:pPr>
        <w:pStyle w:val="BodyText"/>
        <w:spacing w:line="360" w:lineRule="auto" w:after="120"/>
        <w:ind w:firstLine="420"/>
      </w:pPr>
      <w:r>
        <w:rPr>
          <w:rFonts w:hint="eastAsia"/>
        </w:rPr>
        <w:t xml:space="preserve">第二，绿证制度、ESG</w:t>
      </w:r>
      <w:r>
        <w:t xml:space="preserve"> </w:t>
      </w:r>
      <w:r>
        <w:rPr>
          <w:rFonts w:hint="eastAsia"/>
        </w:rPr>
        <w:t xml:space="preserve">披露和绿色金融正在不断加强对底层真实数据的需求。数据一旦从“辅助信息”转变为“治理依据”和“判断依据”，可信数据平台的价值就会明显提升。</w:t>
      </w:r>
    </w:p>
    <w:p>
      <w:pPr>
        <w:pStyle w:val="BodyText"/>
        <w:spacing w:line="360" w:lineRule="auto" w:after="120"/>
        <w:ind w:firstLine="420"/>
      </w:pPr>
      <w:r>
        <w:rPr>
          <w:rFonts w:hint="eastAsia"/>
        </w:rPr>
        <w:t xml:space="preserve">第三，国家推动数据要素和可信数据空间建设，为项目提供了更大的政策空间。新能源行业中的可信数据能力，不仅具备业务意义，也具备制度意义和战略意义。</w:t>
      </w:r>
    </w:p>
    <w:p>
      <w:pPr>
        <w:pStyle w:val="BodyText"/>
        <w:spacing w:line="360" w:lineRule="auto" w:after="120"/>
        <w:ind w:firstLine="420"/>
      </w:pPr>
      <w:r>
        <w:rPr>
          <w:rFonts w:hint="eastAsia"/>
        </w:rPr>
        <w:t xml:space="preserve">正是由于这三重趋势叠加，</w:t>
      </w:r>
      <w:r>
        <w:rPr>
          <w:rStyle w:val="VerbatimChar"/>
        </w:rPr>
        <w:t xml:space="preserve">SolarGuard</w:t>
      </w:r>
      <w:r>
        <w:t xml:space="preserve"> </w:t>
      </w:r>
      <w:r>
        <w:rPr>
          <w:rFonts w:hint="eastAsia"/>
        </w:rPr>
        <w:t xml:space="preserve">虽然仍处于原型阶段，但其所瞄准的问题是真实且持续扩大的，项目具备从实验型原型向场景型服务平台逐步演化的市场可能。</w:t>
      </w:r>
    </w:p>
    <w:p>
      <w:pPr>
        <w:pStyle w:val="BlockText"/>
      </w:pPr>
      <w:r>
        <w:rPr>
          <w:rFonts w:hint="eastAsia"/>
          <w:i/>
          <w:color w:val="6B7280"/>
        </w:rPr>
        <w:t xml:space="preserve">说明：市场机会逻辑图</w:t>
      </w:r>
      <w:r>
        <w:rPr>
          <w:i/>
          <w:color w:val="6B7280"/>
        </w:rPr>
        <w:t xml:space="preserve"> </w:t>
      </w:r>
      <w:r>
        <w:rPr>
          <w:rFonts w:hint="eastAsia"/>
          <w:i/>
          <w:color w:val="6B7280"/>
        </w:rPr>
        <w:t xml:space="preserve">当前不放入正文图片版，后续可在附录或补充材料中加入。</w:t>
      </w:r>
    </w:p>
    <w:p>
      <w:pPr>
        <w:pStyle w:val="BlockText"/>
      </w:pPr>
      <w:r>
        <w:rPr>
          <w:rFonts w:hint="eastAsia"/>
          <w:i/>
          <w:color w:val="6B7280"/>
        </w:rPr>
        <w:t xml:space="preserve">待补表格：痛点-用户-价值对照表</w:t>
      </w:r>
    </w:p>
    <w:p>
      <w:pPr>
        <w:pStyle w:val="BlockText"/>
      </w:pPr>
      <w:r>
        <w:rPr>
          <w:rFonts w:hint="eastAsia"/>
          <w:i/>
          <w:color w:val="6B7280"/>
        </w:rPr>
        <w:t xml:space="preserve">待补表格：竞争分析表</w:t>
      </w:r>
    </w:p>
    <w:bookmarkEnd w:id="108"/>
    <w:bookmarkStart w:id="109" w:name="本章结论-3"/>
    <w:p>
      <w:pPr>
        <w:pStyle w:val="Heading2"/>
      </w:pPr>
      <w:r>
        <w:t xml:space="preserve">5.8 </w:t>
      </w:r>
      <w:r>
        <w:rPr>
          <w:rFonts w:hint="eastAsia"/>
        </w:rPr>
        <w:t xml:space="preserve">本章结论</w:t>
      </w:r>
    </w:p>
    <w:p>
      <w:pPr>
        <w:pStyle w:val="FirstParagraph"/>
        <w:spacing w:line="360" w:lineRule="auto" w:after="120"/>
        <w:ind w:firstLine="420"/>
      </w:pPr>
      <w:r>
        <w:rPr>
          <w:rFonts w:hint="eastAsia"/>
        </w:rPr>
        <w:t xml:space="preserve">总体来看，</w:t>
      </w:r>
      <w:r>
        <w:rPr>
          <w:rStyle w:val="VerbatimChar"/>
        </w:rPr>
        <w:t xml:space="preserve">SolarGuard</w:t>
      </w:r>
      <w:r>
        <w:t xml:space="preserve"> </w:t>
      </w:r>
      <w:r>
        <w:rPr>
          <w:rFonts w:hint="eastAsia"/>
        </w:rPr>
        <w:t xml:space="preserve">面向的不是一个狭窄的小众技术市场，而是由分布式光伏数字化、可信数据基础设施、绿证衔接、ESG</w:t>
      </w:r>
      <w:r>
        <w:t xml:space="preserve"> </w:t>
      </w:r>
      <w:r>
        <w:rPr>
          <w:rFonts w:hint="eastAsia"/>
        </w:rPr>
        <w:t xml:space="preserve">披露和绿色金融辅助服务共同构成的新兴应用空间。</w:t>
      </w:r>
    </w:p>
    <w:p>
      <w:pPr>
        <w:pStyle w:val="BodyText"/>
        <w:spacing w:line="360" w:lineRule="auto" w:after="120"/>
        <w:ind w:firstLine="420"/>
      </w:pPr>
      <w:r>
        <w:rPr>
          <w:rFonts w:hint="eastAsia"/>
        </w:rPr>
        <w:t xml:space="preserve">项目当前切入点选择合理，即先从分布式光伏数据采集、留痕和可信存证做起，再逐步向更高价值的业务场景延伸。这种路径既符合项目现有完成度，也符合市场发展规律。对比赛申报而言，这说明项目不仅“技术上成立”，而且“场景上有需求、市场上有空间、未来上有延展性”，具备进一步论证商业模式和推广路径的基础。</w:t>
      </w:r>
    </w:p>
    <w:p>
      <w:pPr>
        <w:spacing w:line="360" w:lineRule="auto" w:after="120"/>
        <w:ind w:firstLine="420"/>
      </w:pPr>
      <w:r>
        <w:pict>
          <v:rect style="width:0;height:1.5pt" o:hralign="center" o:hrstd="t" o:hr="t"/>
        </w:pict>
      </w:r>
    </w:p>
    <w:bookmarkEnd w:id="109"/>
    <w:bookmarkEnd w:id="110"/>
    <w:bookmarkStart w:id="130" w:name="第六章-商业模式与推广路径"/>
    <w:p>
      <w:pPr>
        <w:pStyle w:val="Heading1"/>
        <w:jc w:val="left"/>
      </w:pPr>
      <w:r>
        <w:rPr>
          <w:rFonts w:hint="eastAsia"/>
        </w:rPr>
        <w:t xml:space="preserve">第六章</w:t>
        <w:br w:type="page"/>
      </w:r>
      <w:r>
        <w:t xml:space="preserve"> </w:t>
      </w:r>
      <w:r>
        <w:rPr>
          <w:rFonts w:hint="eastAsia"/>
        </w:rPr>
        <w:t xml:space="preserve">商业模式与推广路径</w:t>
      </w:r>
    </w:p>
    <w:bookmarkStart w:id="111" w:name="商业模式设计逻辑"/>
    <w:p>
      <w:pPr>
        <w:pStyle w:val="Heading2"/>
      </w:pPr>
      <w:r>
        <w:t xml:space="preserve">6.1 </w:t>
      </w:r>
      <w:r>
        <w:rPr>
          <w:rFonts w:hint="eastAsia"/>
        </w:rPr>
        <w:t xml:space="preserve">商业模式设计逻辑</w:t>
      </w:r>
    </w:p>
    <w:p>
      <w:pPr>
        <w:pStyle w:val="FirstParagraph"/>
        <w:spacing w:line="360" w:lineRule="auto" w:after="120"/>
        <w:ind w:firstLine="420"/>
      </w:pPr>
      <w:r>
        <w:rPr>
          <w:rStyle w:val="VerbatimChar"/>
        </w:rPr>
        <w:t xml:space="preserve">SolarGuard</w:t>
      </w:r>
      <w:r>
        <w:t xml:space="preserve"> </w:t>
      </w:r>
      <w:r>
        <w:rPr>
          <w:rFonts w:hint="eastAsia"/>
        </w:rPr>
        <w:t xml:space="preserve">当前仍处于原型验证与材料整合阶段，因此项目的商业模式设计不能简单照搬成熟企业的营收模型，而应建立在“现有能力真实、市场路径可行、未来增长有逻辑”的基础之上。也就是说，项目现阶段的商业模式不是证明“已经大规模盈利”，而是证明“具备清晰的价值实现路径”。</w:t>
      </w:r>
    </w:p>
    <w:p>
      <w:pPr>
        <w:pStyle w:val="BodyText"/>
        <w:spacing w:line="360" w:lineRule="auto" w:after="120"/>
        <w:ind w:firstLine="420"/>
      </w:pPr>
      <w:r>
        <w:rPr>
          <w:rFonts w:hint="eastAsia"/>
        </w:rPr>
        <w:t xml:space="preserve">从本质上看，</w:t>
      </w:r>
      <w:r>
        <w:rPr>
          <w:rStyle w:val="VerbatimChar"/>
        </w:rPr>
        <w:t xml:space="preserve">SolarGuard</w:t>
      </w:r>
      <w:r>
        <w:t xml:space="preserve"> </w:t>
      </w:r>
      <w:r>
        <w:rPr>
          <w:rFonts w:hint="eastAsia"/>
        </w:rPr>
        <w:t xml:space="preserve">所提供的不是单一软件功能，而是一种新能源场景中的可信数据服务能力。围绕这项能力，项目未来的商业化并不依赖单一收入来源，而更适合采用“平台能力</w:t>
      </w:r>
      <w:r>
        <w:t xml:space="preserve"> + </w:t>
      </w:r>
      <w:r>
        <w:rPr>
          <w:rFonts w:hint="eastAsia"/>
        </w:rPr>
        <w:t xml:space="preserve">场景服务</w:t>
      </w:r>
      <w:r>
        <w:t xml:space="preserve"> + </w:t>
      </w:r>
      <w:r>
        <w:rPr>
          <w:rFonts w:hint="eastAsia"/>
        </w:rPr>
        <w:t xml:space="preserve">项目合作”的复合型模式。</w:t>
      </w:r>
    </w:p>
    <w:p>
      <w:pPr>
        <w:pStyle w:val="BodyText"/>
        <w:spacing w:line="360" w:lineRule="auto" w:after="120"/>
        <w:ind w:firstLine="420"/>
      </w:pPr>
      <w:r>
        <w:rPr>
          <w:rFonts w:hint="eastAsia"/>
        </w:rPr>
        <w:t xml:space="preserve">这一模式的核心逻辑是：</w:t>
      </w:r>
    </w:p>
    <w:p>
      <w:pPr>
        <w:pStyle w:val="Compact"/>
        <w:numPr>
          <w:ilvl w:val="0"/>
          <w:numId w:val="1006"/>
        </w:numPr>
      </w:pPr>
      <w:r>
        <w:rPr>
          <w:rFonts w:hint="eastAsia"/>
        </w:rPr>
        <w:t xml:space="preserve">先以可信数据采集和留痕服务切入真实场景</w:t>
      </w:r>
    </w:p>
    <w:p>
      <w:pPr>
        <w:pStyle w:val="Compact"/>
        <w:numPr>
          <w:ilvl w:val="0"/>
          <w:numId w:val="1006"/>
        </w:numPr>
      </w:pPr>
      <w:r>
        <w:rPr>
          <w:rFonts w:hint="eastAsia"/>
        </w:rPr>
        <w:t xml:space="preserve">再逐步向核验、审计、绿色资产服务和机构合作场景扩展</w:t>
      </w:r>
    </w:p>
    <w:p>
      <w:pPr>
        <w:pStyle w:val="Compact"/>
        <w:numPr>
          <w:ilvl w:val="0"/>
          <w:numId w:val="1006"/>
        </w:numPr>
      </w:pPr>
      <w:r>
        <w:rPr>
          <w:rFonts w:hint="eastAsia"/>
        </w:rPr>
        <w:t xml:space="preserve">最终形成面向新能源项目和绿色金融场景的数据服务平台</w:t>
      </w:r>
    </w:p>
    <w:p>
      <w:pPr>
        <w:pStyle w:val="FirstParagraph"/>
        <w:spacing w:line="360" w:lineRule="auto" w:after="120"/>
        <w:ind w:firstLine="420"/>
      </w:pPr>
      <w:r>
        <w:rPr>
          <w:rFonts w:hint="eastAsia"/>
        </w:rPr>
        <w:t xml:space="preserve">这种路径既与项目当前技术成熟度匹配，也更符合分布式光伏行业“先做试点验证、再做规模复制”的发展规律。</w:t>
      </w:r>
    </w:p>
    <w:p>
      <w:pPr>
        <w:pStyle w:val="BlockText"/>
      </w:pPr>
      <w:r>
        <w:rPr>
          <w:rFonts w:hint="eastAsia"/>
          <w:i/>
          <w:color w:val="6B7280"/>
        </w:rPr>
        <w:t xml:space="preserve">说明：商业模式画布简化图</w:t>
      </w:r>
      <w:r>
        <w:rPr>
          <w:i/>
          <w:color w:val="6B7280"/>
        </w:rPr>
        <w:t xml:space="preserve"> </w:t>
      </w:r>
      <w:r>
        <w:rPr>
          <w:rFonts w:hint="eastAsia"/>
          <w:i/>
          <w:color w:val="6B7280"/>
        </w:rPr>
        <w:t xml:space="preserve">当前不放入正文图片版，后续可在附录或补充材料中加入。</w:t>
      </w:r>
    </w:p>
    <w:bookmarkEnd w:id="111"/>
    <w:bookmarkStart w:id="112" w:name="核心价值主张"/>
    <w:p>
      <w:pPr>
        <w:pStyle w:val="Heading2"/>
      </w:pPr>
      <w:r>
        <w:t xml:space="preserve">6.2 </w:t>
      </w:r>
      <w:r>
        <w:rPr>
          <w:rFonts w:hint="eastAsia"/>
        </w:rPr>
        <w:t xml:space="preserve">核心价值主张</w:t>
      </w:r>
    </w:p>
    <w:p>
      <w:pPr>
        <w:pStyle w:val="FirstParagraph"/>
        <w:spacing w:line="360" w:lineRule="auto" w:after="120"/>
        <w:ind w:firstLine="420"/>
      </w:pPr>
      <w:r>
        <w:rPr>
          <w:rStyle w:val="VerbatimChar"/>
        </w:rPr>
        <w:t xml:space="preserve">SolarGuard</w:t>
      </w:r>
      <w:r>
        <w:t xml:space="preserve"> </w:t>
      </w:r>
      <w:r>
        <w:rPr>
          <w:rFonts w:hint="eastAsia"/>
        </w:rPr>
        <w:t xml:space="preserve">的商业价值建立在三个层面的价值主张之上。</w:t>
      </w:r>
    </w:p>
    <w:p>
      <w:pPr>
        <w:pStyle w:val="BodyText"/>
        <w:spacing w:line="360" w:lineRule="auto" w:after="120"/>
        <w:ind w:firstLine="420"/>
      </w:pPr>
      <w:r>
        <w:rPr>
          <w:rFonts w:hint="eastAsia"/>
        </w:rPr>
        <w:t xml:space="preserve">第一，对分布式光伏运营方和能源管理主体而言，项目提供的是</w:t>
      </w:r>
      <w:r>
        <w:t xml:space="preserve"> </w:t>
      </w:r>
      <w:r>
        <w:rPr>
          <w:rStyle w:val="VerbatimChar"/>
          <w:rFonts w:hint="eastAsia"/>
        </w:rPr>
        <w:t xml:space="preserve">更可信、更连续、更易留存的数据能力</w:t>
      </w:r>
      <w:r>
        <w:rPr>
          <w:rFonts w:hint="eastAsia"/>
        </w:rPr>
        <w:t xml:space="preserve">。这类用户需要的不只是一个监控页面，而是一套能够长期记录、形成历史证据并支持后续管理的系统。项目可以帮助他们降低人工整理成本、提高数据规范性，并为未来对接更高层场景打下基础。</w:t>
      </w:r>
    </w:p>
    <w:p>
      <w:pPr>
        <w:pStyle w:val="BodyText"/>
        <w:spacing w:line="360" w:lineRule="auto" w:after="120"/>
        <w:ind w:firstLine="420"/>
      </w:pPr>
      <w:r>
        <w:rPr>
          <w:rFonts w:hint="eastAsia"/>
        </w:rPr>
        <w:t xml:space="preserve">第二，对需要进行核验和判断的机构用户而言，项目提供的是</w:t>
      </w:r>
      <w:r>
        <w:t xml:space="preserve"> </w:t>
      </w:r>
      <w:r>
        <w:rPr>
          <w:rStyle w:val="VerbatimChar"/>
          <w:rFonts w:hint="eastAsia"/>
        </w:rPr>
        <w:t xml:space="preserve">更低成本的可信数据支撑</w:t>
      </w:r>
      <w:r>
        <w:rPr>
          <w:rFonts w:hint="eastAsia"/>
        </w:rPr>
        <w:t xml:space="preserve">。无论是</w:t>
      </w:r>
      <w:r>
        <w:t xml:space="preserve"> ESG </w:t>
      </w:r>
      <w:r>
        <w:rPr>
          <w:rFonts w:hint="eastAsia"/>
        </w:rPr>
        <w:t xml:space="preserve">服务机构、审计主体还是绿色金融机构，最终都需要判断项目是否真实、数据是否可靠、运行是否稳定。</w:t>
      </w:r>
      <w:r>
        <w:rPr>
          <w:rStyle w:val="VerbatimChar"/>
        </w:rPr>
        <w:t xml:space="preserve">SolarGuard</w:t>
      </w:r>
      <w:r>
        <w:t xml:space="preserve"> </w:t>
      </w:r>
      <w:r>
        <w:rPr>
          <w:rFonts w:hint="eastAsia"/>
        </w:rPr>
        <w:t xml:space="preserve">的价值就在于为这类判断提供更接近源头的数据支撑。</w:t>
      </w:r>
    </w:p>
    <w:p>
      <w:pPr>
        <w:pStyle w:val="BodyText"/>
        <w:spacing w:line="360" w:lineRule="auto" w:after="120"/>
        <w:ind w:firstLine="420"/>
      </w:pPr>
      <w:r>
        <w:rPr>
          <w:rFonts w:hint="eastAsia"/>
        </w:rPr>
        <w:t xml:space="preserve">第三，对未来的政策衔接和绿色资产服务场景而言，项目提供的是</w:t>
      </w:r>
      <w:r>
        <w:t xml:space="preserve"> </w:t>
      </w:r>
      <w:r>
        <w:rPr>
          <w:rStyle w:val="VerbatimChar"/>
          <w:rFonts w:hint="eastAsia"/>
        </w:rPr>
        <w:t xml:space="preserve">面向新能源场景的可信数据底座</w:t>
      </w:r>
      <w:r>
        <w:rPr>
          <w:rFonts w:hint="eastAsia"/>
        </w:rPr>
        <w:t xml:space="preserve">。它不直接承担所有上层业务，但可以作为这些业务的底层基础设施，提高后续系统和服务的可信度与效率。</w:t>
      </w:r>
    </w:p>
    <w:p>
      <w:pPr>
        <w:pStyle w:val="BodyText"/>
        <w:spacing w:line="360" w:lineRule="auto" w:after="120"/>
        <w:ind w:firstLine="420"/>
      </w:pPr>
      <w:r>
        <w:rPr>
          <w:rFonts w:hint="eastAsia"/>
        </w:rPr>
        <w:t xml:space="preserve">因此，</w:t>
      </w:r>
      <w:r>
        <w:rPr>
          <w:rStyle w:val="VerbatimChar"/>
        </w:rPr>
        <w:t xml:space="preserve">SolarGuard</w:t>
      </w:r>
      <w:r>
        <w:t xml:space="preserve"> </w:t>
      </w:r>
      <w:r>
        <w:rPr>
          <w:rFonts w:hint="eastAsia"/>
        </w:rPr>
        <w:t xml:space="preserve">并不靠“卖一个概念”盈利，而是靠为不同主体降低数据获取成本、核验成本和协同成本来创造价值。</w:t>
      </w:r>
    </w:p>
    <w:bookmarkEnd w:id="112"/>
    <w:bookmarkStart w:id="117" w:name="商业模式构成"/>
    <w:p>
      <w:pPr>
        <w:pStyle w:val="Heading2"/>
      </w:pPr>
      <w:r>
        <w:t xml:space="preserve">6.3 </w:t>
      </w:r>
      <w:r>
        <w:rPr>
          <w:rFonts w:hint="eastAsia"/>
        </w:rPr>
        <w:t xml:space="preserve">商业模式构成</w:t>
      </w:r>
    </w:p>
    <w:p>
      <w:pPr>
        <w:pStyle w:val="FirstParagraph"/>
        <w:spacing w:line="360" w:lineRule="auto" w:after="120"/>
        <w:ind w:firstLine="420"/>
      </w:pPr>
      <w:r>
        <w:rPr>
          <w:rFonts w:hint="eastAsia"/>
        </w:rPr>
        <w:t xml:space="preserve">结合当前项目阶段和未来发展方向，</w:t>
      </w:r>
      <w:r>
        <w:rPr>
          <w:rStyle w:val="VerbatimChar"/>
        </w:rPr>
        <w:t xml:space="preserve">SolarGuard</w:t>
      </w:r>
      <w:r>
        <w:t xml:space="preserve"> </w:t>
      </w:r>
      <w:r>
        <w:rPr>
          <w:rFonts w:hint="eastAsia"/>
        </w:rPr>
        <w:t xml:space="preserve">的商业模式可分为四类。</w:t>
      </w:r>
    </w:p>
    <w:bookmarkStart w:id="113" w:name="平台部署与基础服务收费"/>
    <w:p>
      <w:pPr>
        <w:pStyle w:val="Heading3"/>
      </w:pPr>
      <w:r>
        <w:t xml:space="preserve">6.3.1 </w:t>
      </w:r>
      <w:r>
        <w:rPr>
          <w:rFonts w:hint="eastAsia"/>
        </w:rPr>
        <w:t xml:space="preserve">平台部署与基础服务收费</w:t>
      </w:r>
    </w:p>
    <w:p>
      <w:pPr>
        <w:pStyle w:val="FirstParagraph"/>
        <w:spacing w:line="360" w:lineRule="auto" w:after="120"/>
        <w:ind w:firstLine="420"/>
      </w:pPr>
      <w:r>
        <w:rPr>
          <w:rFonts w:hint="eastAsia"/>
        </w:rPr>
        <w:t xml:space="preserve">对于分布式光伏项目运营方、校园和园区能源管理主体，项目可提供基础型部署服务，包括设备数据采集、自动监测、历史记录管理和可视化展示等功能。未来在产品化之后，可按项目数量、设备数量或服务周期收取平台服务费。</w:t>
      </w:r>
    </w:p>
    <w:p>
      <w:pPr>
        <w:pStyle w:val="BodyText"/>
        <w:spacing w:line="360" w:lineRule="auto" w:after="120"/>
        <w:ind w:firstLine="420"/>
      </w:pPr>
      <w:r>
        <w:rPr>
          <w:rFonts w:hint="eastAsia"/>
        </w:rPr>
        <w:t xml:space="preserve">这一模式最接近项目当前能力，也是最容易从试点走向落地的基础收入来源。</w:t>
      </w:r>
    </w:p>
    <w:bookmarkEnd w:id="113"/>
    <w:bookmarkStart w:id="114" w:name="数据核验与报告服务收费"/>
    <w:p>
      <w:pPr>
        <w:pStyle w:val="Heading3"/>
      </w:pPr>
      <w:r>
        <w:t xml:space="preserve">6.3.2 </w:t>
      </w:r>
      <w:r>
        <w:rPr>
          <w:rFonts w:hint="eastAsia"/>
        </w:rPr>
        <w:t xml:space="preserve">数据核验与报告服务收费</w:t>
      </w:r>
    </w:p>
    <w:p>
      <w:pPr>
        <w:pStyle w:val="FirstParagraph"/>
        <w:spacing w:line="360" w:lineRule="auto" w:after="120"/>
        <w:ind w:firstLine="420"/>
      </w:pPr>
      <w:r>
        <w:rPr>
          <w:rFonts w:hint="eastAsia"/>
        </w:rPr>
        <w:t xml:space="preserve">在项目进一步完善后，可围绕光伏运行数据的可信记录和历史追溯，向需要证据链支撑的客户提供专项核验与报告服务。例如，为园区、企业、合作机构提供运行记录摘要、可信数据说明、历史曲线报告和项目留痕报告等。这类服务更偏向高附加值输出，适合在试点阶段形成较清晰的价值反馈。</w:t>
      </w:r>
    </w:p>
    <w:bookmarkEnd w:id="114"/>
    <w:bookmarkStart w:id="115" w:name="机构合作与场景定制服务"/>
    <w:p>
      <w:pPr>
        <w:pStyle w:val="Heading3"/>
      </w:pPr>
      <w:r>
        <w:t xml:space="preserve">6.3.3 </w:t>
      </w:r>
      <w:r>
        <w:rPr>
          <w:rFonts w:hint="eastAsia"/>
        </w:rPr>
        <w:t xml:space="preserve">机构合作与场景定制服务</w:t>
      </w:r>
    </w:p>
    <w:p>
      <w:pPr>
        <w:pStyle w:val="FirstParagraph"/>
        <w:spacing w:line="360" w:lineRule="auto" w:after="120"/>
        <w:ind w:firstLine="420"/>
      </w:pPr>
      <w:r>
        <w:rPr>
          <w:rFonts w:hint="eastAsia"/>
        </w:rPr>
        <w:t xml:space="preserve">对于</w:t>
      </w:r>
      <w:r>
        <w:t xml:space="preserve"> ESG </w:t>
      </w:r>
      <w:r>
        <w:rPr>
          <w:rFonts w:hint="eastAsia"/>
        </w:rPr>
        <w:t xml:space="preserve">服务机构、审计机构、绿色金融服务主体或新能源平台型客户，项目未来可以提供更具场景针对性的定制服务，例如接口对接、数据规则定制、场景化可视化方案和专项数据模块开发。这类模式的特点是单笔价值较高、合作深度较强，也更适合项目团队在早期通过少量合作案例建立样板。</w:t>
      </w:r>
    </w:p>
    <w:bookmarkEnd w:id="115"/>
    <w:bookmarkStart w:id="116" w:name="后续平台化增值服务"/>
    <w:p>
      <w:pPr>
        <w:pStyle w:val="Heading3"/>
      </w:pPr>
      <w:r>
        <w:t xml:space="preserve">6.3.4 </w:t>
      </w:r>
      <w:r>
        <w:rPr>
          <w:rFonts w:hint="eastAsia"/>
        </w:rPr>
        <w:t xml:space="preserve">后续平台化增值服务</w:t>
      </w:r>
    </w:p>
    <w:p>
      <w:pPr>
        <w:pStyle w:val="FirstParagraph"/>
        <w:spacing w:line="360" w:lineRule="auto" w:after="120"/>
        <w:ind w:firstLine="420"/>
      </w:pPr>
      <w:r>
        <w:rPr>
          <w:rFonts w:hint="eastAsia"/>
        </w:rPr>
        <w:t xml:space="preserve">当项目未来逐步从原型走向平台之后，还可进一步探索围绕绿证衔接、ESG</w:t>
      </w:r>
      <w:r>
        <w:t xml:space="preserve"> </w:t>
      </w:r>
      <w:r>
        <w:rPr>
          <w:rFonts w:hint="eastAsia"/>
        </w:rPr>
        <w:t xml:space="preserve">披露支持、绿色金融辅助尽调、项目审计留痕等方向的增值服务。这一部分暂不作为当前项目的核心变现依据，但可以作为中长期增长空间写入商业计划书，体现项目未来的扩展性。</w:t>
      </w:r>
    </w:p>
    <w:bookmarkEnd w:id="116"/>
    <w:bookmarkEnd w:id="117"/>
    <w:bookmarkStart w:id="121" w:name="商业路径设计"/>
    <w:p>
      <w:pPr>
        <w:pStyle w:val="Heading2"/>
      </w:pPr>
      <w:r>
        <w:t xml:space="preserve">6.4 </w:t>
      </w:r>
      <w:r>
        <w:rPr>
          <w:rFonts w:hint="eastAsia"/>
        </w:rPr>
        <w:t xml:space="preserve">商业路径设计</w:t>
      </w:r>
    </w:p>
    <w:p>
      <w:pPr>
        <w:pStyle w:val="FirstParagraph"/>
        <w:spacing w:line="360" w:lineRule="auto" w:after="120"/>
        <w:ind w:firstLine="420"/>
      </w:pPr>
      <w:r>
        <w:rPr>
          <w:rFonts w:hint="eastAsia"/>
        </w:rPr>
        <w:t xml:space="preserve">对于当前阶段的</w:t>
      </w:r>
      <w:r>
        <w:t xml:space="preserve"> </w:t>
      </w:r>
      <w:r>
        <w:rPr>
          <w:rStyle w:val="VerbatimChar"/>
        </w:rPr>
        <w:t xml:space="preserve">SolarGuard</w:t>
      </w:r>
      <w:r>
        <w:t xml:space="preserve"> </w:t>
      </w:r>
      <w:r>
        <w:rPr>
          <w:rFonts w:hint="eastAsia"/>
        </w:rPr>
        <w:t xml:space="preserve">来说，最合理的商业路径不是一开始追求“大规模铺开”，而应遵循“先验证、后复制、再平台化”的路线。</w:t>
      </w:r>
    </w:p>
    <w:p>
      <w:pPr>
        <w:pStyle w:val="BodyText"/>
        <w:spacing w:line="360" w:lineRule="auto" w:after="120"/>
        <w:ind w:firstLine="420"/>
      </w:pPr>
      <w:r>
        <w:rPr>
          <w:rFonts w:hint="eastAsia"/>
        </w:rPr>
        <w:t xml:space="preserve">第一步是</w:t>
      </w:r>
      <w:r>
        <w:t xml:space="preserve"> </w:t>
      </w:r>
      <w:r>
        <w:rPr>
          <w:rStyle w:val="VerbatimChar"/>
          <w:rFonts w:hint="eastAsia"/>
        </w:rPr>
        <w:t xml:space="preserve">原型验证与场景打磨</w:t>
      </w:r>
      <w:r>
        <w:rPr>
          <w:rFonts w:hint="eastAsia"/>
        </w:rPr>
        <w:t xml:space="preserve">。当前项目已经完成了技术原型和关键链路验证，接下来应通过比赛、立项和试点交流进一步明确最适合切入的真实场景，例如校园、园区、小规模分布式光伏项目或合作性示范项目。</w:t>
      </w:r>
    </w:p>
    <w:p>
      <w:pPr>
        <w:pStyle w:val="BodyText"/>
        <w:spacing w:line="360" w:lineRule="auto" w:after="120"/>
        <w:ind w:firstLine="420"/>
      </w:pPr>
      <w:r>
        <w:rPr>
          <w:rFonts w:hint="eastAsia"/>
        </w:rPr>
        <w:t xml:space="preserve">第二步是</w:t>
      </w:r>
      <w:r>
        <w:t xml:space="preserve"> </w:t>
      </w:r>
      <w:r>
        <w:rPr>
          <w:rStyle w:val="VerbatimChar"/>
          <w:rFonts w:hint="eastAsia"/>
        </w:rPr>
        <w:t xml:space="preserve">小范围试点与能力固化</w:t>
      </w:r>
      <w:r>
        <w:rPr>
          <w:rFonts w:hint="eastAsia"/>
        </w:rPr>
        <w:t xml:space="preserve">。在条件成熟后，项目可选择一至两个典型场景作为试点，验证数据采集、存证、展示和报告输出在真实环境中的稳定性和用户接受度。这个阶段的目标不是追求大规模收入，而是打磨服务流程和形成案例。</w:t>
      </w:r>
    </w:p>
    <w:p>
      <w:pPr>
        <w:pStyle w:val="BodyText"/>
        <w:spacing w:line="360" w:lineRule="auto" w:after="120"/>
        <w:ind w:firstLine="420"/>
      </w:pPr>
      <w:r>
        <w:rPr>
          <w:rFonts w:hint="eastAsia"/>
        </w:rPr>
        <w:t xml:space="preserve">第三步是</w:t>
      </w:r>
      <w:r>
        <w:t xml:space="preserve"> </w:t>
      </w:r>
      <w:r>
        <w:rPr>
          <w:rStyle w:val="VerbatimChar"/>
          <w:rFonts w:hint="eastAsia"/>
        </w:rPr>
        <w:t xml:space="preserve">模块化复制与平台化升级</w:t>
      </w:r>
      <w:r>
        <w:rPr>
          <w:rFonts w:hint="eastAsia"/>
        </w:rPr>
        <w:t xml:space="preserve">。当试点场景验证完成后，项目可以将已有能力固化为更标准化的模块，包括采集模块、看板模块、报告模块、核验模块等，再向更多类似项目进行复制，逐步形成平台化服务能力。</w:t>
      </w:r>
    </w:p>
    <w:p>
      <w:pPr>
        <w:pStyle w:val="BodyText"/>
        <w:spacing w:line="360" w:lineRule="auto" w:after="120"/>
        <w:ind w:firstLine="420"/>
      </w:pPr>
      <w:r>
        <w:rPr>
          <w:rFonts w:hint="eastAsia"/>
        </w:rPr>
        <w:t xml:space="preserve">第四步是</w:t>
      </w:r>
      <w:r>
        <w:t xml:space="preserve"> </w:t>
      </w:r>
      <w:r>
        <w:rPr>
          <w:rStyle w:val="VerbatimChar"/>
          <w:rFonts w:hint="eastAsia"/>
        </w:rPr>
        <w:t xml:space="preserve">向高附加值场景延伸</w:t>
      </w:r>
      <w:r>
        <w:rPr>
          <w:rFonts w:hint="eastAsia"/>
        </w:rPr>
        <w:t xml:space="preserve">。在基础平台稳定后，项目可以进一步切入</w:t>
      </w:r>
      <w:r>
        <w:t xml:space="preserve"> ESG </w:t>
      </w:r>
      <w:r>
        <w:rPr>
          <w:rFonts w:hint="eastAsia"/>
        </w:rPr>
        <w:t xml:space="preserve">披露、绿证衔接、绿色金融辅助判断等更高价值场景，提升客单价和场景壁垒。</w:t>
      </w:r>
    </w:p>
    <w:p>
      <w:pPr>
        <w:pStyle w:val="BodyText"/>
        <w:spacing w:line="360" w:lineRule="auto" w:after="120"/>
        <w:ind w:firstLine="420"/>
      </w:pPr>
      <w:r>
        <w:rPr>
          <w:rFonts w:hint="eastAsia"/>
        </w:rPr>
        <w:t xml:space="preserve">这一商业路径的优点在于，它不要求项目在短时间内完成大规模商业闭环，而是允许项目从真实能力出发逐步积累案例和场景适配经验，更适合高校项目的成长节奏。</w:t>
      </w:r>
    </w:p>
    <w:p>
      <w:pPr>
        <w:pStyle w:val="CaptionedFigure"/>
      </w:pPr>
      <w:r>
        <w:drawing>
          <wp:inline>
            <wp:extent cx="5334000" cy="5334000"/>
            <wp:effectExtent b="0" l="0" r="0" t="0"/>
            <wp:docPr descr="插图" title="" id="119" name="Picture"/>
            <a:graphic>
              <a:graphicData uri="http://schemas.openxmlformats.org/drawingml/2006/picture">
                <pic:pic>
                  <pic:nvPicPr>
                    <pic:cNvPr descr="/Users/evanhan/项目/光伏项目/比赛材料/素材库/最终图片/09_商业路径阶段图_v2.png" id="120" name="Picture"/>
                    <pic:cNvPicPr>
                      <a:picLocks noChangeArrowheads="1" noChangeAspect="1"/>
                    </pic:cNvPicPr>
                  </pic:nvPicPr>
                  <pic:blipFill>
                    <a:blip r:embed="rId11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插图</w:t>
      </w:r>
    </w:p>
    <w:bookmarkEnd w:id="121"/>
    <w:bookmarkStart w:id="126" w:name="推广策略"/>
    <w:p>
      <w:pPr>
        <w:pStyle w:val="Heading2"/>
      </w:pPr>
      <w:r>
        <w:t xml:space="preserve">6.5 </w:t>
      </w:r>
      <w:r>
        <w:rPr>
          <w:rFonts w:hint="eastAsia"/>
        </w:rPr>
        <w:t xml:space="preserve">推广策略</w:t>
      </w:r>
    </w:p>
    <w:bookmarkStart w:id="122" w:name="以比赛和项目申报作为品牌起点"/>
    <w:p>
      <w:pPr>
        <w:pStyle w:val="Heading3"/>
      </w:pPr>
      <w:r>
        <w:t xml:space="preserve">6.5.1 </w:t>
      </w:r>
      <w:r>
        <w:rPr>
          <w:rFonts w:hint="eastAsia"/>
        </w:rPr>
        <w:t xml:space="preserve">以比赛和项目申报作为品牌起点</w:t>
      </w:r>
    </w:p>
    <w:p>
      <w:pPr>
        <w:pStyle w:val="FirstParagraph"/>
        <w:spacing w:line="360" w:lineRule="auto" w:after="120"/>
        <w:ind w:firstLine="420"/>
      </w:pPr>
      <w:r>
        <w:rPr>
          <w:rFonts w:hint="eastAsia"/>
        </w:rPr>
        <w:t xml:space="preserve">对于高校团队而言，创新大赛、大创、省赛和各类项目展示平台不仅是评审机会，也是最重要的早期品牌曝光渠道。</w:t>
      </w:r>
      <w:r>
        <w:rPr>
          <w:rStyle w:val="VerbatimChar"/>
        </w:rPr>
        <w:t xml:space="preserve">SolarGuard</w:t>
      </w:r>
      <w:r>
        <w:t xml:space="preserve"> </w:t>
      </w:r>
      <w:r>
        <w:rPr>
          <w:rFonts w:hint="eastAsia"/>
        </w:rPr>
        <w:t xml:space="preserve">当前阶段可以通过商业计划书、路演展示、GitHub</w:t>
      </w:r>
      <w:r>
        <w:t xml:space="preserve"> </w:t>
      </w:r>
      <w:r>
        <w:rPr>
          <w:rFonts w:hint="eastAsia"/>
        </w:rPr>
        <w:t xml:space="preserve">仓库、系统截图和实验成果，先建立“新能源可信数据项目”的初始认知，为后续对接导师资源、合作主体和潜在试点打基础。</w:t>
      </w:r>
    </w:p>
    <w:bookmarkEnd w:id="122"/>
    <w:bookmarkStart w:id="123" w:name="以典型场景为切入口"/>
    <w:p>
      <w:pPr>
        <w:pStyle w:val="Heading3"/>
      </w:pPr>
      <w:r>
        <w:t xml:space="preserve">6.5.2 </w:t>
      </w:r>
      <w:r>
        <w:rPr>
          <w:rFonts w:hint="eastAsia"/>
        </w:rPr>
        <w:t xml:space="preserve">以典型场景为切入口</w:t>
      </w:r>
    </w:p>
    <w:p>
      <w:pPr>
        <w:pStyle w:val="FirstParagraph"/>
        <w:spacing w:line="360" w:lineRule="auto" w:after="120"/>
        <w:ind w:firstLine="420"/>
      </w:pPr>
      <w:r>
        <w:rPr>
          <w:rFonts w:hint="eastAsia"/>
        </w:rPr>
        <w:t xml:space="preserve">在推广路径上，项目不宜一开始就面向“全国市场”进行抽象宣传，而应优先选择更容易落地的典型场景，例如校园能源管理、小型园区、实验型分布式光伏项目或校企合作项目。这类场景管理链条相对短、验证成本较低，更适合原型团队进行初步部署和优化。</w:t>
      </w:r>
    </w:p>
    <w:bookmarkEnd w:id="123"/>
    <w:bookmarkStart w:id="124" w:name="以合作式推广替代重资产扩张"/>
    <w:p>
      <w:pPr>
        <w:pStyle w:val="Heading3"/>
      </w:pPr>
      <w:r>
        <w:t xml:space="preserve">6.5.3 </w:t>
      </w:r>
      <w:r>
        <w:rPr>
          <w:rFonts w:hint="eastAsia"/>
        </w:rPr>
        <w:t xml:space="preserve">以合作式推广替代重资产扩张</w:t>
      </w:r>
    </w:p>
    <w:p>
      <w:pPr>
        <w:pStyle w:val="FirstParagraph"/>
        <w:spacing w:line="360" w:lineRule="auto" w:after="120"/>
        <w:ind w:firstLine="420"/>
      </w:pPr>
      <w:r>
        <w:rPr>
          <w:rFonts w:hint="eastAsia"/>
        </w:rPr>
        <w:t xml:space="preserve">项目当前更适合通过合作式路径推进，包括与指导教师、学院平台、创新创业项目、能源数字化团队、ESG</w:t>
      </w:r>
      <w:r>
        <w:t xml:space="preserve"> </w:t>
      </w:r>
      <w:r>
        <w:rPr>
          <w:rFonts w:hint="eastAsia"/>
        </w:rPr>
        <w:t xml:space="preserve">相关团队等建立联系，而不是一开始就采用重资产铺设模式。合作式推广既能降低早期资源压力，也更符合高校项目的实际推进条件。</w:t>
      </w:r>
    </w:p>
    <w:bookmarkEnd w:id="124"/>
    <w:bookmarkStart w:id="125" w:name="以案例和证明材料形成外部信任"/>
    <w:p>
      <w:pPr>
        <w:pStyle w:val="Heading3"/>
      </w:pPr>
      <w:r>
        <w:t xml:space="preserve">6.5.4 </w:t>
      </w:r>
      <w:r>
        <w:rPr>
          <w:rFonts w:hint="eastAsia"/>
        </w:rPr>
        <w:t xml:space="preserve">以案例和证明材料形成外部信任</w:t>
      </w:r>
    </w:p>
    <w:p>
      <w:pPr>
        <w:pStyle w:val="FirstParagraph"/>
        <w:spacing w:line="360" w:lineRule="auto" w:after="120"/>
        <w:ind w:firstLine="420"/>
      </w:pPr>
      <w:r>
        <w:rPr>
          <w:rFonts w:hint="eastAsia"/>
        </w:rPr>
        <w:t xml:space="preserve">由于</w:t>
      </w:r>
      <w:r>
        <w:t xml:space="preserve"> </w:t>
      </w:r>
      <w:r>
        <w:rPr>
          <w:rStyle w:val="VerbatimChar"/>
        </w:rPr>
        <w:t xml:space="preserve">SolarGuard</w:t>
      </w:r>
      <w:r>
        <w:t xml:space="preserve"> </w:t>
      </w:r>
      <w:r>
        <w:rPr>
          <w:rFonts w:hint="eastAsia"/>
        </w:rPr>
        <w:t xml:space="preserve">本质上提供的是可信数据能力，因此外部信任尤其重要。后续推广中，实验图表、前端看板、链上记录、GitHub</w:t>
      </w:r>
      <w:r>
        <w:t xml:space="preserve"> </w:t>
      </w:r>
      <w:r>
        <w:rPr>
          <w:rFonts w:hint="eastAsia"/>
        </w:rPr>
        <w:t xml:space="preserve">仓库、项目总结报告、政策适配分析等，都可以成为项目获取信任的重要材料。项目在比赛阶段积累的材料，不仅是参赛内容，也将成为未来市场推广的重要资产。</w:t>
      </w:r>
    </w:p>
    <w:p>
      <w:pPr>
        <w:pStyle w:val="BlockText"/>
      </w:pPr>
      <w:r>
        <w:rPr>
          <w:rFonts w:hint="eastAsia"/>
          <w:i/>
          <w:color w:val="6B7280"/>
        </w:rPr>
        <w:t xml:space="preserve">说明：推广路径漏斗图</w:t>
      </w:r>
      <w:r>
        <w:rPr>
          <w:i/>
          <w:color w:val="6B7280"/>
        </w:rPr>
        <w:t xml:space="preserve"> </w:t>
      </w:r>
      <w:r>
        <w:rPr>
          <w:rFonts w:hint="eastAsia"/>
          <w:i/>
          <w:color w:val="6B7280"/>
        </w:rPr>
        <w:t xml:space="preserve">当前不放入正文图片版，后续可在附录或补充材料中加入。</w:t>
      </w:r>
    </w:p>
    <w:bookmarkEnd w:id="125"/>
    <w:bookmarkEnd w:id="126"/>
    <w:bookmarkStart w:id="127" w:name="项目未来收入逻辑"/>
    <w:p>
      <w:pPr>
        <w:pStyle w:val="Heading2"/>
      </w:pPr>
      <w:r>
        <w:t xml:space="preserve">6.6 </w:t>
      </w:r>
      <w:r>
        <w:rPr>
          <w:rFonts w:hint="eastAsia"/>
        </w:rPr>
        <w:t xml:space="preserve">项目未来收入逻辑</w:t>
      </w:r>
    </w:p>
    <w:p>
      <w:pPr>
        <w:pStyle w:val="FirstParagraph"/>
        <w:spacing w:line="360" w:lineRule="auto" w:after="120"/>
        <w:ind w:firstLine="420"/>
      </w:pPr>
      <w:r>
        <w:rPr>
          <w:rFonts w:hint="eastAsia"/>
        </w:rPr>
        <w:t xml:space="preserve">虽然项目当前不宜在财务上做激进承诺，但其未来收入逻辑已经较为清晰。</w:t>
      </w:r>
    </w:p>
    <w:p>
      <w:pPr>
        <w:pStyle w:val="BodyText"/>
        <w:spacing w:line="360" w:lineRule="auto" w:after="120"/>
        <w:ind w:firstLine="420"/>
      </w:pPr>
      <w:r>
        <w:rPr>
          <w:rFonts w:hint="eastAsia"/>
        </w:rPr>
        <w:t xml:space="preserve">一是</w:t>
      </w:r>
      <w:r>
        <w:t xml:space="preserve"> </w:t>
      </w:r>
      <w:r>
        <w:rPr>
          <w:rStyle w:val="VerbatimChar"/>
          <w:rFonts w:hint="eastAsia"/>
        </w:rPr>
        <w:t xml:space="preserve">基础服务收入</w:t>
      </w:r>
      <w:r>
        <w:rPr>
          <w:rFonts w:hint="eastAsia"/>
        </w:rPr>
        <w:t xml:space="preserve">，来源于平台部署、监测服务和数据管理服务。</w:t>
      </w:r>
      <w:r>
        <w:br/>
      </w:r>
      <w:r>
        <w:rPr>
          <w:rFonts w:hint="eastAsia"/>
        </w:rPr>
        <w:t xml:space="preserve">二是</w:t>
      </w:r>
      <w:r>
        <w:t xml:space="preserve"> </w:t>
      </w:r>
      <w:r>
        <w:rPr>
          <w:rStyle w:val="VerbatimChar"/>
          <w:rFonts w:hint="eastAsia"/>
        </w:rPr>
        <w:t xml:space="preserve">专项报告收入</w:t>
      </w:r>
      <w:r>
        <w:rPr>
          <w:rFonts w:hint="eastAsia"/>
        </w:rPr>
        <w:t xml:space="preserve">，来源于可信数据核验、历史记录整理和场景化输出。</w:t>
      </w:r>
      <w:r>
        <w:br/>
      </w:r>
      <w:r>
        <w:rPr>
          <w:rFonts w:hint="eastAsia"/>
        </w:rPr>
        <w:t xml:space="preserve">三是</w:t>
      </w:r>
      <w:r>
        <w:t xml:space="preserve"> </w:t>
      </w:r>
      <w:r>
        <w:rPr>
          <w:rStyle w:val="VerbatimChar"/>
          <w:rFonts w:hint="eastAsia"/>
        </w:rPr>
        <w:t xml:space="preserve">定制合作收入</w:t>
      </w:r>
      <w:r>
        <w:rPr>
          <w:rFonts w:hint="eastAsia"/>
        </w:rPr>
        <w:t xml:space="preserve">，来源于与机构和平台客户的专项合作开发。</w:t>
      </w:r>
      <w:r>
        <w:br/>
      </w:r>
      <w:r>
        <w:rPr>
          <w:rFonts w:hint="eastAsia"/>
        </w:rPr>
        <w:t xml:space="preserve">四是</w:t>
      </w:r>
      <w:r>
        <w:t xml:space="preserve"> </w:t>
      </w:r>
      <w:r>
        <w:rPr>
          <w:rStyle w:val="VerbatimChar"/>
          <w:rFonts w:hint="eastAsia"/>
        </w:rPr>
        <w:t xml:space="preserve">增值场景收入</w:t>
      </w:r>
      <w:r>
        <w:rPr>
          <w:rFonts w:hint="eastAsia"/>
        </w:rPr>
        <w:t xml:space="preserve">，来源于未来围绕</w:t>
      </w:r>
      <w:r>
        <w:t xml:space="preserve"> </w:t>
      </w:r>
      <w:r>
        <w:rPr>
          <w:rFonts w:hint="eastAsia"/>
        </w:rPr>
        <w:t xml:space="preserve">ESG、绿证和绿色金融场景形成的高附加值服务。</w:t>
      </w:r>
    </w:p>
    <w:p>
      <w:pPr>
        <w:pStyle w:val="BodyText"/>
        <w:spacing w:line="360" w:lineRule="auto" w:after="120"/>
        <w:ind w:firstLine="420"/>
      </w:pPr>
      <w:r>
        <w:rPr>
          <w:rFonts w:hint="eastAsia"/>
        </w:rPr>
        <w:t xml:space="preserve">这种收入结构说明，项目未来的商业空间并不是靠单一产品价格支撑，而是来自于基础服务向高附加值服务的逐步演进。</w:t>
      </w:r>
    </w:p>
    <w:p>
      <w:pPr>
        <w:pStyle w:val="BlockText"/>
      </w:pPr>
      <w:r>
        <w:rPr>
          <w:rFonts w:hint="eastAsia"/>
          <w:i/>
          <w:color w:val="6B7280"/>
        </w:rPr>
        <w:t xml:space="preserve">待补表格：收入来源结构表</w:t>
      </w:r>
    </w:p>
    <w:bookmarkEnd w:id="127"/>
    <w:bookmarkStart w:id="128" w:name="商业模式的现实性判断"/>
    <w:p>
      <w:pPr>
        <w:pStyle w:val="Heading2"/>
      </w:pPr>
      <w:r>
        <w:t xml:space="preserve">6.7 </w:t>
      </w:r>
      <w:r>
        <w:rPr>
          <w:rFonts w:hint="eastAsia"/>
        </w:rPr>
        <w:t xml:space="preserve">商业模式的现实性判断</w:t>
      </w:r>
    </w:p>
    <w:p>
      <w:pPr>
        <w:pStyle w:val="FirstParagraph"/>
        <w:spacing w:line="360" w:lineRule="auto" w:after="120"/>
        <w:ind w:firstLine="420"/>
      </w:pPr>
      <w:r>
        <w:rPr>
          <w:rFonts w:hint="eastAsia"/>
        </w:rPr>
        <w:t xml:space="preserve">从现实角度看，</w:t>
      </w:r>
      <w:r>
        <w:rPr>
          <w:rStyle w:val="VerbatimChar"/>
        </w:rPr>
        <w:t xml:space="preserve">SolarGuard</w:t>
      </w:r>
      <w:r>
        <w:t xml:space="preserve"> </w:t>
      </w:r>
      <w:r>
        <w:rPr>
          <w:rFonts w:hint="eastAsia"/>
        </w:rPr>
        <w:t xml:space="preserve">当前最大的优势在于：商业模式建立在已经完成的技术原型之上，而不是纯概念推演。项目已经证明自己可以完成采集、处理、存证和展示，因此具备向服务收费逻辑演化的基础。</w:t>
      </w:r>
    </w:p>
    <w:p>
      <w:pPr>
        <w:pStyle w:val="BodyText"/>
        <w:spacing w:line="360" w:lineRule="auto" w:after="120"/>
        <w:ind w:firstLine="420"/>
      </w:pPr>
      <w:r>
        <w:rPr>
          <w:rFonts w:hint="eastAsia"/>
        </w:rPr>
        <w:t xml:space="preserve">同时，项目也必须正视当前阶段的限制。比如，硬件条件暂时受限、产品仍有部分</w:t>
      </w:r>
      <w:r>
        <w:t xml:space="preserve"> mock </w:t>
      </w:r>
      <w:r>
        <w:rPr>
          <w:rFonts w:hint="eastAsia"/>
        </w:rPr>
        <w:t xml:space="preserve">模块、尚未完成真实付费试点，这些都意味着项目不能在商业计划书中夸大“已完成商业化”的程度。更稳妥的做法是如实说明：项目已具备产品原型和场景验证基础，正处于从技术验证走向试点落地的关键过渡阶段。</w:t>
      </w:r>
    </w:p>
    <w:p>
      <w:pPr>
        <w:pStyle w:val="BodyText"/>
        <w:spacing w:line="360" w:lineRule="auto" w:after="120"/>
        <w:ind w:firstLine="420"/>
      </w:pPr>
      <w:r>
        <w:rPr>
          <w:rFonts w:hint="eastAsia"/>
        </w:rPr>
        <w:t xml:space="preserve">这种表达反而更专业，因为它既展示了项目的成长潜力，也体现了团队对自身阶段的清醒判断。</w:t>
      </w:r>
    </w:p>
    <w:bookmarkEnd w:id="128"/>
    <w:bookmarkStart w:id="129" w:name="本章结论-4"/>
    <w:p>
      <w:pPr>
        <w:pStyle w:val="Heading2"/>
      </w:pPr>
      <w:r>
        <w:t xml:space="preserve">6.8 </w:t>
      </w:r>
      <w:r>
        <w:rPr>
          <w:rFonts w:hint="eastAsia"/>
        </w:rPr>
        <w:t xml:space="preserve">本章结论</w:t>
      </w:r>
    </w:p>
    <w:p>
      <w:pPr>
        <w:pStyle w:val="FirstParagraph"/>
        <w:spacing w:line="360" w:lineRule="auto" w:after="120"/>
        <w:ind w:firstLine="420"/>
      </w:pPr>
      <w:r>
        <w:rPr>
          <w:rFonts w:hint="eastAsia"/>
        </w:rPr>
        <w:t xml:space="preserve">总体而言，</w:t>
      </w:r>
      <w:r>
        <w:rPr>
          <w:rStyle w:val="VerbatimChar"/>
        </w:rPr>
        <w:t xml:space="preserve">SolarGuard</w:t>
      </w:r>
      <w:r>
        <w:t xml:space="preserve"> </w:t>
      </w:r>
      <w:r>
        <w:rPr>
          <w:rFonts w:hint="eastAsia"/>
        </w:rPr>
        <w:t xml:space="preserve">的商业模式不是依赖单一产品销售，而是围绕新能源可信数据能力，构建“基础服务</w:t>
      </w:r>
      <w:r>
        <w:t xml:space="preserve"> + </w:t>
      </w:r>
      <w:r>
        <w:rPr>
          <w:rFonts w:hint="eastAsia"/>
        </w:rPr>
        <w:t xml:space="preserve">核验服务</w:t>
      </w:r>
      <w:r>
        <w:t xml:space="preserve"> + </w:t>
      </w:r>
      <w:r>
        <w:rPr>
          <w:rFonts w:hint="eastAsia"/>
        </w:rPr>
        <w:t xml:space="preserve">合作定制</w:t>
      </w:r>
      <w:r>
        <w:t xml:space="preserve"> + </w:t>
      </w:r>
      <w:r>
        <w:rPr>
          <w:rFonts w:hint="eastAsia"/>
        </w:rPr>
        <w:t xml:space="preserve">场景增值”的复合型价值实现路径。项目当前最适合通过小范围试点、合作式推广和案例积累逐步推进，在真实场景中验证产品价值，再逐步走向模块复制和平台化升级。</w:t>
      </w:r>
    </w:p>
    <w:p>
      <w:pPr>
        <w:pStyle w:val="BodyText"/>
        <w:spacing w:line="360" w:lineRule="auto" w:after="120"/>
        <w:ind w:firstLine="420"/>
      </w:pPr>
      <w:r>
        <w:rPr>
          <w:rFonts w:hint="eastAsia"/>
        </w:rPr>
        <w:t xml:space="preserve">这种商业路径既符合项目当前的技术完成度，也符合高校创新项目从原型验证到场景落地的成长规律。对于创新大赛和大创立项而言，这样的商业模式既不过度夸张，也不显得空泛，能够较好地体现项目的可持续发展潜力。</w:t>
      </w:r>
    </w:p>
    <w:p>
      <w:pPr>
        <w:spacing w:line="360" w:lineRule="auto" w:after="120"/>
        <w:ind w:firstLine="420"/>
      </w:pPr>
      <w:r>
        <w:pict>
          <v:rect style="width:0;height:1.5pt" o:hralign="center" o:hrstd="t" o:hr="t"/>
        </w:pict>
      </w:r>
    </w:p>
    <w:bookmarkEnd w:id="129"/>
    <w:bookmarkEnd w:id="130"/>
    <w:bookmarkStart w:id="156" w:name="第七章-团队基础与教育实效"/>
    <w:p>
      <w:pPr>
        <w:pStyle w:val="Heading1"/>
        <w:jc w:val="left"/>
      </w:pPr>
      <w:r>
        <w:rPr>
          <w:rFonts w:hint="eastAsia"/>
        </w:rPr>
        <w:t xml:space="preserve">第七章</w:t>
        <w:br w:type="page"/>
      </w:r>
      <w:r>
        <w:t xml:space="preserve"> </w:t>
      </w:r>
      <w:r>
        <w:rPr>
          <w:rFonts w:hint="eastAsia"/>
        </w:rPr>
        <w:t xml:space="preserve">团队基础与教育实效</w:t>
      </w:r>
    </w:p>
    <w:bookmarkStart w:id="131" w:name="团队总体情况"/>
    <w:p>
      <w:pPr>
        <w:pStyle w:val="Heading2"/>
      </w:pPr>
      <w:r>
        <w:t xml:space="preserve">7.1 </w:t>
      </w:r>
      <w:r>
        <w:rPr>
          <w:rFonts w:hint="eastAsia"/>
        </w:rPr>
        <w:t xml:space="preserve">团队总体情况</w:t>
      </w:r>
    </w:p>
    <w:p>
      <w:pPr>
        <w:pStyle w:val="FirstParagraph"/>
        <w:spacing w:line="360" w:lineRule="auto" w:after="120"/>
        <w:ind w:firstLine="420"/>
      </w:pPr>
      <w:r>
        <w:rPr>
          <w:rStyle w:val="VerbatimChar"/>
        </w:rPr>
        <w:t xml:space="preserve">SolarGuard</w:t>
      </w:r>
      <w:r>
        <w:t xml:space="preserve"> </w:t>
      </w:r>
      <w:r>
        <w:rPr>
          <w:rFonts w:hint="eastAsia"/>
        </w:rPr>
        <w:t xml:space="preserve">并不是单一课程作业或单点技术实验的延伸，而是在真实问题驱动下逐步形成的综合性学生创新项目。项目团队围绕“分布式光伏数据如何可信采集、可信存证并服务上层绿色场景”这一问题展开协作，在技术实现、产品设计、材料撰写、政策研究和项目展示等方面逐步形成分工。</w:t>
      </w:r>
    </w:p>
    <w:p>
      <w:pPr>
        <w:pStyle w:val="BodyText"/>
        <w:spacing w:line="360" w:lineRule="auto" w:after="120"/>
        <w:ind w:firstLine="420"/>
      </w:pPr>
      <w:r>
        <w:rPr>
          <w:rFonts w:hint="eastAsia"/>
        </w:rPr>
        <w:t xml:space="preserve">从项目属性来看，</w:t>
      </w:r>
      <w:r>
        <w:rPr>
          <w:rStyle w:val="VerbatimChar"/>
        </w:rPr>
        <w:t xml:space="preserve">SolarGuard</w:t>
      </w:r>
      <w:r>
        <w:t xml:space="preserve"> </w:t>
      </w:r>
      <w:r>
        <w:rPr>
          <w:rFonts w:hint="eastAsia"/>
        </w:rPr>
        <w:t xml:space="preserve">天然具有跨学科特征。它既涉及物联网设备接入、数据采集和自动化脚本开发，也涉及联盟链交互、智能合约设计、前端可视化、政策合规分析以及商业计划书撰写。也正因为如此，项目团队的优势并不在于单一成员掌握所有能力，而在于能够围绕一个真实问题，将不同模块能力逐步整合成系统原型。</w:t>
      </w:r>
    </w:p>
    <w:p>
      <w:pPr>
        <w:pStyle w:val="BodyText"/>
        <w:spacing w:line="360" w:lineRule="auto" w:after="120"/>
        <w:ind w:firstLine="420"/>
      </w:pPr>
      <w:r>
        <w:rPr>
          <w:rFonts w:hint="eastAsia"/>
        </w:rPr>
        <w:t xml:space="preserve">当前团队基础的最大特点在于：一方面，项目已经有真实代码、实验记录、系统原型和政策材料作为支撑；另一方面，团队已经完成了从“灵感想法”到“原型闭环”的关键跨越。这种基础使项目具备继续深化为高质量创新创业作品的现实条件。</w:t>
      </w:r>
    </w:p>
    <w:bookmarkEnd w:id="131"/>
    <w:bookmarkStart w:id="132" w:name="团队形成路径"/>
    <w:p>
      <w:pPr>
        <w:pStyle w:val="Heading2"/>
      </w:pPr>
      <w:r>
        <w:t xml:space="preserve">7.2 </w:t>
      </w:r>
      <w:r>
        <w:rPr>
          <w:rFonts w:hint="eastAsia"/>
        </w:rPr>
        <w:t xml:space="preserve">团队形成路径</w:t>
      </w:r>
    </w:p>
    <w:p>
      <w:pPr>
        <w:pStyle w:val="FirstParagraph"/>
        <w:spacing w:line="360" w:lineRule="auto" w:after="120"/>
        <w:ind w:firstLine="420"/>
      </w:pPr>
      <w:r>
        <w:rPr>
          <w:rStyle w:val="VerbatimChar"/>
        </w:rPr>
        <w:t xml:space="preserve">SolarGuard</w:t>
      </w:r>
      <w:r>
        <w:t xml:space="preserve"> </w:t>
      </w:r>
      <w:r>
        <w:rPr>
          <w:rFonts w:hint="eastAsia"/>
        </w:rPr>
        <w:t xml:space="preserve">项目的形成并不是从商业化空想出发，而是从技术实践和现实问题出发逐步发展起来的。项目最初聚焦于光伏设备数据采集和可信记录问题，随着开发推进，团队逐渐意识到，分布式光伏数据的价值并不局限于设备监测本身，而是可以进一步连接到链上存证、绿色资产核验、ESG</w:t>
      </w:r>
      <w:r>
        <w:t xml:space="preserve"> </w:t>
      </w:r>
      <w:r>
        <w:rPr>
          <w:rFonts w:hint="eastAsia"/>
        </w:rPr>
        <w:t xml:space="preserve">披露和绿色金融辅助决策等更广泛的场景。</w:t>
      </w:r>
    </w:p>
    <w:p>
      <w:pPr>
        <w:pStyle w:val="BodyText"/>
        <w:spacing w:line="360" w:lineRule="auto" w:after="120"/>
        <w:ind w:firstLine="420"/>
      </w:pPr>
      <w:r>
        <w:rPr>
          <w:rFonts w:hint="eastAsia"/>
        </w:rPr>
        <w:t xml:space="preserve">在这一过程中，团队先完成了物理设备数据读取和自动监测逻辑，再逐步扩展到签名机制、联盟链交互、智能合约原型、接口封装和前端看板原型。也就是说，项目是沿着“先打通技术链路，再反推产品定位”的路径成长起来的，而不是先编一个商业故事再找技术去支撑。</w:t>
      </w:r>
    </w:p>
    <w:p>
      <w:pPr>
        <w:pStyle w:val="BodyText"/>
        <w:spacing w:line="360" w:lineRule="auto" w:after="120"/>
        <w:ind w:firstLine="420"/>
      </w:pPr>
      <w:r>
        <w:rPr>
          <w:rFonts w:hint="eastAsia"/>
        </w:rPr>
        <w:t xml:space="preserve">这种形成路径本身就体现出较强的创新创业训练价值。团队不是在已有成熟解决方案上做微调，而是在一个具有现实价值但尚未被充分解决的问题空间中，通过不断实验、验证和修正，逐步找到项目的真实核心和合理定位。</w:t>
      </w:r>
    </w:p>
    <w:bookmarkEnd w:id="132"/>
    <w:bookmarkStart w:id="133" w:name="团队分工逻辑"/>
    <w:p>
      <w:pPr>
        <w:pStyle w:val="Heading2"/>
      </w:pPr>
      <w:r>
        <w:t xml:space="preserve">7.3 </w:t>
      </w:r>
      <w:r>
        <w:rPr>
          <w:rFonts w:hint="eastAsia"/>
        </w:rPr>
        <w:t xml:space="preserve">团队分工逻辑</w:t>
      </w:r>
    </w:p>
    <w:p>
      <w:pPr>
        <w:pStyle w:val="FirstParagraph"/>
        <w:spacing w:line="360" w:lineRule="auto" w:after="120"/>
        <w:ind w:firstLine="420"/>
      </w:pPr>
      <w:r>
        <w:rPr>
          <w:rFonts w:hint="eastAsia"/>
        </w:rPr>
        <w:t xml:space="preserve">围绕当前项目内容，团队后续可稳定形成以下几类分工，这种分工方式也符合创新大赛和大创项目对团队协作能力的要求。</w:t>
      </w:r>
    </w:p>
    <w:p>
      <w:pPr>
        <w:pStyle w:val="BodyText"/>
        <w:spacing w:line="360" w:lineRule="auto" w:after="120"/>
        <w:ind w:firstLine="420"/>
      </w:pPr>
      <w:r>
        <w:rPr>
          <w:rFonts w:hint="eastAsia"/>
        </w:rPr>
        <w:t xml:space="preserve">第一类是</w:t>
      </w:r>
      <w:r>
        <w:t xml:space="preserve"> </w:t>
      </w:r>
      <w:r>
        <w:rPr>
          <w:rStyle w:val="VerbatimChar"/>
          <w:rFonts w:hint="eastAsia"/>
        </w:rPr>
        <w:t xml:space="preserve">技术研发</w:t>
      </w:r>
      <w:r>
        <w:t xml:space="preserve"> </w:t>
      </w:r>
      <w:r>
        <w:rPr>
          <w:rFonts w:hint="eastAsia"/>
        </w:rPr>
        <w:t xml:space="preserve">分工，主要负责设备接入、数据采集、自动监测、链上交互、后端接口和前端原型等工作。这部分是项目的底座，决定了项目是否真正做成了一个系统。</w:t>
      </w:r>
    </w:p>
    <w:p>
      <w:pPr>
        <w:pStyle w:val="BodyText"/>
        <w:spacing w:line="360" w:lineRule="auto" w:after="120"/>
        <w:ind w:firstLine="420"/>
      </w:pPr>
      <w:r>
        <w:rPr>
          <w:rFonts w:hint="eastAsia"/>
        </w:rPr>
        <w:t xml:space="preserve">第二类是</w:t>
      </w:r>
      <w:r>
        <w:t xml:space="preserve"> </w:t>
      </w:r>
      <w:r>
        <w:rPr>
          <w:rStyle w:val="VerbatimChar"/>
          <w:rFonts w:hint="eastAsia"/>
        </w:rPr>
        <w:t xml:space="preserve">产品与场景</w:t>
      </w:r>
      <w:r>
        <w:t xml:space="preserve"> </w:t>
      </w:r>
      <w:r>
        <w:rPr>
          <w:rFonts w:hint="eastAsia"/>
        </w:rPr>
        <w:t xml:space="preserve">分工，主要负责梳理系统面向哪些用户、解决哪些问题、如何定义功能模块和使用流程。这部分确保项目不会只停留在代码视角，而能被理解为一个清晰的解决方案。</w:t>
      </w:r>
    </w:p>
    <w:p>
      <w:pPr>
        <w:pStyle w:val="BodyText"/>
        <w:spacing w:line="360" w:lineRule="auto" w:after="120"/>
        <w:ind w:firstLine="420"/>
      </w:pPr>
      <w:r>
        <w:rPr>
          <w:rFonts w:hint="eastAsia"/>
        </w:rPr>
        <w:t xml:space="preserve">第三类是</w:t>
      </w:r>
      <w:r>
        <w:t xml:space="preserve"> </w:t>
      </w:r>
      <w:r>
        <w:rPr>
          <w:rStyle w:val="VerbatimChar"/>
          <w:rFonts w:hint="eastAsia"/>
        </w:rPr>
        <w:t xml:space="preserve">政策与材料</w:t>
      </w:r>
      <w:r>
        <w:t xml:space="preserve"> </w:t>
      </w:r>
      <w:r>
        <w:rPr>
          <w:rFonts w:hint="eastAsia"/>
        </w:rPr>
        <w:t xml:space="preserve">分工，主要负责收集政策依据、分析合规边界、撰写商业计划书和整合比赛材料。这部分对当前阶段尤其重要，因为项目需要在真实政策环境下完成叙事调整。</w:t>
      </w:r>
    </w:p>
    <w:p>
      <w:pPr>
        <w:pStyle w:val="BodyText"/>
        <w:spacing w:line="360" w:lineRule="auto" w:after="120"/>
        <w:ind w:firstLine="420"/>
      </w:pPr>
      <w:r>
        <w:rPr>
          <w:rFonts w:hint="eastAsia"/>
        </w:rPr>
        <w:t xml:space="preserve">第四类是</w:t>
      </w:r>
      <w:r>
        <w:t xml:space="preserve"> </w:t>
      </w:r>
      <w:r>
        <w:rPr>
          <w:rStyle w:val="VerbatimChar"/>
          <w:rFonts w:hint="eastAsia"/>
        </w:rPr>
        <w:t xml:space="preserve">展示与传播</w:t>
      </w:r>
      <w:r>
        <w:t xml:space="preserve"> </w:t>
      </w:r>
      <w:r>
        <w:rPr>
          <w:rFonts w:hint="eastAsia"/>
        </w:rPr>
        <w:t xml:space="preserve">分工，主要负责页面呈现、图表输出、项目总结、仓库维护和答辩展示。这部分关系到项目能否被评委高效理解，也是创新大赛中非常实际的一环。</w:t>
      </w:r>
    </w:p>
    <w:p>
      <w:pPr>
        <w:pStyle w:val="BodyText"/>
        <w:spacing w:line="360" w:lineRule="auto" w:after="120"/>
        <w:ind w:firstLine="420"/>
      </w:pPr>
      <w:r>
        <w:rPr>
          <w:rFonts w:hint="eastAsia"/>
        </w:rPr>
        <w:t xml:space="preserve">这种分工逻辑说明，</w:t>
      </w:r>
      <w:r>
        <w:rPr>
          <w:rStyle w:val="VerbatimChar"/>
        </w:rPr>
        <w:t xml:space="preserve">SolarGuard</w:t>
      </w:r>
      <w:r>
        <w:t xml:space="preserve"> </w:t>
      </w:r>
      <w:r>
        <w:rPr>
          <w:rFonts w:hint="eastAsia"/>
        </w:rPr>
        <w:t xml:space="preserve">项目不仅训练了团队成员的单项能力，更训练了他们围绕一个复杂问题开展系统协同的能力。</w:t>
      </w:r>
    </w:p>
    <w:bookmarkEnd w:id="133"/>
    <w:bookmarkStart w:id="141" w:name="团队能力结构"/>
    <w:p>
      <w:pPr>
        <w:pStyle w:val="Heading2"/>
      </w:pPr>
      <w:r>
        <w:t xml:space="preserve">7.4 </w:t>
      </w:r>
      <w:r>
        <w:rPr>
          <w:rFonts w:hint="eastAsia"/>
        </w:rPr>
        <w:t xml:space="preserve">团队能力结构</w:t>
      </w:r>
    </w:p>
    <w:bookmarkStart w:id="134" w:name="solarguard-团队协同结构"/>
    <w:p>
      <w:pPr>
        <w:pStyle w:val="Heading3"/>
      </w:pPr>
      <w:r>
        <w:t xml:space="preserve">7.4.1 SolarGuard </w:t>
      </w:r>
      <w:r>
        <w:rPr>
          <w:rFonts w:hint="eastAsia"/>
        </w:rPr>
        <w:t xml:space="preserve">团队协同结构</w:t>
      </w:r>
    </w:p>
    <w:p>
      <w:pPr>
        <w:pStyle w:val="FirstParagraph"/>
        <w:spacing w:line="360" w:lineRule="auto" w:after="120"/>
        <w:ind w:firstLine="420"/>
      </w:pPr>
      <w:r>
        <w:rPr>
          <w:rFonts w:hint="eastAsia"/>
        </w:rPr>
        <w:t xml:space="preserve">以技术实现为基础，以政策研判、产品组织和展示表达为支撑，形成完整参赛产出。</w:t>
      </w:r>
    </w:p>
    <w:bookmarkEnd w:id="134"/>
    <w:bookmarkStart w:id="135" w:name="技术研发能力"/>
    <w:p>
      <w:pPr>
        <w:pStyle w:val="Heading3"/>
      </w:pPr>
      <w:r>
        <w:t xml:space="preserve">7.4.2 </w:t>
      </w:r>
      <w:r>
        <w:rPr>
          <w:rFonts w:hint="eastAsia"/>
        </w:rPr>
        <w:t xml:space="preserve">技术研发能力</w:t>
      </w:r>
    </w:p>
    <w:p>
      <w:pPr>
        <w:pStyle w:val="FirstParagraph"/>
        <w:spacing w:line="360" w:lineRule="auto" w:after="120"/>
        <w:ind w:firstLine="420"/>
      </w:pPr>
      <w:r>
        <w:rPr>
          <w:rFonts w:hint="eastAsia"/>
        </w:rPr>
        <w:t xml:space="preserve">设备接入、自动监测、联盟链交互、前后端原型。</w:t>
      </w:r>
      <w:r>
        <w:t xml:space="preserve"> </w:t>
      </w:r>
      <w:r>
        <w:rPr>
          <w:rFonts w:hint="eastAsia"/>
        </w:rPr>
        <w:t xml:space="preserve">形成结果：构建可运行的系统底座。</w:t>
      </w:r>
    </w:p>
    <w:bookmarkEnd w:id="135"/>
    <w:bookmarkStart w:id="136" w:name="产品与场景能力"/>
    <w:p>
      <w:pPr>
        <w:pStyle w:val="Heading3"/>
      </w:pPr>
      <w:r>
        <w:t xml:space="preserve">7.4.3 </w:t>
      </w:r>
      <w:r>
        <w:rPr>
          <w:rFonts w:hint="eastAsia"/>
        </w:rPr>
        <w:t xml:space="preserve">产品与场景能力</w:t>
      </w:r>
    </w:p>
    <w:p>
      <w:pPr>
        <w:pStyle w:val="FirstParagraph"/>
        <w:spacing w:line="360" w:lineRule="auto" w:after="120"/>
        <w:ind w:firstLine="420"/>
      </w:pPr>
      <w:r>
        <w:rPr>
          <w:rFonts w:hint="eastAsia"/>
        </w:rPr>
        <w:t xml:space="preserve">用户对象梳理、功能模块定义、场景延展判断、解决方案表达。</w:t>
      </w:r>
      <w:r>
        <w:t xml:space="preserve"> </w:t>
      </w:r>
      <w:r>
        <w:rPr>
          <w:rFonts w:hint="eastAsia"/>
        </w:rPr>
        <w:t xml:space="preserve">形成结果：把技术能力转为可解释的产品结构。</w:t>
      </w:r>
    </w:p>
    <w:bookmarkEnd w:id="136"/>
    <w:bookmarkStart w:id="137" w:name="政策与材料能力"/>
    <w:p>
      <w:pPr>
        <w:pStyle w:val="Heading3"/>
      </w:pPr>
      <w:r>
        <w:t xml:space="preserve">7.4.4 </w:t>
      </w:r>
      <w:r>
        <w:rPr>
          <w:rFonts w:hint="eastAsia"/>
        </w:rPr>
        <w:t xml:space="preserve">政策与材料能力</w:t>
      </w:r>
    </w:p>
    <w:p>
      <w:pPr>
        <w:pStyle w:val="FirstParagraph"/>
        <w:spacing w:line="360" w:lineRule="auto" w:after="120"/>
        <w:ind w:firstLine="420"/>
      </w:pPr>
      <w:r>
        <w:rPr>
          <w:rFonts w:hint="eastAsia"/>
        </w:rPr>
        <w:t xml:space="preserve">政策搜集、合规边界分析、商业计划书撰写、申报材料整合。</w:t>
      </w:r>
      <w:r>
        <w:t xml:space="preserve"> </w:t>
      </w:r>
      <w:r>
        <w:rPr>
          <w:rFonts w:hint="eastAsia"/>
        </w:rPr>
        <w:t xml:space="preserve">形成结果：保证项目叙事和比赛口径稳定。</w:t>
      </w:r>
    </w:p>
    <w:bookmarkEnd w:id="137"/>
    <w:bookmarkStart w:id="138" w:name="展示与传播能力"/>
    <w:p>
      <w:pPr>
        <w:pStyle w:val="Heading3"/>
      </w:pPr>
      <w:r>
        <w:t xml:space="preserve">7.4.5 </w:t>
      </w:r>
      <w:r>
        <w:rPr>
          <w:rFonts w:hint="eastAsia"/>
        </w:rPr>
        <w:t xml:space="preserve">展示与传播能力</w:t>
      </w:r>
    </w:p>
    <w:p>
      <w:pPr>
        <w:pStyle w:val="FirstParagraph"/>
        <w:spacing w:line="360" w:lineRule="auto" w:after="120"/>
        <w:ind w:firstLine="420"/>
      </w:pPr>
      <w:r>
        <w:rPr>
          <w:rFonts w:hint="eastAsia"/>
        </w:rPr>
        <w:t xml:space="preserve">图表制作、页面呈现、GitHub</w:t>
      </w:r>
      <w:r>
        <w:t xml:space="preserve"> </w:t>
      </w:r>
      <w:r>
        <w:rPr>
          <w:rFonts w:hint="eastAsia"/>
        </w:rPr>
        <w:t xml:space="preserve">维护、答辩与路演支持。</w:t>
      </w:r>
      <w:r>
        <w:t xml:space="preserve"> </w:t>
      </w:r>
      <w:r>
        <w:rPr>
          <w:rFonts w:hint="eastAsia"/>
        </w:rPr>
        <w:t xml:space="preserve">形成结果：把原型整理为可展示成果。</w:t>
      </w:r>
    </w:p>
    <w:bookmarkEnd w:id="138"/>
    <w:bookmarkStart w:id="139" w:name="协同结果"/>
    <w:p>
      <w:pPr>
        <w:pStyle w:val="Heading3"/>
      </w:pPr>
      <w:r>
        <w:t xml:space="preserve">7.4.6 </w:t>
      </w:r>
      <w:r>
        <w:rPr>
          <w:rFonts w:hint="eastAsia"/>
        </w:rPr>
        <w:t xml:space="preserve">协同结果</w:t>
      </w:r>
    </w:p>
    <w:p>
      <w:pPr>
        <w:pStyle w:val="FirstParagraph"/>
        <w:spacing w:line="360" w:lineRule="auto" w:after="120"/>
        <w:ind w:firstLine="420"/>
      </w:pPr>
      <w:r>
        <w:rPr>
          <w:rFonts w:hint="eastAsia"/>
        </w:rPr>
        <w:t xml:space="preserve">代码、实验、图表、政策材料、商业计划书和答辩内容可以被统一组织为一套完整项目资产。</w:t>
      </w:r>
    </w:p>
    <w:bookmarkEnd w:id="139"/>
    <w:bookmarkStart w:id="140" w:name="核心判断"/>
    <w:p>
      <w:pPr>
        <w:pStyle w:val="Heading3"/>
      </w:pPr>
      <w:r>
        <w:t xml:space="preserve">7.4.7 </w:t>
      </w:r>
      <w:r>
        <w:rPr>
          <w:rFonts w:hint="eastAsia"/>
        </w:rPr>
        <w:t xml:space="preserve">核心判断</w:t>
      </w:r>
    </w:p>
    <w:p>
      <w:pPr>
        <w:pStyle w:val="FirstParagraph"/>
        <w:spacing w:line="360" w:lineRule="auto" w:after="120"/>
        <w:ind w:firstLine="420"/>
      </w:pPr>
      <w:r>
        <w:rPr>
          <w:rFonts w:hint="eastAsia"/>
        </w:rPr>
        <w:t xml:space="preserve">项目依靠的不是单一点能力，而是多模块协同把复杂问题稳定推进为完整原型。</w:t>
      </w:r>
    </w:p>
    <w:p>
      <w:pPr>
        <w:pStyle w:val="BlockText"/>
      </w:pPr>
      <w:r>
        <w:rPr>
          <w:rFonts w:hint="eastAsia"/>
          <w:i/>
          <w:color w:val="6B7280"/>
        </w:rPr>
        <w:t xml:space="preserve">待补表格：团队分工表</w:t>
      </w:r>
    </w:p>
    <w:bookmarkEnd w:id="140"/>
    <w:bookmarkEnd w:id="141"/>
    <w:bookmarkStart w:id="145" w:name="教育实效项目如何体现以赛促学以创促用"/>
    <w:p>
      <w:pPr>
        <w:pStyle w:val="Heading2"/>
      </w:pPr>
      <w:r>
        <w:t xml:space="preserve">7.4 </w:t>
      </w:r>
      <w:r>
        <w:rPr>
          <w:rFonts w:hint="eastAsia"/>
        </w:rPr>
        <w:t xml:space="preserve">教育实效：项目如何体现“以赛促学、以创促用”</w:t>
      </w:r>
    </w:p>
    <w:p>
      <w:pPr>
        <w:pStyle w:val="FirstParagraph"/>
        <w:spacing w:line="360" w:lineRule="auto" w:after="120"/>
        <w:ind w:firstLine="420"/>
      </w:pPr>
      <w:r>
        <w:rPr>
          <w:rFonts w:hint="eastAsia"/>
        </w:rPr>
        <w:t xml:space="preserve">中国国际大学生创新大赛不仅关注项目是否有市场价值，也非常关注项目是否真正体现了人才培养价值。</w:t>
      </w:r>
      <w:r>
        <w:rPr>
          <w:rStyle w:val="VerbatimChar"/>
        </w:rPr>
        <w:t xml:space="preserve">SolarGuard</w:t>
      </w:r>
      <w:r>
        <w:t xml:space="preserve"> </w:t>
      </w:r>
      <w:r>
        <w:rPr>
          <w:rFonts w:hint="eastAsia"/>
        </w:rPr>
        <w:t xml:space="preserve">在这一点上具有较强的教育实效。</w:t>
      </w:r>
    </w:p>
    <w:p>
      <w:pPr>
        <w:pStyle w:val="BodyText"/>
        <w:spacing w:line="360" w:lineRule="auto" w:after="120"/>
        <w:ind w:firstLine="420"/>
      </w:pPr>
      <w:r>
        <w:rPr>
          <w:rFonts w:hint="eastAsia"/>
        </w:rPr>
        <w:t xml:space="preserve">首先，项目显著提升了团队成员的问题定义能力。团队并不是简单地复现已有系统，而是在项目推进中不断明确：真正要解决的是“新能源场景中的可信数据问题”，而不是只做一个监控页面或一个链上概念验证。这种对问题本质的逐步逼近，本身就是高水平创新训练的重要体现。</w:t>
      </w:r>
    </w:p>
    <w:p>
      <w:pPr>
        <w:pStyle w:val="BodyText"/>
        <w:spacing w:line="360" w:lineRule="auto" w:after="120"/>
        <w:ind w:firstLine="420"/>
      </w:pPr>
      <w:r>
        <w:rPr>
          <w:rFonts w:hint="eastAsia"/>
        </w:rPr>
        <w:t xml:space="preserve">其次，项目提升了团队成员的系统整合能力。项目涉及硬件采集、数据处理、密码学、联盟链、后端、前端、可视化、政策研究和商业论证等多个层面，团队成员必须学习如何将原本割裂的知识和工具组合成一个可运行、可展示、可说明的系统原型。这种能力远高于单一课程实验中的模块式训练。</w:t>
      </w:r>
    </w:p>
    <w:p>
      <w:pPr>
        <w:pStyle w:val="BodyText"/>
        <w:spacing w:line="360" w:lineRule="auto" w:after="120"/>
        <w:ind w:firstLine="420"/>
      </w:pPr>
      <w:r>
        <w:rPr>
          <w:rFonts w:hint="eastAsia"/>
        </w:rPr>
        <w:t xml:space="preserve">再次，项目强化了团队成员面向真实场景进行技术转化的能力。团队在开发过程中不断调整叙事和应用方向，从最初偏技术探索的表达，逐步转向更加贴近政策、场景和用户需求的产品化表达。这种“从技术实现走向场景理解和价值表达”的训练，是创新创业教育的核心目标之一。</w:t>
      </w:r>
    </w:p>
    <w:p>
      <w:pPr>
        <w:pStyle w:val="BodyText"/>
        <w:spacing w:line="360" w:lineRule="auto" w:after="120"/>
        <w:ind w:firstLine="420"/>
      </w:pPr>
      <w:r>
        <w:rPr>
          <w:rFonts w:hint="eastAsia"/>
        </w:rPr>
        <w:t xml:space="preserve">最后，项目还提升了团队成员的综合表达与项目管理能力。围绕本项目，团队已逐步形成代码仓库、总结报告、政策资料、商业计划书骨架和演示材料，这说明成员不仅学会了“做出来”，也学会了“讲清楚”和“组织起来”。</w:t>
      </w:r>
    </w:p>
    <w:p>
      <w:pPr>
        <w:pStyle w:val="CaptionedFigure"/>
      </w:pPr>
      <w:r>
        <w:drawing>
          <wp:inline>
            <wp:extent cx="5334000" cy="7000875"/>
            <wp:effectExtent b="0" l="0" r="0" t="0"/>
            <wp:docPr descr="项目形成路径图" title="" id="143" name="Picture"/>
            <a:graphic>
              <a:graphicData uri="http://schemas.openxmlformats.org/drawingml/2006/picture">
                <pic:pic>
                  <pic:nvPicPr>
                    <pic:cNvPr descr="/Users/evanhan/项目/光伏项目/比赛材料/素材库/最终图片/18_项目形成路径图_v1.png" id="144" name="Picture"/>
                    <pic:cNvPicPr>
                      <a:picLocks noChangeArrowheads="1" noChangeAspect="1"/>
                    </pic:cNvPicPr>
                  </pic:nvPicPr>
                  <pic:blipFill>
                    <a:blip r:embed="rId142"/>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项目形成路径图</w:t>
      </w:r>
    </w:p>
    <w:bookmarkEnd w:id="145"/>
    <w:bookmarkStart w:id="146" w:name="教育实效与专业学习和科研训练的结合"/>
    <w:p>
      <w:pPr>
        <w:pStyle w:val="Heading2"/>
      </w:pPr>
      <w:r>
        <w:t xml:space="preserve">7.5 </w:t>
      </w:r>
      <w:r>
        <w:rPr>
          <w:rFonts w:hint="eastAsia"/>
        </w:rPr>
        <w:t xml:space="preserve">教育实效：与专业学习和科研训练的结合</w:t>
      </w:r>
    </w:p>
    <w:p>
      <w:pPr>
        <w:pStyle w:val="FirstParagraph"/>
        <w:spacing w:line="360" w:lineRule="auto" w:after="120"/>
        <w:ind w:firstLine="420"/>
      </w:pPr>
      <w:r>
        <w:rPr>
          <w:rStyle w:val="VerbatimChar"/>
        </w:rPr>
        <w:t xml:space="preserve">SolarGuard</w:t>
      </w:r>
      <w:r>
        <w:t xml:space="preserve"> </w:t>
      </w:r>
      <w:r>
        <w:rPr>
          <w:rFonts w:hint="eastAsia"/>
        </w:rPr>
        <w:t xml:space="preserve">的形成过程并不是脱离专业学习的额外任务，而是对课程学习、科研训练和自主实践的综合延伸。项目中涉及的数据采集、脚本开发、系统架构设计、前后端联动、区块链交互、技术文档撰写和实验验证，本质上都来源于专业知识和自主学习能力的融合应用。</w:t>
      </w:r>
    </w:p>
    <w:p>
      <w:pPr>
        <w:pStyle w:val="BodyText"/>
        <w:spacing w:line="360" w:lineRule="auto" w:after="120"/>
        <w:ind w:firstLine="420"/>
      </w:pPr>
      <w:r>
        <w:rPr>
          <w:rFonts w:hint="eastAsia"/>
        </w:rPr>
        <w:t xml:space="preserve">从人才培养角度看，这种项目训练至少带来了三方面提升。</w:t>
      </w:r>
    </w:p>
    <w:p>
      <w:pPr>
        <w:pStyle w:val="BodyText"/>
        <w:spacing w:line="360" w:lineRule="auto" w:after="120"/>
        <w:ind w:firstLine="420"/>
      </w:pPr>
      <w:r>
        <w:rPr>
          <w:rFonts w:hint="eastAsia"/>
        </w:rPr>
        <w:t xml:space="preserve">第一，是</w:t>
      </w:r>
      <w:r>
        <w:t xml:space="preserve"> </w:t>
      </w:r>
      <w:r>
        <w:rPr>
          <w:rStyle w:val="VerbatimChar"/>
          <w:rFonts w:hint="eastAsia"/>
        </w:rPr>
        <w:t xml:space="preserve">知识迁移能力</w:t>
      </w:r>
      <w:r>
        <w:rPr>
          <w:rFonts w:hint="eastAsia"/>
        </w:rPr>
        <w:t xml:space="preserve">。团队成员需要将课堂中相对分散的知识点迁移到一个复杂真实问题中，例如将通信协议理解、程序设计、数据处理和系统实现能力整合起来，而不是孤立掌握。</w:t>
      </w:r>
    </w:p>
    <w:p>
      <w:pPr>
        <w:pStyle w:val="BodyText"/>
        <w:spacing w:line="360" w:lineRule="auto" w:after="120"/>
        <w:ind w:firstLine="420"/>
      </w:pPr>
      <w:r>
        <w:rPr>
          <w:rFonts w:hint="eastAsia"/>
        </w:rPr>
        <w:t xml:space="preserve">第二，是</w:t>
      </w:r>
      <w:r>
        <w:t xml:space="preserve"> </w:t>
      </w:r>
      <w:r>
        <w:rPr>
          <w:rStyle w:val="VerbatimChar"/>
          <w:rFonts w:hint="eastAsia"/>
        </w:rPr>
        <w:t xml:space="preserve">工程实践能力</w:t>
      </w:r>
      <w:r>
        <w:rPr>
          <w:rFonts w:hint="eastAsia"/>
        </w:rPr>
        <w:t xml:space="preserve">。项目不是停留在代码片段和单次实验上，而是以完整系统原型为目标，要求成员理解模块边界、接口关系、运行逻辑和实验验证方式。这种工程意识对学生成长十分关键。</w:t>
      </w:r>
    </w:p>
    <w:p>
      <w:pPr>
        <w:pStyle w:val="BodyText"/>
        <w:spacing w:line="360" w:lineRule="auto" w:after="120"/>
        <w:ind w:firstLine="420"/>
      </w:pPr>
      <w:r>
        <w:rPr>
          <w:rFonts w:hint="eastAsia"/>
        </w:rPr>
        <w:t xml:space="preserve">第三，是</w:t>
      </w:r>
      <w:r>
        <w:t xml:space="preserve"> </w:t>
      </w:r>
      <w:r>
        <w:rPr>
          <w:rStyle w:val="VerbatimChar"/>
          <w:rFonts w:hint="eastAsia"/>
        </w:rPr>
        <w:t xml:space="preserve">研究与论证能力</w:t>
      </w:r>
      <w:r>
        <w:rPr>
          <w:rFonts w:hint="eastAsia"/>
        </w:rPr>
        <w:t xml:space="preserve">。项目在推进过程中不仅做技术实现，还要做政策判断、场景分析和商业计划论证，这使团队成员在技术之外进一步理解了创新项目如何与现实制度、社会需求和产业逻辑发生联系。</w:t>
      </w:r>
    </w:p>
    <w:bookmarkEnd w:id="146"/>
    <w:bookmarkStart w:id="152" w:name="教育实效总结"/>
    <w:p>
      <w:pPr>
        <w:pStyle w:val="Heading2"/>
      </w:pPr>
      <w:r>
        <w:t xml:space="preserve">7.6 </w:t>
      </w:r>
      <w:r>
        <w:rPr>
          <w:rFonts w:hint="eastAsia"/>
        </w:rPr>
        <w:t xml:space="preserve">教育实效总结</w:t>
      </w:r>
    </w:p>
    <w:bookmarkStart w:id="147" w:name="知识迁移"/>
    <w:p>
      <w:pPr>
        <w:pStyle w:val="Heading3"/>
      </w:pPr>
      <w:r>
        <w:t xml:space="preserve">7.6.1 </w:t>
      </w:r>
      <w:r>
        <w:rPr>
          <w:rFonts w:hint="eastAsia"/>
        </w:rPr>
        <w:t xml:space="preserve">知识迁移</w:t>
      </w:r>
    </w:p>
    <w:p>
      <w:pPr>
        <w:pStyle w:val="FirstParagraph"/>
        <w:spacing w:line="360" w:lineRule="auto" w:after="120"/>
        <w:ind w:firstLine="420"/>
      </w:pPr>
      <w:r>
        <w:rPr>
          <w:rFonts w:hint="eastAsia"/>
        </w:rPr>
        <w:t xml:space="preserve">把通信协议、程序设计、数据处理、前后端与区块链知识迁移到真实复杂问题中。</w:t>
      </w:r>
    </w:p>
    <w:bookmarkEnd w:id="147"/>
    <w:bookmarkStart w:id="148" w:name="工程实践"/>
    <w:p>
      <w:pPr>
        <w:pStyle w:val="Heading3"/>
      </w:pPr>
      <w:r>
        <w:t xml:space="preserve">7.6.2 </w:t>
      </w:r>
      <w:r>
        <w:rPr>
          <w:rFonts w:hint="eastAsia"/>
        </w:rPr>
        <w:t xml:space="preserve">工程实践</w:t>
      </w:r>
    </w:p>
    <w:p>
      <w:pPr>
        <w:pStyle w:val="FirstParagraph"/>
        <w:spacing w:line="360" w:lineRule="auto" w:after="120"/>
        <w:ind w:firstLine="420"/>
      </w:pPr>
      <w:r>
        <w:rPr>
          <w:rFonts w:hint="eastAsia"/>
        </w:rPr>
        <w:t xml:space="preserve">围绕设备、脚本、接口、页面和系统运行逻辑，形成完整原型，而不是孤立代码片段。</w:t>
      </w:r>
    </w:p>
    <w:bookmarkEnd w:id="148"/>
    <w:bookmarkStart w:id="149" w:name="研究论证"/>
    <w:p>
      <w:pPr>
        <w:pStyle w:val="Heading3"/>
      </w:pPr>
      <w:r>
        <w:t xml:space="preserve">7.6.3 </w:t>
      </w:r>
      <w:r>
        <w:rPr>
          <w:rFonts w:hint="eastAsia"/>
        </w:rPr>
        <w:t xml:space="preserve">研究论证</w:t>
      </w:r>
    </w:p>
    <w:p>
      <w:pPr>
        <w:pStyle w:val="FirstParagraph"/>
        <w:spacing w:line="360" w:lineRule="auto" w:after="120"/>
        <w:ind w:firstLine="420"/>
      </w:pPr>
      <w:r>
        <w:rPr>
          <w:rFonts w:hint="eastAsia"/>
        </w:rPr>
        <w:t xml:space="preserve">同步进行政策研判、场景分析、商业论证和合规边界判断。</w:t>
      </w:r>
    </w:p>
    <w:bookmarkEnd w:id="149"/>
    <w:bookmarkStart w:id="150" w:name="综合表达与组织输出"/>
    <w:p>
      <w:pPr>
        <w:pStyle w:val="Heading3"/>
      </w:pPr>
      <w:r>
        <w:t xml:space="preserve">7.6.4 </w:t>
      </w:r>
      <w:r>
        <w:rPr>
          <w:rFonts w:hint="eastAsia"/>
        </w:rPr>
        <w:t xml:space="preserve">综合表达与组织输出</w:t>
      </w:r>
    </w:p>
    <w:p>
      <w:pPr>
        <w:pStyle w:val="FirstParagraph"/>
        <w:spacing w:line="360" w:lineRule="auto" w:after="120"/>
        <w:ind w:firstLine="420"/>
      </w:pPr>
      <w:r>
        <w:rPr>
          <w:rFonts w:hint="eastAsia"/>
        </w:rPr>
        <w:t xml:space="preserve">把代码、实验、图表、仓库、BP</w:t>
      </w:r>
      <w:r>
        <w:t xml:space="preserve"> </w:t>
      </w:r>
      <w:r>
        <w:rPr>
          <w:rFonts w:hint="eastAsia"/>
        </w:rPr>
        <w:t xml:space="preserve">和答辩材料组织成可被评委快速理解的项目成果，完成从“做系统”到“讲清系统”的能力转换。</w:t>
      </w:r>
    </w:p>
    <w:bookmarkEnd w:id="150"/>
    <w:bookmarkStart w:id="151" w:name="教育实效结论"/>
    <w:p>
      <w:pPr>
        <w:pStyle w:val="Heading3"/>
      </w:pPr>
      <w:r>
        <w:t xml:space="preserve">7.6.5 </w:t>
      </w:r>
      <w:r>
        <w:rPr>
          <w:rFonts w:hint="eastAsia"/>
        </w:rPr>
        <w:t xml:space="preserve">教育实效结论</w:t>
      </w:r>
    </w:p>
    <w:p>
      <w:pPr>
        <w:pStyle w:val="FirstParagraph"/>
        <w:spacing w:line="360" w:lineRule="auto" w:after="120"/>
        <w:ind w:firstLine="420"/>
      </w:pPr>
      <w:r>
        <w:t xml:space="preserve">SolarGuard </w:t>
      </w:r>
      <w:r>
        <w:rPr>
          <w:rFonts w:hint="eastAsia"/>
        </w:rPr>
        <w:t xml:space="preserve">的训练价值不只在于“做出一个项目”，而在于让成员完成从知识学习到系统实现、从技术验证到现实表达的完整成长闭环。它符合创新大赛“以赛促学、以创促用、专创融合”的核心要求。</w:t>
      </w:r>
    </w:p>
    <w:bookmarkEnd w:id="151"/>
    <w:bookmarkEnd w:id="152"/>
    <w:bookmarkStart w:id="153" w:name="团队的现有基础与项目推进条件"/>
    <w:p>
      <w:pPr>
        <w:pStyle w:val="Heading2"/>
      </w:pPr>
      <w:r>
        <w:t xml:space="preserve">7.6 </w:t>
      </w:r>
      <w:r>
        <w:rPr>
          <w:rFonts w:hint="eastAsia"/>
        </w:rPr>
        <w:t xml:space="preserve">团队的现有基础与项目推进条件</w:t>
      </w:r>
    </w:p>
    <w:p>
      <w:pPr>
        <w:pStyle w:val="FirstParagraph"/>
        <w:spacing w:line="360" w:lineRule="auto" w:after="120"/>
        <w:ind w:firstLine="420"/>
      </w:pPr>
      <w:r>
        <w:rPr>
          <w:rFonts w:hint="eastAsia"/>
        </w:rPr>
        <w:t xml:space="preserve">从当前情况看，</w:t>
      </w:r>
      <w:r>
        <w:rPr>
          <w:rStyle w:val="VerbatimChar"/>
        </w:rPr>
        <w:t xml:space="preserve">SolarGuard</w:t>
      </w:r>
      <w:r>
        <w:t xml:space="preserve"> </w:t>
      </w:r>
      <w:r>
        <w:rPr>
          <w:rFonts w:hint="eastAsia"/>
        </w:rPr>
        <w:t xml:space="preserve">团队已经具备继续推进项目的多项基础条件。</w:t>
      </w:r>
    </w:p>
    <w:p>
      <w:pPr>
        <w:pStyle w:val="BodyText"/>
        <w:spacing w:line="360" w:lineRule="auto" w:after="120"/>
        <w:ind w:firstLine="420"/>
      </w:pPr>
      <w:r>
        <w:rPr>
          <w:rFonts w:hint="eastAsia"/>
        </w:rPr>
        <w:t xml:space="preserve">第一，已经拥有较完整的代码和原型基础。现有项目代码涵盖设备采集、自动监测、链上交互、前端展示和合约原型等内容，为后续深化提供了坚实基础。</w:t>
      </w:r>
    </w:p>
    <w:p>
      <w:pPr>
        <w:pStyle w:val="BodyText"/>
        <w:spacing w:line="360" w:lineRule="auto" w:after="120"/>
        <w:ind w:firstLine="420"/>
      </w:pPr>
      <w:r>
        <w:rPr>
          <w:rFonts w:hint="eastAsia"/>
        </w:rPr>
        <w:t xml:space="preserve">第二，已经形成较系统的材料基础。项目总结报告、商业计划书旧版本、GitHub</w:t>
      </w:r>
      <w:r>
        <w:t xml:space="preserve"> </w:t>
      </w:r>
      <w:r>
        <w:rPr>
          <w:rFonts w:hint="eastAsia"/>
        </w:rPr>
        <w:t xml:space="preserve">仓库、政策资料目录和实验记录，使团队具备快速形成比赛和立项材料的能力。</w:t>
      </w:r>
    </w:p>
    <w:p>
      <w:pPr>
        <w:pStyle w:val="BodyText"/>
        <w:spacing w:line="360" w:lineRule="auto" w:after="120"/>
        <w:ind w:firstLine="420"/>
      </w:pPr>
      <w:r>
        <w:rPr>
          <w:rFonts w:hint="eastAsia"/>
        </w:rPr>
        <w:t xml:space="preserve">第三，已经完成项目定位的初步调整。面对新的政策环境，团队并未停留在旧有概念中，而是主动对项目进行重新定位，将重点转向新能源可信数据、绿色资产核验和绿色金融辅助服务，这体现了较强的学习与适应能力。</w:t>
      </w:r>
    </w:p>
    <w:p>
      <w:pPr>
        <w:pStyle w:val="BodyText"/>
        <w:spacing w:line="360" w:lineRule="auto" w:after="120"/>
        <w:ind w:firstLine="420"/>
      </w:pPr>
      <w:r>
        <w:rPr>
          <w:rFonts w:hint="eastAsia"/>
        </w:rPr>
        <w:t xml:space="preserve">第四，团队已经具备较好的继续迭代条件。即使当前硬件设备不在学校，团队仍可以基于已有代码、模拟模式、前端原型、政策研究和材料整合继续推进项目，使项目不断向更完整的比赛版本演进。</w:t>
      </w:r>
    </w:p>
    <w:bookmarkEnd w:id="153"/>
    <w:bookmarkStart w:id="154" w:name="指导资源与外部支持方向"/>
    <w:p>
      <w:pPr>
        <w:pStyle w:val="Heading2"/>
      </w:pPr>
      <w:r>
        <w:t xml:space="preserve">7.7 </w:t>
      </w:r>
      <w:r>
        <w:rPr>
          <w:rFonts w:hint="eastAsia"/>
        </w:rPr>
        <w:t xml:space="preserve">指导资源与外部支持方向</w:t>
      </w:r>
    </w:p>
    <w:p>
      <w:pPr>
        <w:pStyle w:val="FirstParagraph"/>
        <w:spacing w:line="360" w:lineRule="auto" w:after="120"/>
        <w:ind w:firstLine="420"/>
      </w:pPr>
      <w:r>
        <w:rPr>
          <w:rFonts w:hint="eastAsia"/>
        </w:rPr>
        <w:t xml:space="preserve">对于高校创新项目而言，导师支持、校内平台支持和外部场景资源往往是项目成长的重要条件。</w:t>
      </w:r>
      <w:r>
        <w:rPr>
          <w:rStyle w:val="VerbatimChar"/>
        </w:rPr>
        <w:t xml:space="preserve">SolarGuard</w:t>
      </w:r>
      <w:r>
        <w:t xml:space="preserve"> </w:t>
      </w:r>
      <w:r>
        <w:rPr>
          <w:rFonts w:hint="eastAsia"/>
        </w:rPr>
        <w:t xml:space="preserve">后续的指导资源重点可围绕三个方向展开。</w:t>
      </w:r>
    </w:p>
    <w:p>
      <w:pPr>
        <w:pStyle w:val="BodyText"/>
        <w:spacing w:line="360" w:lineRule="auto" w:after="120"/>
        <w:ind w:firstLine="420"/>
      </w:pPr>
      <w:r>
        <w:rPr>
          <w:rFonts w:hint="eastAsia"/>
        </w:rPr>
        <w:t xml:space="preserve">第一，是</w:t>
      </w:r>
      <w:r>
        <w:t xml:space="preserve"> </w:t>
      </w:r>
      <w:r>
        <w:rPr>
          <w:rStyle w:val="VerbatimChar"/>
          <w:rFonts w:hint="eastAsia"/>
        </w:rPr>
        <w:t xml:space="preserve">技术指导资源</w:t>
      </w:r>
      <w:r>
        <w:rPr>
          <w:rFonts w:hint="eastAsia"/>
        </w:rPr>
        <w:t xml:space="preserve">，包括物联网系统、区块链系统、数据治理或软件工程方向的教师与研究资源，用于进一步提升系统可靠性和技术表达质量。</w:t>
      </w:r>
    </w:p>
    <w:p>
      <w:pPr>
        <w:pStyle w:val="BodyText"/>
        <w:spacing w:line="360" w:lineRule="auto" w:after="120"/>
        <w:ind w:firstLine="420"/>
      </w:pPr>
      <w:r>
        <w:rPr>
          <w:rFonts w:hint="eastAsia"/>
        </w:rPr>
        <w:t xml:space="preserve">第二，是</w:t>
      </w:r>
      <w:r>
        <w:t xml:space="preserve"> </w:t>
      </w:r>
      <w:r>
        <w:rPr>
          <w:rStyle w:val="VerbatimChar"/>
          <w:rFonts w:hint="eastAsia"/>
        </w:rPr>
        <w:t xml:space="preserve">场景与产业资源</w:t>
      </w:r>
      <w:r>
        <w:rPr>
          <w:rFonts w:hint="eastAsia"/>
        </w:rPr>
        <w:t xml:space="preserve">，包括校内实验平台、园区合作机会、企业交流渠道和新能源相关团队资源，用于帮助项目从原型展示进一步走向真实场景验证。</w:t>
      </w:r>
    </w:p>
    <w:p>
      <w:pPr>
        <w:pStyle w:val="BodyText"/>
        <w:spacing w:line="360" w:lineRule="auto" w:after="120"/>
        <w:ind w:firstLine="420"/>
      </w:pPr>
      <w:r>
        <w:rPr>
          <w:rFonts w:hint="eastAsia"/>
        </w:rPr>
        <w:t xml:space="preserve">第三，是</w:t>
      </w:r>
      <w:r>
        <w:t xml:space="preserve"> </w:t>
      </w:r>
      <w:r>
        <w:rPr>
          <w:rStyle w:val="VerbatimChar"/>
          <w:rFonts w:hint="eastAsia"/>
        </w:rPr>
        <w:t xml:space="preserve">创新创业支持资源</w:t>
      </w:r>
      <w:r>
        <w:rPr>
          <w:rFonts w:hint="eastAsia"/>
        </w:rPr>
        <w:t xml:space="preserve">，包括比赛指导、材料修改、展示设计和商业模式辅导资源，用于帮助团队把技术成果转化为更适合创新大赛和后续项目申报的成果形式。</w:t>
      </w:r>
    </w:p>
    <w:p>
      <w:pPr>
        <w:pStyle w:val="BodyText"/>
        <w:spacing w:line="360" w:lineRule="auto" w:after="120"/>
        <w:ind w:firstLine="420"/>
      </w:pPr>
      <w:r>
        <w:rPr>
          <w:rFonts w:hint="eastAsia"/>
        </w:rPr>
        <w:t xml:space="preserve">这些资源未必要求项目当前已经全部具备，但需要在商业计划书中体现出团队对自身发展路径和资源需求有明确认识。</w:t>
      </w:r>
    </w:p>
    <w:bookmarkEnd w:id="154"/>
    <w:bookmarkStart w:id="155" w:name="本章结论-5"/>
    <w:p>
      <w:pPr>
        <w:pStyle w:val="Heading2"/>
      </w:pPr>
      <w:r>
        <w:t xml:space="preserve">7.8 </w:t>
      </w:r>
      <w:r>
        <w:rPr>
          <w:rFonts w:hint="eastAsia"/>
        </w:rPr>
        <w:t xml:space="preserve">本章结论</w:t>
      </w:r>
    </w:p>
    <w:p>
      <w:pPr>
        <w:pStyle w:val="FirstParagraph"/>
        <w:spacing w:line="360" w:lineRule="auto" w:after="120"/>
        <w:ind w:firstLine="420"/>
      </w:pPr>
      <w:r>
        <w:rPr>
          <w:rFonts w:hint="eastAsia"/>
        </w:rPr>
        <w:t xml:space="preserve">总体而言，</w:t>
      </w:r>
      <w:r>
        <w:rPr>
          <w:rStyle w:val="VerbatimChar"/>
        </w:rPr>
        <w:t xml:space="preserve">SolarGuard</w:t>
      </w:r>
      <w:r>
        <w:t xml:space="preserve"> </w:t>
      </w:r>
      <w:r>
        <w:rPr>
          <w:rFonts w:hint="eastAsia"/>
        </w:rPr>
        <w:t xml:space="preserve">的团队基础具有三个明显特征：一是项目建立在真实代码和实验成果之上，具备较强的实践基础；二是团队在项目推进中已经体现出跨技术、跨场景、跨表达的协同能力；三是项目本身对成员的专业能力、工程能力、研究能力和创新表达能力都产生了明显训练效果。</w:t>
      </w:r>
    </w:p>
    <w:p>
      <w:pPr>
        <w:pStyle w:val="BodyText"/>
        <w:spacing w:line="360" w:lineRule="auto" w:after="120"/>
        <w:ind w:firstLine="420"/>
      </w:pPr>
      <w:r>
        <w:rPr>
          <w:rFonts w:hint="eastAsia"/>
        </w:rPr>
        <w:t xml:space="preserve">对于创新大赛而言，这说明</w:t>
      </w:r>
      <w:r>
        <w:t xml:space="preserve"> </w:t>
      </w:r>
      <w:r>
        <w:rPr>
          <w:rStyle w:val="VerbatimChar"/>
        </w:rPr>
        <w:t xml:space="preserve">SolarGuard</w:t>
      </w:r>
      <w:r>
        <w:t xml:space="preserve"> </w:t>
      </w:r>
      <w:r>
        <w:rPr>
          <w:rFonts w:hint="eastAsia"/>
        </w:rPr>
        <w:t xml:space="preserve">不只是一个“想法不错的项目”，更是一项能够真实体现学生成长、专创融合和实践训练价值的综合性创新成果。随着后续材料继续完善、团队信息进一步补全，本章将成为整份商业计划书中体现教育实效与团队可信度的重要支撑部分。</w:t>
      </w:r>
    </w:p>
    <w:p>
      <w:pPr>
        <w:spacing w:line="360" w:lineRule="auto" w:after="120"/>
        <w:ind w:firstLine="420"/>
      </w:pPr>
      <w:r>
        <w:pict>
          <v:rect style="width:0;height:1.5pt" o:hralign="center" o:hrstd="t" o:hr="t"/>
        </w:pict>
      </w:r>
    </w:p>
    <w:bookmarkEnd w:id="155"/>
    <w:bookmarkEnd w:id="156"/>
    <w:bookmarkStart w:id="178" w:name="第八章-财务预测与资源需求"/>
    <w:p>
      <w:pPr>
        <w:pStyle w:val="Heading1"/>
        <w:jc w:val="left"/>
      </w:pPr>
      <w:r>
        <w:rPr>
          <w:rFonts w:hint="eastAsia"/>
        </w:rPr>
        <w:t xml:space="preserve">第八章</w:t>
        <w:br w:type="page"/>
      </w:r>
      <w:r>
        <w:t xml:space="preserve"> </w:t>
      </w:r>
      <w:r>
        <w:rPr>
          <w:rFonts w:hint="eastAsia"/>
        </w:rPr>
        <w:t xml:space="preserve">财务预测与资源需求</w:t>
      </w:r>
    </w:p>
    <w:bookmarkStart w:id="157" w:name="财务分析的基本原则"/>
    <w:p>
      <w:pPr>
        <w:pStyle w:val="Heading2"/>
      </w:pPr>
      <w:r>
        <w:t xml:space="preserve">8.1 </w:t>
      </w:r>
      <w:r>
        <w:rPr>
          <w:rFonts w:hint="eastAsia"/>
        </w:rPr>
        <w:t xml:space="preserve">财务分析的基本原则</w:t>
      </w:r>
    </w:p>
    <w:p>
      <w:pPr>
        <w:pStyle w:val="FirstParagraph"/>
        <w:spacing w:line="360" w:lineRule="auto" w:after="120"/>
        <w:ind w:firstLine="420"/>
      </w:pPr>
      <w:r>
        <w:rPr>
          <w:rStyle w:val="VerbatimChar"/>
        </w:rPr>
        <w:t xml:space="preserve">SolarGuard</w:t>
      </w:r>
      <w:r>
        <w:t xml:space="preserve"> </w:t>
      </w:r>
      <w:r>
        <w:rPr>
          <w:rFonts w:hint="eastAsia"/>
        </w:rPr>
        <w:t xml:space="preserve">当前仍处于原型验证与项目申报阶段，因此本章的财务分析不应建立在“项目已经成熟商业化”的假设之上，而应建立在“现有投入真实、阶段目标清晰、未来收入路径可论证”的基础上。换句话说，本章的重点不是用夸张数字制造想象空间，而是通过合理、克制、可信的预算和预测，说明项目具备从原型走向试点的现实条件。</w:t>
      </w:r>
    </w:p>
    <w:p>
      <w:pPr>
        <w:pStyle w:val="BodyText"/>
        <w:spacing w:line="360" w:lineRule="auto" w:after="120"/>
        <w:ind w:firstLine="420"/>
      </w:pPr>
      <w:r>
        <w:rPr>
          <w:rFonts w:hint="eastAsia"/>
        </w:rPr>
        <w:t xml:space="preserve">因此，本章采用的原则包括：</w:t>
      </w:r>
    </w:p>
    <w:p>
      <w:pPr>
        <w:pStyle w:val="Compact"/>
        <w:numPr>
          <w:ilvl w:val="0"/>
          <w:numId w:val="1007"/>
        </w:numPr>
      </w:pPr>
      <w:r>
        <w:rPr>
          <w:rFonts w:hint="eastAsia"/>
        </w:rPr>
        <w:t xml:space="preserve">以现有实际投入和后续合理需求为基础</w:t>
      </w:r>
    </w:p>
    <w:p>
      <w:pPr>
        <w:pStyle w:val="Compact"/>
        <w:numPr>
          <w:ilvl w:val="0"/>
          <w:numId w:val="1007"/>
        </w:numPr>
      </w:pPr>
      <w:r>
        <w:rPr>
          <w:rFonts w:hint="eastAsia"/>
        </w:rPr>
        <w:t xml:space="preserve">以试点验证和小规模落地为核心场景</w:t>
      </w:r>
    </w:p>
    <w:p>
      <w:pPr>
        <w:pStyle w:val="Compact"/>
        <w:numPr>
          <w:ilvl w:val="0"/>
          <w:numId w:val="1007"/>
        </w:numPr>
      </w:pPr>
      <w:r>
        <w:rPr>
          <w:rFonts w:hint="eastAsia"/>
        </w:rPr>
        <w:t xml:space="preserve">不夸大短期收入，不虚构大规模市场份额</w:t>
      </w:r>
    </w:p>
    <w:p>
      <w:pPr>
        <w:pStyle w:val="Compact"/>
        <w:numPr>
          <w:ilvl w:val="0"/>
          <w:numId w:val="1007"/>
        </w:numPr>
      </w:pPr>
      <w:r>
        <w:rPr>
          <w:rFonts w:hint="eastAsia"/>
        </w:rPr>
        <w:t xml:space="preserve">强调项目对资源支持、试点场景和指导条件的真实需求</w:t>
      </w:r>
    </w:p>
    <w:p>
      <w:pPr>
        <w:pStyle w:val="FirstParagraph"/>
        <w:spacing w:line="360" w:lineRule="auto" w:after="120"/>
        <w:ind w:firstLine="420"/>
      </w:pPr>
      <w:r>
        <w:rPr>
          <w:rFonts w:hint="eastAsia"/>
        </w:rPr>
        <w:t xml:space="preserve">这种写法更符合高校创新项目和创新大赛的评审逻辑，也更便于后续根据真实情况补充细节数据。</w:t>
      </w:r>
    </w:p>
    <w:bookmarkEnd w:id="157"/>
    <w:bookmarkStart w:id="158" w:name="项目现有投入构成"/>
    <w:p>
      <w:pPr>
        <w:pStyle w:val="Heading2"/>
      </w:pPr>
      <w:r>
        <w:t xml:space="preserve">8.2 </w:t>
      </w:r>
      <w:r>
        <w:rPr>
          <w:rFonts w:hint="eastAsia"/>
        </w:rPr>
        <w:t xml:space="preserve">项目现有投入构成</w:t>
      </w:r>
    </w:p>
    <w:p>
      <w:pPr>
        <w:pStyle w:val="FirstParagraph"/>
        <w:spacing w:line="360" w:lineRule="auto" w:after="120"/>
        <w:ind w:firstLine="420"/>
      </w:pPr>
      <w:r>
        <w:rPr>
          <w:rFonts w:hint="eastAsia"/>
        </w:rPr>
        <w:t xml:space="preserve">从现阶段来看，</w:t>
      </w:r>
      <w:r>
        <w:rPr>
          <w:rStyle w:val="VerbatimChar"/>
        </w:rPr>
        <w:t xml:space="preserve">SolarGuard</w:t>
      </w:r>
      <w:r>
        <w:t xml:space="preserve"> </w:t>
      </w:r>
      <w:r>
        <w:rPr>
          <w:rFonts w:hint="eastAsia"/>
        </w:rPr>
        <w:t xml:space="preserve">的前期投入主要体现在硬件设备、服务器与运行环境、研发时间投入以及材料与展示准备四个方面。</w:t>
      </w:r>
    </w:p>
    <w:p>
      <w:pPr>
        <w:pStyle w:val="BodyText"/>
        <w:spacing w:line="360" w:lineRule="auto" w:after="120"/>
        <w:ind w:firstLine="420"/>
      </w:pPr>
      <w:r>
        <w:rPr>
          <w:rFonts w:hint="eastAsia"/>
        </w:rPr>
        <w:t xml:space="preserve">首先是硬件相关投入。项目围绕分布式光伏设备采集开展实验，需要依托光伏控制器、通信线缆、相关供电和测试环境，这些构成了项目最基础的物理条件。即使当前硬件暂时不在学校，项目早期能够完成设备侧验证，说明相关基础投入已经发生并形成成果。</w:t>
      </w:r>
    </w:p>
    <w:p>
      <w:pPr>
        <w:pStyle w:val="BodyText"/>
        <w:spacing w:line="360" w:lineRule="auto" w:after="120"/>
        <w:ind w:firstLine="420"/>
      </w:pPr>
      <w:r>
        <w:rPr>
          <w:rFonts w:hint="eastAsia"/>
        </w:rPr>
        <w:t xml:space="preserve">其次是服务器与系统运行环境投入。项目围绕联盟链读写、后端接口、自动监测与前端展示开展开发，需要占用一定的服务器、网络和运行环境资源。这类资源虽然在金额上不一定巨大，但在原型阶段是不可缺少的基础成本。</w:t>
      </w:r>
    </w:p>
    <w:p>
      <w:pPr>
        <w:pStyle w:val="BodyText"/>
        <w:spacing w:line="360" w:lineRule="auto" w:after="120"/>
        <w:ind w:firstLine="420"/>
      </w:pPr>
      <w:r>
        <w:rPr>
          <w:rFonts w:hint="eastAsia"/>
        </w:rPr>
        <w:t xml:space="preserve">再次是研发投入。对于学生项目而言，最重要也最容易被低估的投入往往是研发时间和学习成本。</w:t>
      </w:r>
      <w:r>
        <w:rPr>
          <w:rStyle w:val="VerbatimChar"/>
        </w:rPr>
        <w:t xml:space="preserve">SolarGuard</w:t>
      </w:r>
      <w:r>
        <w:t xml:space="preserve"> </w:t>
      </w:r>
      <w:r>
        <w:rPr>
          <w:rFonts w:hint="eastAsia"/>
        </w:rPr>
        <w:t xml:space="preserve">涉及设备采集、密码学签名、联盟链交互、可视化前端、政策研究和材料整合，其开发和调试过程本身就是高强度投入。这些投入虽然未必都以现金形式体现，但在项目价值形成过程中具有决定性意义。</w:t>
      </w:r>
    </w:p>
    <w:p>
      <w:pPr>
        <w:pStyle w:val="BodyText"/>
        <w:spacing w:line="360" w:lineRule="auto" w:after="120"/>
        <w:ind w:firstLine="420"/>
      </w:pPr>
      <w:r>
        <w:rPr>
          <w:rFonts w:hint="eastAsia"/>
        </w:rPr>
        <w:t xml:space="preserve">最后是材料与展示准备投入。随着项目进入比赛与立项阶段，围绕商业计划书、路演</w:t>
      </w:r>
      <w:r>
        <w:t xml:space="preserve"> </w:t>
      </w:r>
      <w:r>
        <w:rPr>
          <w:rFonts w:hint="eastAsia"/>
        </w:rPr>
        <w:t xml:space="preserve">PPT、图表、政策收集、总结报告和展示页面等产生的整理与设计工作，也构成了项目推进的重要资源消耗。</w:t>
      </w:r>
    </w:p>
    <w:p>
      <w:pPr>
        <w:pStyle w:val="BodyText"/>
        <w:spacing w:line="360" w:lineRule="auto" w:after="120"/>
        <w:ind w:firstLine="420"/>
      </w:pPr>
      <w:r>
        <w:rPr>
          <w:rFonts w:hint="eastAsia"/>
        </w:rPr>
        <w:t xml:space="preserve">综合来看，</w:t>
      </w:r>
      <w:r>
        <w:rPr>
          <w:rStyle w:val="VerbatimChar"/>
        </w:rPr>
        <w:t xml:space="preserve">SolarGuard</w:t>
      </w:r>
      <w:r>
        <w:t xml:space="preserve"> </w:t>
      </w:r>
      <w:r>
        <w:rPr>
          <w:rFonts w:hint="eastAsia"/>
        </w:rPr>
        <w:t xml:space="preserve">的现有投入虽然以学生自研和原型开发为主，但已经具备较明确的成本结构，并非“零成本概念项目”。</w:t>
      </w:r>
    </w:p>
    <w:bookmarkEnd w:id="158"/>
    <w:bookmarkStart w:id="165" w:name="后续阶段性预算设计"/>
    <w:p>
      <w:pPr>
        <w:pStyle w:val="Heading2"/>
      </w:pPr>
      <w:r>
        <w:t xml:space="preserve">8.3 </w:t>
      </w:r>
      <w:r>
        <w:rPr>
          <w:rFonts w:hint="eastAsia"/>
        </w:rPr>
        <w:t xml:space="preserve">后续阶段性预算设计</w:t>
      </w:r>
    </w:p>
    <w:p>
      <w:pPr>
        <w:pStyle w:val="FirstParagraph"/>
        <w:spacing w:line="360" w:lineRule="auto" w:after="120"/>
        <w:ind w:firstLine="420"/>
      </w:pPr>
      <w:r>
        <w:rPr>
          <w:rFonts w:hint="eastAsia"/>
        </w:rPr>
        <w:t xml:space="preserve">为了推动项目从当前原型阶段继续向前发展，后续预算可按三个阶段进行设计。</w:t>
      </w:r>
    </w:p>
    <w:bookmarkStart w:id="159" w:name="第一阶段比赛与立项推进阶段"/>
    <w:p>
      <w:pPr>
        <w:pStyle w:val="Heading3"/>
      </w:pPr>
      <w:r>
        <w:t xml:space="preserve">8.3.1 </w:t>
      </w:r>
      <w:r>
        <w:rPr>
          <w:rFonts w:hint="eastAsia"/>
        </w:rPr>
        <w:t xml:space="preserve">第一阶段：比赛与立项推进阶段</w:t>
      </w:r>
    </w:p>
    <w:p>
      <w:pPr>
        <w:pStyle w:val="FirstParagraph"/>
        <w:spacing w:line="360" w:lineRule="auto" w:after="120"/>
        <w:ind w:firstLine="420"/>
      </w:pPr>
      <w:r>
        <w:rPr>
          <w:rFonts w:hint="eastAsia"/>
        </w:rPr>
        <w:t xml:space="preserve">这一阶段的重点在于材料完善、展示优化和项目论证，主要投入包括：</w:t>
      </w:r>
    </w:p>
    <w:p>
      <w:pPr>
        <w:pStyle w:val="Compact"/>
        <w:numPr>
          <w:ilvl w:val="0"/>
          <w:numId w:val="1008"/>
        </w:numPr>
      </w:pPr>
      <w:r>
        <w:rPr>
          <w:rFonts w:hint="eastAsia"/>
        </w:rPr>
        <w:t xml:space="preserve">商业计划书、PPT</w:t>
      </w:r>
      <w:r>
        <w:t xml:space="preserve"> </w:t>
      </w:r>
      <w:r>
        <w:rPr>
          <w:rFonts w:hint="eastAsia"/>
        </w:rPr>
        <w:t xml:space="preserve">和展示物料制作</w:t>
      </w:r>
    </w:p>
    <w:p>
      <w:pPr>
        <w:pStyle w:val="Compact"/>
        <w:numPr>
          <w:ilvl w:val="0"/>
          <w:numId w:val="1008"/>
        </w:numPr>
      </w:pPr>
      <w:r>
        <w:rPr>
          <w:rFonts w:hint="eastAsia"/>
        </w:rPr>
        <w:t xml:space="preserve">页面截图、图表、架构图和宣传材料优化</w:t>
      </w:r>
    </w:p>
    <w:p>
      <w:pPr>
        <w:pStyle w:val="Compact"/>
        <w:numPr>
          <w:ilvl w:val="0"/>
          <w:numId w:val="1008"/>
        </w:numPr>
      </w:pPr>
      <w:r>
        <w:rPr>
          <w:rFonts w:hint="eastAsia"/>
        </w:rPr>
        <w:t xml:space="preserve">资料收集与打印、答辩准备等支出</w:t>
      </w:r>
    </w:p>
    <w:p>
      <w:pPr>
        <w:pStyle w:val="FirstParagraph"/>
        <w:spacing w:line="360" w:lineRule="auto" w:after="120"/>
        <w:ind w:firstLine="420"/>
      </w:pPr>
      <w:r>
        <w:rPr>
          <w:rFonts w:hint="eastAsia"/>
        </w:rPr>
        <w:t xml:space="preserve">这一阶段的特点是现金支出相对有限，但时间和整理成本较高。其目标不是形成收入，而是帮助项目获得比赛成绩、立项支持和外部资源关注。</w:t>
      </w:r>
    </w:p>
    <w:bookmarkEnd w:id="159"/>
    <w:bookmarkStart w:id="160" w:name="第二阶段试点验证阶段"/>
    <w:p>
      <w:pPr>
        <w:pStyle w:val="Heading3"/>
      </w:pPr>
      <w:r>
        <w:t xml:space="preserve">8.3.2 </w:t>
      </w:r>
      <w:r>
        <w:rPr>
          <w:rFonts w:hint="eastAsia"/>
        </w:rPr>
        <w:t xml:space="preserve">第二阶段：试点验证阶段</w:t>
      </w:r>
    </w:p>
    <w:p>
      <w:pPr>
        <w:pStyle w:val="FirstParagraph"/>
        <w:spacing w:line="360" w:lineRule="auto" w:after="120"/>
        <w:ind w:firstLine="420"/>
      </w:pPr>
      <w:r>
        <w:rPr>
          <w:rFonts w:hint="eastAsia"/>
        </w:rPr>
        <w:t xml:space="preserve">这一阶段的重点在于恢复硬件条件、增强原型稳定性并寻找典型场景试点。主要投入包括：</w:t>
      </w:r>
    </w:p>
    <w:p>
      <w:pPr>
        <w:pStyle w:val="Compact"/>
        <w:numPr>
          <w:ilvl w:val="0"/>
          <w:numId w:val="1009"/>
        </w:numPr>
      </w:pPr>
      <w:r>
        <w:rPr>
          <w:rFonts w:hint="eastAsia"/>
        </w:rPr>
        <w:t xml:space="preserve">硬件重新接入与测试</w:t>
      </w:r>
    </w:p>
    <w:p>
      <w:pPr>
        <w:pStyle w:val="Compact"/>
        <w:numPr>
          <w:ilvl w:val="0"/>
          <w:numId w:val="1009"/>
        </w:numPr>
      </w:pPr>
      <w:r>
        <w:rPr>
          <w:rFonts w:hint="eastAsia"/>
        </w:rPr>
        <w:t xml:space="preserve">服务器与运行环境维护</w:t>
      </w:r>
    </w:p>
    <w:p>
      <w:pPr>
        <w:pStyle w:val="Compact"/>
        <w:numPr>
          <w:ilvl w:val="0"/>
          <w:numId w:val="1009"/>
        </w:numPr>
      </w:pPr>
      <w:r>
        <w:rPr>
          <w:rFonts w:hint="eastAsia"/>
        </w:rPr>
        <w:t xml:space="preserve">系统优化和接口完善</w:t>
      </w:r>
    </w:p>
    <w:p>
      <w:pPr>
        <w:pStyle w:val="Compact"/>
        <w:numPr>
          <w:ilvl w:val="0"/>
          <w:numId w:val="1009"/>
        </w:numPr>
      </w:pPr>
      <w:r>
        <w:rPr>
          <w:rFonts w:hint="eastAsia"/>
        </w:rPr>
        <w:t xml:space="preserve">小范围试点场景支持成本</w:t>
      </w:r>
    </w:p>
    <w:p>
      <w:pPr>
        <w:pStyle w:val="FirstParagraph"/>
        <w:spacing w:line="360" w:lineRule="auto" w:after="120"/>
        <w:ind w:firstLine="420"/>
      </w:pPr>
      <w:r>
        <w:rPr>
          <w:rFonts w:hint="eastAsia"/>
        </w:rPr>
        <w:t xml:space="preserve">这一阶段的目标是将当前原型从“可展示”进一步提升到“可在小场景中稳定运行”，并形成可作为样板案例的成果。</w:t>
      </w:r>
    </w:p>
    <w:bookmarkEnd w:id="160"/>
    <w:bookmarkStart w:id="164" w:name="第三阶段平台化升级阶段"/>
    <w:p>
      <w:pPr>
        <w:pStyle w:val="Heading3"/>
      </w:pPr>
      <w:r>
        <w:t xml:space="preserve">8.3.3 </w:t>
      </w:r>
      <w:r>
        <w:rPr>
          <w:rFonts w:hint="eastAsia"/>
        </w:rPr>
        <w:t xml:space="preserve">第三阶段：平台化升级阶段</w:t>
      </w:r>
    </w:p>
    <w:p>
      <w:pPr>
        <w:pStyle w:val="FirstParagraph"/>
        <w:spacing w:line="360" w:lineRule="auto" w:after="120"/>
        <w:ind w:firstLine="420"/>
      </w:pPr>
      <w:r>
        <w:rPr>
          <w:rFonts w:hint="eastAsia"/>
        </w:rPr>
        <w:t xml:space="preserve">在试点成功后，项目若继续推进，可进入更高层次的平台化升级阶段。主要投入包括：</w:t>
      </w:r>
    </w:p>
    <w:p>
      <w:pPr>
        <w:pStyle w:val="Compact"/>
        <w:numPr>
          <w:ilvl w:val="0"/>
          <w:numId w:val="1010"/>
        </w:numPr>
      </w:pPr>
      <w:r>
        <w:rPr>
          <w:rFonts w:hint="eastAsia"/>
        </w:rPr>
        <w:t xml:space="preserve">更多设备兼容和数据接口扩展</w:t>
      </w:r>
    </w:p>
    <w:p>
      <w:pPr>
        <w:pStyle w:val="Compact"/>
        <w:numPr>
          <w:ilvl w:val="0"/>
          <w:numId w:val="1010"/>
        </w:numPr>
      </w:pPr>
      <w:r>
        <w:rPr>
          <w:rFonts w:hint="eastAsia"/>
        </w:rPr>
        <w:t xml:space="preserve">前后端产品化完善</w:t>
      </w:r>
    </w:p>
    <w:p>
      <w:pPr>
        <w:pStyle w:val="Compact"/>
        <w:numPr>
          <w:ilvl w:val="0"/>
          <w:numId w:val="1010"/>
        </w:numPr>
      </w:pPr>
      <w:r>
        <w:rPr>
          <w:rFonts w:hint="eastAsia"/>
        </w:rPr>
        <w:t xml:space="preserve">可视化和报告模块标准化</w:t>
      </w:r>
    </w:p>
    <w:p>
      <w:pPr>
        <w:pStyle w:val="Compact"/>
        <w:numPr>
          <w:ilvl w:val="0"/>
          <w:numId w:val="1010"/>
        </w:numPr>
      </w:pPr>
      <w:r>
        <w:rPr>
          <w:rFonts w:hint="eastAsia"/>
        </w:rPr>
        <w:t xml:space="preserve">对接</w:t>
      </w:r>
      <w:r>
        <w:t xml:space="preserve"> </w:t>
      </w:r>
      <w:r>
        <w:rPr>
          <w:rFonts w:hint="eastAsia"/>
        </w:rPr>
        <w:t xml:space="preserve">ESG、绿证或绿色金融相关场景的业务模块开发</w:t>
      </w:r>
    </w:p>
    <w:p>
      <w:pPr>
        <w:pStyle w:val="FirstParagraph"/>
        <w:spacing w:line="360" w:lineRule="auto" w:after="120"/>
        <w:ind w:firstLine="420"/>
      </w:pPr>
      <w:r>
        <w:rPr>
          <w:rFonts w:hint="eastAsia"/>
        </w:rPr>
        <w:t xml:space="preserve">这一阶段的投入会明显高于前两个阶段，但也对应更强的复制性和更清晰的收入可能。</w:t>
      </w:r>
    </w:p>
    <w:p>
      <w:pPr>
        <w:pStyle w:val="CaptionedFigure"/>
      </w:pPr>
      <w:r>
        <w:drawing>
          <wp:inline>
            <wp:extent cx="5334000" cy="7000875"/>
            <wp:effectExtent b="0" l="0" r="0" t="0"/>
            <wp:docPr descr="插图" title="" id="162" name="Picture"/>
            <a:graphic>
              <a:graphicData uri="http://schemas.openxmlformats.org/drawingml/2006/picture">
                <pic:pic>
                  <pic:nvPicPr>
                    <pic:cNvPr descr="/Users/evanhan/项目/光伏项目/比赛材料/素材库/最终图片/20_阶段预算柱状图_v1.png" id="163" name="Picture"/>
                    <pic:cNvPicPr>
                      <a:picLocks noChangeArrowheads="1" noChangeAspect="1"/>
                    </pic:cNvPicPr>
                  </pic:nvPicPr>
                  <pic:blipFill>
                    <a:blip r:embed="rId161"/>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p>
      <w:pPr>
        <w:pStyle w:val="BlockText"/>
      </w:pPr>
      <w:r>
        <w:rPr>
          <w:rFonts w:hint="eastAsia"/>
          <w:i/>
          <w:color w:val="6B7280"/>
        </w:rPr>
        <w:t xml:space="preserve">待补表格：阶段预算表</w:t>
      </w:r>
    </w:p>
    <w:bookmarkEnd w:id="164"/>
    <w:bookmarkEnd w:id="165"/>
    <w:bookmarkStart w:id="166" w:name="未来收入预测逻辑"/>
    <w:p>
      <w:pPr>
        <w:pStyle w:val="Heading2"/>
      </w:pPr>
      <w:r>
        <w:t xml:space="preserve">8.4 </w:t>
      </w:r>
      <w:r>
        <w:rPr>
          <w:rFonts w:hint="eastAsia"/>
        </w:rPr>
        <w:t xml:space="preserve">未来收入预测逻辑</w:t>
      </w:r>
    </w:p>
    <w:p>
      <w:pPr>
        <w:pStyle w:val="FirstParagraph"/>
        <w:spacing w:line="360" w:lineRule="auto" w:after="120"/>
        <w:ind w:firstLine="420"/>
      </w:pPr>
      <w:r>
        <w:rPr>
          <w:rStyle w:val="VerbatimChar"/>
        </w:rPr>
        <w:t xml:space="preserve">SolarGuard</w:t>
      </w:r>
      <w:r>
        <w:t xml:space="preserve"> </w:t>
      </w:r>
      <w:r>
        <w:rPr>
          <w:rFonts w:hint="eastAsia"/>
        </w:rPr>
        <w:t xml:space="preserve">的收入预测不应基于夸张扩张，而应建立在“小规模试点逐步放大”的逻辑上。结合项目现有定位，未来收入可主要来自三条路径。</w:t>
      </w:r>
    </w:p>
    <w:p>
      <w:pPr>
        <w:pStyle w:val="BodyText"/>
        <w:spacing w:line="360" w:lineRule="auto" w:after="120"/>
        <w:ind w:firstLine="420"/>
      </w:pPr>
      <w:r>
        <w:rPr>
          <w:rFonts w:hint="eastAsia"/>
        </w:rPr>
        <w:t xml:space="preserve">第一条路径是</w:t>
      </w:r>
      <w:r>
        <w:t xml:space="preserve"> </w:t>
      </w:r>
      <w:r>
        <w:rPr>
          <w:rStyle w:val="VerbatimChar"/>
          <w:rFonts w:hint="eastAsia"/>
        </w:rPr>
        <w:t xml:space="preserve">基础服务收入</w:t>
      </w:r>
      <w:r>
        <w:rPr>
          <w:rFonts w:hint="eastAsia"/>
        </w:rPr>
        <w:t xml:space="preserve">。即围绕分布式光伏项目的数据采集、自动监测、历史记录管理和可视化看板提供基础平台服务。这类收入适合作为早期最稳定的服务收入来源。</w:t>
      </w:r>
    </w:p>
    <w:p>
      <w:pPr>
        <w:pStyle w:val="BodyText"/>
        <w:spacing w:line="360" w:lineRule="auto" w:after="120"/>
        <w:ind w:firstLine="420"/>
      </w:pPr>
      <w:r>
        <w:rPr>
          <w:rFonts w:hint="eastAsia"/>
        </w:rPr>
        <w:t xml:space="preserve">第二条路径是</w:t>
      </w:r>
      <w:r>
        <w:t xml:space="preserve"> </w:t>
      </w:r>
      <w:r>
        <w:rPr>
          <w:rStyle w:val="VerbatimChar"/>
          <w:rFonts w:hint="eastAsia"/>
        </w:rPr>
        <w:t xml:space="preserve">专项核验与报告收入</w:t>
      </w:r>
      <w:r>
        <w:rPr>
          <w:rFonts w:hint="eastAsia"/>
        </w:rPr>
        <w:t xml:space="preserve">。当项目进一步具备更成熟的数据留痕与历史分析能力后，可向客户提供可信数据报告、运行记录摘要、项目数据核验结果等增值输出。这类服务收入更具附加值，也更能体现项目的差异化能力。</w:t>
      </w:r>
    </w:p>
    <w:p>
      <w:pPr>
        <w:pStyle w:val="BodyText"/>
        <w:spacing w:line="360" w:lineRule="auto" w:after="120"/>
        <w:ind w:firstLine="420"/>
      </w:pPr>
      <w:r>
        <w:rPr>
          <w:rFonts w:hint="eastAsia"/>
        </w:rPr>
        <w:t xml:space="preserve">第三条路径是</w:t>
      </w:r>
      <w:r>
        <w:t xml:space="preserve"> </w:t>
      </w:r>
      <w:r>
        <w:rPr>
          <w:rStyle w:val="VerbatimChar"/>
          <w:rFonts w:hint="eastAsia"/>
        </w:rPr>
        <w:t xml:space="preserve">合作定制收入</w:t>
      </w:r>
      <w:r>
        <w:rPr>
          <w:rFonts w:hint="eastAsia"/>
        </w:rPr>
        <w:t xml:space="preserve">。对于园区平台、ESG</w:t>
      </w:r>
      <w:r>
        <w:t xml:space="preserve"> </w:t>
      </w:r>
      <w:r>
        <w:rPr>
          <w:rFonts w:hint="eastAsia"/>
        </w:rPr>
        <w:t xml:space="preserve">服务机构、绿色金融相关机构或其他场景合作方，项目未来可以提供专项接口对接、功能定制和场景化开发服务。这类收入不一定稳定，但单次合作价值相对更高。</w:t>
      </w:r>
    </w:p>
    <w:p>
      <w:pPr>
        <w:pStyle w:val="BodyText"/>
        <w:spacing w:line="360" w:lineRule="auto" w:after="120"/>
        <w:ind w:firstLine="420"/>
      </w:pPr>
      <w:r>
        <w:rPr>
          <w:rFonts w:hint="eastAsia"/>
        </w:rPr>
        <w:t xml:space="preserve">从收入节奏看，项目在短期内更适合以试点合作和服务验证为主，中期逐步建立标准化模块和复用能力，长期再考虑更完整的平台化收入模式。这样的预测逻辑既符合项目当前阶段，也更符合评审对于高校项目“成长路径”的期待。</w:t>
      </w:r>
    </w:p>
    <w:p>
      <w:pPr>
        <w:pStyle w:val="BlockText"/>
      </w:pPr>
      <w:r>
        <w:rPr>
          <w:rFonts w:hint="eastAsia"/>
          <w:i/>
          <w:color w:val="6B7280"/>
        </w:rPr>
        <w:t xml:space="preserve">待补表格：未来收入路径表</w:t>
      </w:r>
    </w:p>
    <w:bookmarkEnd w:id="166"/>
    <w:bookmarkStart w:id="167" w:name="财务预测的保守判断"/>
    <w:p>
      <w:pPr>
        <w:pStyle w:val="Heading2"/>
      </w:pPr>
      <w:r>
        <w:t xml:space="preserve">8.5 </w:t>
      </w:r>
      <w:r>
        <w:rPr>
          <w:rFonts w:hint="eastAsia"/>
        </w:rPr>
        <w:t xml:space="preserve">财务预测的保守判断</w:t>
      </w:r>
    </w:p>
    <w:p>
      <w:pPr>
        <w:pStyle w:val="FirstParagraph"/>
        <w:spacing w:line="360" w:lineRule="auto" w:after="120"/>
        <w:ind w:firstLine="420"/>
      </w:pPr>
      <w:r>
        <w:rPr>
          <w:rFonts w:hint="eastAsia"/>
        </w:rPr>
        <w:t xml:space="preserve">考虑到当前项目仍未开展真实市场收费试点，因此财务预测应保持保守。</w:t>
      </w:r>
    </w:p>
    <w:p>
      <w:pPr>
        <w:pStyle w:val="BodyText"/>
        <w:spacing w:line="360" w:lineRule="auto" w:after="120"/>
        <w:ind w:firstLine="420"/>
      </w:pPr>
      <w:r>
        <w:rPr>
          <w:rFonts w:hint="eastAsia"/>
        </w:rPr>
        <w:t xml:space="preserve">短期内，项目的主要成果更可能体现为：</w:t>
      </w:r>
    </w:p>
    <w:p>
      <w:pPr>
        <w:pStyle w:val="Compact"/>
        <w:numPr>
          <w:ilvl w:val="0"/>
          <w:numId w:val="1011"/>
        </w:numPr>
      </w:pPr>
      <w:r>
        <w:rPr>
          <w:rFonts w:hint="eastAsia"/>
        </w:rPr>
        <w:t xml:space="preserve">获得赛事成绩和立项支持</w:t>
      </w:r>
    </w:p>
    <w:p>
      <w:pPr>
        <w:pStyle w:val="Compact"/>
        <w:numPr>
          <w:ilvl w:val="0"/>
          <w:numId w:val="1011"/>
        </w:numPr>
      </w:pPr>
      <w:r>
        <w:rPr>
          <w:rFonts w:hint="eastAsia"/>
        </w:rPr>
        <w:t xml:space="preserve">获取导师和校内资源支持</w:t>
      </w:r>
    </w:p>
    <w:p>
      <w:pPr>
        <w:pStyle w:val="Compact"/>
        <w:numPr>
          <w:ilvl w:val="0"/>
          <w:numId w:val="1011"/>
        </w:numPr>
      </w:pPr>
      <w:r>
        <w:rPr>
          <w:rFonts w:hint="eastAsia"/>
        </w:rPr>
        <w:t xml:space="preserve">积累样板案例和展示材料</w:t>
      </w:r>
    </w:p>
    <w:p>
      <w:pPr>
        <w:pStyle w:val="Compact"/>
        <w:numPr>
          <w:ilvl w:val="0"/>
          <w:numId w:val="1011"/>
        </w:numPr>
      </w:pPr>
      <w:r>
        <w:rPr>
          <w:rFonts w:hint="eastAsia"/>
        </w:rPr>
        <w:t xml:space="preserve">为后续试点与合作创造条件</w:t>
      </w:r>
    </w:p>
    <w:p>
      <w:pPr>
        <w:pStyle w:val="FirstParagraph"/>
        <w:spacing w:line="360" w:lineRule="auto" w:after="120"/>
        <w:ind w:firstLine="420"/>
      </w:pPr>
      <w:r>
        <w:rPr>
          <w:rFonts w:hint="eastAsia"/>
        </w:rPr>
        <w:t xml:space="preserve">中期来看，如果项目能完成一到两个典型场景试点，就有机会逐步验证基础服务费和专项报告费的可行性。</w:t>
      </w:r>
    </w:p>
    <w:p>
      <w:pPr>
        <w:pStyle w:val="BodyText"/>
        <w:spacing w:line="360" w:lineRule="auto" w:after="120"/>
        <w:ind w:firstLine="420"/>
      </w:pPr>
      <w:r>
        <w:rPr>
          <w:rFonts w:hint="eastAsia"/>
        </w:rPr>
        <w:t xml:space="preserve">长期来看，只有在平台化程度进一步提高、用户场景进一步明确之后，项目才适合进行更细化的收入、利润和现金流分析。</w:t>
      </w:r>
    </w:p>
    <w:p>
      <w:pPr>
        <w:pStyle w:val="BodyText"/>
        <w:spacing w:line="360" w:lineRule="auto" w:after="120"/>
        <w:ind w:firstLine="420"/>
      </w:pPr>
      <w:r>
        <w:rPr>
          <w:rFonts w:hint="eastAsia"/>
        </w:rPr>
        <w:t xml:space="preserve">因此，在当前商业计划书中，更专业的写法不是提交极其复杂的财务模型，而是展示出团队对项目成本结构、阶段目标和未来收入路径有清晰、理性的认识。</w:t>
      </w:r>
    </w:p>
    <w:bookmarkEnd w:id="167"/>
    <w:bookmarkStart w:id="175" w:name="资源需求分析"/>
    <w:p>
      <w:pPr>
        <w:pStyle w:val="Heading2"/>
      </w:pPr>
      <w:r>
        <w:t xml:space="preserve">8.6 </w:t>
      </w:r>
      <w:r>
        <w:rPr>
          <w:rFonts w:hint="eastAsia"/>
        </w:rPr>
        <w:t xml:space="preserve">资源需求分析</w:t>
      </w:r>
    </w:p>
    <w:p>
      <w:pPr>
        <w:pStyle w:val="FirstParagraph"/>
        <w:spacing w:line="360" w:lineRule="auto" w:after="120"/>
        <w:ind w:firstLine="420"/>
      </w:pPr>
      <w:r>
        <w:rPr>
          <w:rFonts w:hint="eastAsia"/>
        </w:rPr>
        <w:t xml:space="preserve">对于</w:t>
      </w:r>
      <w:r>
        <w:t xml:space="preserve"> </w:t>
      </w:r>
      <w:r>
        <w:rPr>
          <w:rStyle w:val="VerbatimChar"/>
        </w:rPr>
        <w:t xml:space="preserve">SolarGuard</w:t>
      </w:r>
      <w:r>
        <w:t xml:space="preserve"> </w:t>
      </w:r>
      <w:r>
        <w:rPr>
          <w:rFonts w:hint="eastAsia"/>
        </w:rPr>
        <w:t xml:space="preserve">而言，现阶段最重要的资源需求并不是单纯的资金，而是“资金</w:t>
      </w:r>
      <w:r>
        <w:t xml:space="preserve"> + </w:t>
      </w:r>
      <w:r>
        <w:rPr>
          <w:rFonts w:hint="eastAsia"/>
        </w:rPr>
        <w:t xml:space="preserve">场景</w:t>
      </w:r>
      <w:r>
        <w:t xml:space="preserve"> + </w:t>
      </w:r>
      <w:r>
        <w:rPr>
          <w:rFonts w:hint="eastAsia"/>
        </w:rPr>
        <w:t xml:space="preserve">指导</w:t>
      </w:r>
      <w:r>
        <w:t xml:space="preserve"> + </w:t>
      </w:r>
      <w:r>
        <w:rPr>
          <w:rFonts w:hint="eastAsia"/>
        </w:rPr>
        <w:t xml:space="preserve">展示”的综合支持。</w:t>
      </w:r>
    </w:p>
    <w:bookmarkStart w:id="168" w:name="设备与技术资源"/>
    <w:p>
      <w:pPr>
        <w:pStyle w:val="Heading3"/>
      </w:pPr>
      <w:r>
        <w:t xml:space="preserve">8.6.1 </w:t>
      </w:r>
      <w:r>
        <w:rPr>
          <w:rFonts w:hint="eastAsia"/>
        </w:rPr>
        <w:t xml:space="preserve">设备与技术资源</w:t>
      </w:r>
    </w:p>
    <w:p>
      <w:pPr>
        <w:pStyle w:val="FirstParagraph"/>
        <w:spacing w:line="360" w:lineRule="auto" w:after="120"/>
        <w:ind w:firstLine="420"/>
      </w:pPr>
      <w:r>
        <w:rPr>
          <w:rFonts w:hint="eastAsia"/>
        </w:rPr>
        <w:t xml:space="preserve">项目需要稳定的硬件接入条件、测试环境和持续运行环境，以支持原型进一步完善。这包括分布式光伏设备测试条件、服务器环境、链节点支持和开发调试工具等。</w:t>
      </w:r>
    </w:p>
    <w:bookmarkEnd w:id="168"/>
    <w:bookmarkStart w:id="169" w:name="场景验证资源"/>
    <w:p>
      <w:pPr>
        <w:pStyle w:val="Heading3"/>
      </w:pPr>
      <w:r>
        <w:t xml:space="preserve">8.6.2 </w:t>
      </w:r>
      <w:r>
        <w:rPr>
          <w:rFonts w:hint="eastAsia"/>
        </w:rPr>
        <w:t xml:space="preserve">场景验证资源</w:t>
      </w:r>
    </w:p>
    <w:p>
      <w:pPr>
        <w:pStyle w:val="FirstParagraph"/>
        <w:spacing w:line="360" w:lineRule="auto" w:after="120"/>
        <w:ind w:firstLine="420"/>
      </w:pPr>
      <w:r>
        <w:rPr>
          <w:rFonts w:hint="eastAsia"/>
        </w:rPr>
        <w:t xml:space="preserve">项目未来是否能够从原型走向更高阶段，关键在于能否获得真实试点场景。因此，校园、园区、小型分布式光伏项目或合作单位的场景支持，对项目成长具有重要意义。</w:t>
      </w:r>
    </w:p>
    <w:bookmarkEnd w:id="169"/>
    <w:bookmarkStart w:id="170" w:name="导师与专家资源"/>
    <w:p>
      <w:pPr>
        <w:pStyle w:val="Heading3"/>
      </w:pPr>
      <w:r>
        <w:t xml:space="preserve">8.6.3 </w:t>
      </w:r>
      <w:r>
        <w:rPr>
          <w:rFonts w:hint="eastAsia"/>
        </w:rPr>
        <w:t xml:space="preserve">导师与专家资源</w:t>
      </w:r>
    </w:p>
    <w:p>
      <w:pPr>
        <w:pStyle w:val="FirstParagraph"/>
        <w:spacing w:line="360" w:lineRule="auto" w:after="120"/>
        <w:ind w:firstLine="420"/>
      </w:pPr>
      <w:r>
        <w:rPr>
          <w:rFonts w:hint="eastAsia"/>
        </w:rPr>
        <w:t xml:space="preserve">由于项目同时涉及新能源、数据治理、区块链和商业转化，后续非常需要在技术、政策和创新创业展示方面获得持续指导。导师与专家资源不仅有助于提升项目质量，也能帮助项目更稳妥地对接政策边界和应用场景。</w:t>
      </w:r>
    </w:p>
    <w:bookmarkEnd w:id="170"/>
    <w:bookmarkStart w:id="174" w:name="比赛与传播资源"/>
    <w:p>
      <w:pPr>
        <w:pStyle w:val="Heading3"/>
      </w:pPr>
      <w:r>
        <w:t xml:space="preserve">8.6.4 </w:t>
      </w:r>
      <w:r>
        <w:rPr>
          <w:rFonts w:hint="eastAsia"/>
        </w:rPr>
        <w:t xml:space="preserve">比赛与传播资源</w:t>
      </w:r>
    </w:p>
    <w:p>
      <w:pPr>
        <w:pStyle w:val="FirstParagraph"/>
        <w:spacing w:line="360" w:lineRule="auto" w:after="120"/>
        <w:ind w:firstLine="420"/>
      </w:pPr>
      <w:r>
        <w:rPr>
          <w:rFonts w:hint="eastAsia"/>
        </w:rPr>
        <w:t xml:space="preserve">项目在当前阶段高度依赖高质量材料与展示输出，因此路演训练、视觉设计、图表制作和传播支持同样重要。这些资源将直接影响项目在比赛中的呈现质量。</w:t>
      </w:r>
    </w:p>
    <w:p>
      <w:pPr>
        <w:pStyle w:val="CaptionedFigure"/>
      </w:pPr>
      <w:r>
        <w:drawing>
          <wp:inline>
            <wp:extent cx="5334000" cy="7000875"/>
            <wp:effectExtent b="0" l="0" r="0" t="0"/>
            <wp:docPr descr="插图" title="" id="172" name="Picture"/>
            <a:graphic>
              <a:graphicData uri="http://schemas.openxmlformats.org/drawingml/2006/picture">
                <pic:pic>
                  <pic:nvPicPr>
                    <pic:cNvPr descr="/Users/evanhan/项目/光伏项目/比赛材料/素材库/最终图片/21_资源需求结构图_v4.png" id="173" name="Picture"/>
                    <pic:cNvPicPr>
                      <a:picLocks noChangeArrowheads="1" noChangeAspect="1"/>
                    </pic:cNvPicPr>
                  </pic:nvPicPr>
                  <pic:blipFill>
                    <a:blip r:embed="rId171"/>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p>
      <w:pPr>
        <w:pStyle w:val="BlockText"/>
      </w:pPr>
      <w:r>
        <w:rPr>
          <w:rFonts w:hint="eastAsia"/>
          <w:i/>
          <w:color w:val="6B7280"/>
        </w:rPr>
        <w:t xml:space="preserve">待补表格：资源需求清单表</w:t>
      </w:r>
    </w:p>
    <w:bookmarkEnd w:id="174"/>
    <w:bookmarkEnd w:id="175"/>
    <w:bookmarkStart w:id="176" w:name="融资与支持需求表述建议"/>
    <w:p>
      <w:pPr>
        <w:pStyle w:val="Heading2"/>
      </w:pPr>
      <w:r>
        <w:t xml:space="preserve">8.7 </w:t>
      </w:r>
      <w:r>
        <w:rPr>
          <w:rFonts w:hint="eastAsia"/>
        </w:rPr>
        <w:t xml:space="preserve">融资与支持需求表述建议</w:t>
      </w:r>
    </w:p>
    <w:p>
      <w:pPr>
        <w:pStyle w:val="FirstParagraph"/>
        <w:spacing w:line="360" w:lineRule="auto" w:after="120"/>
        <w:ind w:firstLine="420"/>
      </w:pPr>
      <w:r>
        <w:rPr>
          <w:rFonts w:hint="eastAsia"/>
        </w:rPr>
        <w:t xml:space="preserve">对于创新大赛和大创立项场景，</w:t>
      </w:r>
      <w:r>
        <w:rPr>
          <w:rStyle w:val="VerbatimChar"/>
        </w:rPr>
        <w:t xml:space="preserve">SolarGuard</w:t>
      </w:r>
      <w:r>
        <w:t xml:space="preserve"> </w:t>
      </w:r>
      <w:r>
        <w:rPr>
          <w:rFonts w:hint="eastAsia"/>
        </w:rPr>
        <w:t xml:space="preserve">不应将“外部融资”作为当前阶段的核心目标，更适合将需求表述为“希望获得项目支持、场景支持和资源赋能”。</w:t>
      </w:r>
    </w:p>
    <w:p>
      <w:pPr>
        <w:pStyle w:val="BodyText"/>
        <w:spacing w:line="360" w:lineRule="auto" w:after="120"/>
        <w:ind w:firstLine="420"/>
      </w:pPr>
      <w:r>
        <w:rPr>
          <w:rFonts w:hint="eastAsia"/>
        </w:rPr>
        <w:t xml:space="preserve">建议在后续定稿中采用如下表达：</w:t>
      </w:r>
    </w:p>
    <w:p>
      <w:pPr>
        <w:pStyle w:val="Compact"/>
        <w:numPr>
          <w:ilvl w:val="0"/>
          <w:numId w:val="1012"/>
        </w:numPr>
      </w:pPr>
      <w:r>
        <w:rPr>
          <w:rFonts w:hint="eastAsia"/>
        </w:rPr>
        <w:t xml:space="preserve">希望获得校内创新创业支持与导师辅导</w:t>
      </w:r>
    </w:p>
    <w:p>
      <w:pPr>
        <w:pStyle w:val="Compact"/>
        <w:numPr>
          <w:ilvl w:val="0"/>
          <w:numId w:val="1012"/>
        </w:numPr>
      </w:pPr>
      <w:r>
        <w:rPr>
          <w:rFonts w:hint="eastAsia"/>
        </w:rPr>
        <w:t xml:space="preserve">希望获得分布式光伏相关试点场景机会</w:t>
      </w:r>
    </w:p>
    <w:p>
      <w:pPr>
        <w:pStyle w:val="Compact"/>
        <w:numPr>
          <w:ilvl w:val="0"/>
          <w:numId w:val="1012"/>
        </w:numPr>
      </w:pPr>
      <w:r>
        <w:rPr>
          <w:rFonts w:hint="eastAsia"/>
        </w:rPr>
        <w:t xml:space="preserve">希望获得服务器、展示和原型打磨方面的资源支持</w:t>
      </w:r>
    </w:p>
    <w:p>
      <w:pPr>
        <w:pStyle w:val="Compact"/>
        <w:numPr>
          <w:ilvl w:val="0"/>
          <w:numId w:val="1012"/>
        </w:numPr>
      </w:pPr>
      <w:r>
        <w:rPr>
          <w:rFonts w:hint="eastAsia"/>
        </w:rPr>
        <w:t xml:space="preserve">希望通过比赛和立项进一步连接产业合作资源</w:t>
      </w:r>
    </w:p>
    <w:p>
      <w:pPr>
        <w:pStyle w:val="FirstParagraph"/>
        <w:spacing w:line="360" w:lineRule="auto" w:after="120"/>
        <w:ind w:firstLine="420"/>
      </w:pPr>
      <w:r>
        <w:rPr>
          <w:rFonts w:hint="eastAsia"/>
        </w:rPr>
        <w:t xml:space="preserve">这种表达比直接写“融资需求”更贴合学生项目实际，也更符合高校评审语境。</w:t>
      </w:r>
    </w:p>
    <w:bookmarkEnd w:id="176"/>
    <w:bookmarkStart w:id="177" w:name="本章结论-6"/>
    <w:p>
      <w:pPr>
        <w:pStyle w:val="Heading2"/>
      </w:pPr>
      <w:r>
        <w:t xml:space="preserve">8.8 </w:t>
      </w:r>
      <w:r>
        <w:rPr>
          <w:rFonts w:hint="eastAsia"/>
        </w:rPr>
        <w:t xml:space="preserve">本章结论</w:t>
      </w:r>
    </w:p>
    <w:p>
      <w:pPr>
        <w:pStyle w:val="FirstParagraph"/>
        <w:spacing w:line="360" w:lineRule="auto" w:after="120"/>
        <w:ind w:firstLine="420"/>
      </w:pPr>
      <w:r>
        <w:rPr>
          <w:rFonts w:hint="eastAsia"/>
        </w:rPr>
        <w:t xml:space="preserve">总体来看，</w:t>
      </w:r>
      <w:r>
        <w:rPr>
          <w:rStyle w:val="VerbatimChar"/>
        </w:rPr>
        <w:t xml:space="preserve">SolarGuard</w:t>
      </w:r>
      <w:r>
        <w:t xml:space="preserve"> </w:t>
      </w:r>
      <w:r>
        <w:rPr>
          <w:rFonts w:hint="eastAsia"/>
        </w:rPr>
        <w:t xml:space="preserve">当前阶段的财务与资源分析应突出“投入真实、预算克制、路径清晰、需求明确”四个特征。项目已经具备一定的硬件、开发、系统和材料投入基础，后续推进重点应放在比赛材料完善、小范围试点验证和平台能力提升上。</w:t>
      </w:r>
    </w:p>
    <w:p>
      <w:pPr>
        <w:pStyle w:val="BodyText"/>
        <w:spacing w:line="360" w:lineRule="auto" w:after="120"/>
        <w:ind w:firstLine="420"/>
      </w:pPr>
      <w:r>
        <w:rPr>
          <w:rFonts w:hint="eastAsia"/>
        </w:rPr>
        <w:t xml:space="preserve">从商业计划书角度看，项目现阶段最重要的不是证明已经形成成熟财务回报，而是证明：团队清楚地知道项目需要哪些资源、未来如何逐步形成收入、为什么这条路径是现实可行的。只要这一逻辑成立，本章就能够有效支撑整份商业计划书的完整性和可信度。</w:t>
      </w:r>
    </w:p>
    <w:p>
      <w:pPr>
        <w:spacing w:line="360" w:lineRule="auto" w:after="120"/>
        <w:ind w:firstLine="420"/>
      </w:pPr>
      <w:r>
        <w:pict>
          <v:rect style="width:0;height:1.5pt" o:hralign="center" o:hrstd="t" o:hr="t"/>
        </w:pict>
      </w:r>
    </w:p>
    <w:bookmarkEnd w:id="177"/>
    <w:bookmarkEnd w:id="178"/>
    <w:bookmarkStart w:id="208" w:name="第九章-风险控制与合规边界"/>
    <w:p>
      <w:pPr>
        <w:pStyle w:val="Heading1"/>
        <w:jc w:val="left"/>
      </w:pPr>
      <w:r>
        <w:rPr>
          <w:rFonts w:hint="eastAsia"/>
        </w:rPr>
        <w:t xml:space="preserve">第九章</w:t>
        <w:br w:type="page"/>
      </w:r>
      <w:r>
        <w:t xml:space="preserve"> </w:t>
      </w:r>
      <w:r>
        <w:rPr>
          <w:rFonts w:hint="eastAsia"/>
        </w:rPr>
        <w:t xml:space="preserve">风险控制与合规边界</w:t>
      </w:r>
    </w:p>
    <w:bookmarkStart w:id="182" w:name="风险识别的基本思路"/>
    <w:p>
      <w:pPr>
        <w:pStyle w:val="Heading2"/>
      </w:pPr>
      <w:r>
        <w:t xml:space="preserve">9.1 </w:t>
      </w:r>
      <w:r>
        <w:rPr>
          <w:rFonts w:hint="eastAsia"/>
        </w:rPr>
        <w:t xml:space="preserve">风险识别的基本思路</w:t>
      </w:r>
    </w:p>
    <w:p>
      <w:pPr>
        <w:pStyle w:val="FirstParagraph"/>
        <w:spacing w:line="360" w:lineRule="auto" w:after="120"/>
        <w:ind w:firstLine="420"/>
      </w:pPr>
      <w:r>
        <w:rPr>
          <w:rFonts w:hint="eastAsia"/>
        </w:rPr>
        <w:t xml:space="preserve">对于</w:t>
      </w:r>
      <w:r>
        <w:t xml:space="preserve"> </w:t>
      </w:r>
      <w:r>
        <w:rPr>
          <w:rStyle w:val="VerbatimChar"/>
        </w:rPr>
        <w:t xml:space="preserve">SolarGuard</w:t>
      </w:r>
      <w:r>
        <w:t xml:space="preserve"> </w:t>
      </w:r>
      <w:r>
        <w:rPr>
          <w:rFonts w:hint="eastAsia"/>
        </w:rPr>
        <w:t xml:space="preserve">这样的综合性创新项目而言，风险并不只来自技术实现本身，还来自政策环境、市场接受度、资源条件和项目推进节奏。一个成熟的商业计划书不应回避风险，而应清楚说明：项目识别了哪些问题、这些问题会带来什么影响、团队准备如何控制和化解。</w:t>
      </w:r>
    </w:p>
    <w:p>
      <w:pPr>
        <w:pStyle w:val="BodyText"/>
        <w:spacing w:line="360" w:lineRule="auto" w:after="120"/>
        <w:ind w:firstLine="420"/>
      </w:pPr>
      <w:r>
        <w:rPr>
          <w:rFonts w:hint="eastAsia"/>
        </w:rPr>
        <w:t xml:space="preserve">基于项目当前所处阶段，</w:t>
      </w:r>
      <w:r>
        <w:rPr>
          <w:rStyle w:val="VerbatimChar"/>
        </w:rPr>
        <w:t xml:space="preserve">SolarGuard</w:t>
      </w:r>
      <w:r>
        <w:t xml:space="preserve"> </w:t>
      </w:r>
      <w:r>
        <w:rPr>
          <w:rFonts w:hint="eastAsia"/>
        </w:rPr>
        <w:t xml:space="preserve">的风险主要可以归纳为四类：</w:t>
      </w:r>
    </w:p>
    <w:p>
      <w:pPr>
        <w:pStyle w:val="Compact"/>
        <w:numPr>
          <w:ilvl w:val="0"/>
          <w:numId w:val="1013"/>
        </w:numPr>
      </w:pPr>
      <w:r>
        <w:rPr>
          <w:rFonts w:hint="eastAsia"/>
        </w:rPr>
        <w:t xml:space="preserve">技术实现风险</w:t>
      </w:r>
    </w:p>
    <w:p>
      <w:pPr>
        <w:pStyle w:val="Compact"/>
        <w:numPr>
          <w:ilvl w:val="0"/>
          <w:numId w:val="1013"/>
        </w:numPr>
      </w:pPr>
      <w:r>
        <w:rPr>
          <w:rFonts w:hint="eastAsia"/>
        </w:rPr>
        <w:t xml:space="preserve">政策与合规风险</w:t>
      </w:r>
    </w:p>
    <w:p>
      <w:pPr>
        <w:pStyle w:val="Compact"/>
        <w:numPr>
          <w:ilvl w:val="0"/>
          <w:numId w:val="1013"/>
        </w:numPr>
      </w:pPr>
      <w:r>
        <w:rPr>
          <w:rFonts w:hint="eastAsia"/>
        </w:rPr>
        <w:t xml:space="preserve">市场与场景验证风险</w:t>
      </w:r>
    </w:p>
    <w:p>
      <w:pPr>
        <w:pStyle w:val="Compact"/>
        <w:numPr>
          <w:ilvl w:val="0"/>
          <w:numId w:val="1013"/>
        </w:numPr>
      </w:pPr>
      <w:r>
        <w:rPr>
          <w:rFonts w:hint="eastAsia"/>
        </w:rPr>
        <w:t xml:space="preserve">团队推进与资源风险</w:t>
      </w:r>
    </w:p>
    <w:p>
      <w:pPr>
        <w:pStyle w:val="FirstParagraph"/>
        <w:spacing w:line="360" w:lineRule="auto" w:after="120"/>
        <w:ind w:firstLine="420"/>
      </w:pPr>
      <w:r>
        <w:rPr>
          <w:rFonts w:hint="eastAsia"/>
        </w:rPr>
        <w:t xml:space="preserve">这种分类方式既覆盖了项目从研发到应用的主要不确定性，也便于后续分别制定对应的控制路径。</w:t>
      </w:r>
    </w:p>
    <w:p>
      <w:pPr>
        <w:pStyle w:val="CaptionedFigure"/>
      </w:pPr>
      <w:r>
        <w:drawing>
          <wp:inline>
            <wp:extent cx="5334000" cy="7000875"/>
            <wp:effectExtent b="0" l="0" r="0" t="0"/>
            <wp:docPr descr="插图" title="" id="180" name="Picture"/>
            <a:graphic>
              <a:graphicData uri="http://schemas.openxmlformats.org/drawingml/2006/picture">
                <pic:pic>
                  <pic:nvPicPr>
                    <pic:cNvPr descr="/Users/evanhan/项目/光伏项目/比赛材料/素材库/最终图片/22_风险分类图_v3.png" id="181" name="Picture"/>
                    <pic:cNvPicPr>
                      <a:picLocks noChangeArrowheads="1" noChangeAspect="1"/>
                    </pic:cNvPicPr>
                  </pic:nvPicPr>
                  <pic:blipFill>
                    <a:blip r:embed="rId179"/>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bookmarkEnd w:id="182"/>
    <w:bookmarkStart w:id="186" w:name="技术实现风险"/>
    <w:p>
      <w:pPr>
        <w:pStyle w:val="Heading2"/>
      </w:pPr>
      <w:r>
        <w:t xml:space="preserve">9.2 </w:t>
      </w:r>
      <w:r>
        <w:rPr>
          <w:rFonts w:hint="eastAsia"/>
        </w:rPr>
        <w:t xml:space="preserve">技术实现风险</w:t>
      </w:r>
    </w:p>
    <w:bookmarkStart w:id="183" w:name="硬件接入与运行稳定性风险"/>
    <w:p>
      <w:pPr>
        <w:pStyle w:val="Heading3"/>
      </w:pPr>
      <w:r>
        <w:t xml:space="preserve">9.2.1 </w:t>
      </w:r>
      <w:r>
        <w:rPr>
          <w:rFonts w:hint="eastAsia"/>
        </w:rPr>
        <w:t xml:space="preserve">硬件接入与运行稳定性风险</w:t>
      </w:r>
    </w:p>
    <w:p>
      <w:pPr>
        <w:pStyle w:val="FirstParagraph"/>
        <w:spacing w:line="360" w:lineRule="auto" w:after="120"/>
        <w:ind w:firstLine="420"/>
      </w:pPr>
      <w:r>
        <w:rPr>
          <w:rStyle w:val="VerbatimChar"/>
        </w:rPr>
        <w:t xml:space="preserve">SolarGuard</w:t>
      </w:r>
      <w:r>
        <w:t xml:space="preserve"> </w:t>
      </w:r>
      <w:r>
        <w:rPr>
          <w:rFonts w:hint="eastAsia"/>
        </w:rPr>
        <w:t xml:space="preserve">的重要价值建立在真实分布式光伏设备采集基础之上，因此硬件接入条件、通信稳定性和设备兼容性始终是底层风险之一。不同设备型号、通信接口和现场环境可能影响数据读取的稳定性，若后续接入更多设备类型，也会增加适配复杂度。</w:t>
      </w:r>
    </w:p>
    <w:p>
      <w:pPr>
        <w:pStyle w:val="BodyText"/>
        <w:spacing w:line="360" w:lineRule="auto" w:after="120"/>
        <w:ind w:firstLine="420"/>
      </w:pPr>
      <w:r>
        <w:rPr>
          <w:rFonts w:hint="eastAsia"/>
        </w:rPr>
        <w:t xml:space="preserve">当前项目已通过真实设备实验和模拟模式双路径进行原型验证，这在一定程度上提高了开发韧性，但在正式推广阶段，硬件侧稳定性仍需要进一步通过更多设备和更长周期测试来验证。</w:t>
      </w:r>
    </w:p>
    <w:bookmarkEnd w:id="183"/>
    <w:bookmarkStart w:id="184" w:name="系统连续运行与接口完善风险"/>
    <w:p>
      <w:pPr>
        <w:pStyle w:val="Heading3"/>
      </w:pPr>
      <w:r>
        <w:t xml:space="preserve">9.2.2 </w:t>
      </w:r>
      <w:r>
        <w:rPr>
          <w:rFonts w:hint="eastAsia"/>
        </w:rPr>
        <w:t xml:space="preserve">系统连续运行与接口完善风险</w:t>
      </w:r>
    </w:p>
    <w:p>
      <w:pPr>
        <w:pStyle w:val="FirstParagraph"/>
        <w:spacing w:line="360" w:lineRule="auto" w:after="120"/>
        <w:ind w:firstLine="420"/>
      </w:pPr>
      <w:r>
        <w:rPr>
          <w:rFonts w:hint="eastAsia"/>
        </w:rPr>
        <w:t xml:space="preserve">目前项目虽然已经打通了设备采集、自动监测、链上交互和前端展示等关键链路，但仍处于原型阶段，部分接口和前端场景仍存在</w:t>
      </w:r>
      <w:r>
        <w:t xml:space="preserve"> mock </w:t>
      </w:r>
      <w:r>
        <w:rPr>
          <w:rFonts w:hint="eastAsia"/>
        </w:rPr>
        <w:t xml:space="preserve">或半实装状态。这意味着系统在展示层面已经较为完整，但距离长期稳定运行和标准化产品形态仍有优化空间。</w:t>
      </w:r>
    </w:p>
    <w:p>
      <w:pPr>
        <w:pStyle w:val="BodyText"/>
        <w:spacing w:line="360" w:lineRule="auto" w:after="120"/>
        <w:ind w:firstLine="420"/>
      </w:pPr>
      <w:r>
        <w:rPr>
          <w:rFonts w:hint="eastAsia"/>
        </w:rPr>
        <w:t xml:space="preserve">如果后续不能持续完善接口稳定性、异常处理能力和模块衔接逻辑，项目在从展示型原型走向试点型产品时可能面临可用性不足的问题。</w:t>
      </w:r>
    </w:p>
    <w:bookmarkEnd w:id="184"/>
    <w:bookmarkStart w:id="185" w:name="技术迭代与模块扩展风险"/>
    <w:p>
      <w:pPr>
        <w:pStyle w:val="Heading3"/>
      </w:pPr>
      <w:r>
        <w:t xml:space="preserve">9.2.3 </w:t>
      </w:r>
      <w:r>
        <w:rPr>
          <w:rFonts w:hint="eastAsia"/>
        </w:rPr>
        <w:t xml:space="preserve">技术迭代与模块扩展风险</w:t>
      </w:r>
    </w:p>
    <w:p>
      <w:pPr>
        <w:pStyle w:val="FirstParagraph"/>
        <w:spacing w:line="360" w:lineRule="auto" w:after="120"/>
        <w:ind w:firstLine="420"/>
      </w:pPr>
      <w:r>
        <w:rPr>
          <w:rFonts w:hint="eastAsia"/>
        </w:rPr>
        <w:t xml:space="preserve">随着项目未来向更多设备、更多场景和更多业务模块扩展，系统复杂度将不断上升。如果没有统一的模块边界和迭代节奏，容易出现功能叠加快于系统稳定性的情况，进而影响整体质量。</w:t>
      </w:r>
    </w:p>
    <w:p>
      <w:pPr>
        <w:pStyle w:val="BodyText"/>
        <w:spacing w:line="360" w:lineRule="auto" w:after="120"/>
        <w:ind w:firstLine="420"/>
      </w:pPr>
      <w:r>
        <w:rPr>
          <w:rFonts w:hint="eastAsia"/>
        </w:rPr>
        <w:t xml:space="preserve">因此，技术层面的关键风险并不在于“是否完全做不出来”，而在于项目后续能否在已有原型基础上稳步迭代，而不是无序扩张。</w:t>
      </w:r>
    </w:p>
    <w:bookmarkEnd w:id="185"/>
    <w:bookmarkEnd w:id="186"/>
    <w:bookmarkStart w:id="189" w:name="政策与合规风险"/>
    <w:p>
      <w:pPr>
        <w:pStyle w:val="Heading2"/>
      </w:pPr>
      <w:r>
        <w:t xml:space="preserve">9.3 </w:t>
      </w:r>
      <w:r>
        <w:rPr>
          <w:rFonts w:hint="eastAsia"/>
        </w:rPr>
        <w:t xml:space="preserve">政策与合规风险</w:t>
      </w:r>
    </w:p>
    <w:bookmarkStart w:id="187" w:name="rwa-与代币化表述风险"/>
    <w:p>
      <w:pPr>
        <w:pStyle w:val="Heading3"/>
      </w:pPr>
      <w:r>
        <w:t xml:space="preserve">9.3.1 RWA </w:t>
      </w:r>
      <w:r>
        <w:rPr>
          <w:rFonts w:hint="eastAsia"/>
        </w:rPr>
        <w:t xml:space="preserve">与代币化表述风险</w:t>
      </w:r>
    </w:p>
    <w:p>
      <w:pPr>
        <w:pStyle w:val="FirstParagraph"/>
        <w:spacing w:line="360" w:lineRule="auto" w:after="120"/>
        <w:ind w:firstLine="420"/>
      </w:pPr>
      <w:r>
        <w:rPr>
          <w:rFonts w:hint="eastAsia"/>
        </w:rPr>
        <w:t xml:space="preserve">当前中国大陆对现实世界资产代币化、虚拟货币化流转及相关金融化安排的监管明显趋严。对于</w:t>
      </w:r>
      <w:r>
        <w:t xml:space="preserve"> </w:t>
      </w:r>
      <w:r>
        <w:rPr>
          <w:rStyle w:val="VerbatimChar"/>
        </w:rPr>
        <w:t xml:space="preserve">SolarGuard</w:t>
      </w:r>
      <w:r>
        <w:t xml:space="preserve"> </w:t>
      </w:r>
      <w:r>
        <w:rPr>
          <w:rFonts w:hint="eastAsia"/>
        </w:rPr>
        <w:t xml:space="preserve">而言，如果继续将“RWA</w:t>
      </w:r>
      <w:r>
        <w:t xml:space="preserve"> </w:t>
      </w:r>
      <w:r>
        <w:rPr>
          <w:rFonts w:hint="eastAsia"/>
        </w:rPr>
        <w:t xml:space="preserve">发行”“自动铸币”“代币交易”等内容作为对外核心叙事，容易在比赛、立项和后续推广中触发明显的政策误读和评审疑虑。</w:t>
      </w:r>
    </w:p>
    <w:p>
      <w:pPr>
        <w:pStyle w:val="BodyText"/>
        <w:spacing w:line="360" w:lineRule="auto" w:after="120"/>
        <w:ind w:firstLine="420"/>
      </w:pPr>
      <w:r>
        <w:rPr>
          <w:rFonts w:hint="eastAsia"/>
        </w:rPr>
        <w:t xml:space="preserve">这一风险不是抽象存在，而是已经直接影响项目对外表达方式。因此，项目必须主动完成口径调整，明确将当前重点放在可信数据采集、联盟链存证和绿色资产服务辅助场景，而非面向社会公众的金融化业务。</w:t>
      </w:r>
    </w:p>
    <w:bookmarkEnd w:id="187"/>
    <w:bookmarkStart w:id="188" w:name="数据合规与场景边界风险"/>
    <w:p>
      <w:pPr>
        <w:pStyle w:val="Heading3"/>
      </w:pPr>
      <w:r>
        <w:t xml:space="preserve">9.3.2 </w:t>
      </w:r>
      <w:r>
        <w:rPr>
          <w:rFonts w:hint="eastAsia"/>
        </w:rPr>
        <w:t xml:space="preserve">数据合规与场景边界风险</w:t>
      </w:r>
    </w:p>
    <w:p>
      <w:pPr>
        <w:pStyle w:val="FirstParagraph"/>
        <w:spacing w:line="360" w:lineRule="auto" w:after="120"/>
        <w:ind w:firstLine="420"/>
      </w:pPr>
      <w:r>
        <w:rPr>
          <w:rFonts w:hint="eastAsia"/>
        </w:rPr>
        <w:t xml:space="preserve">随着项目未来进一步拓展到</w:t>
      </w:r>
      <w:r>
        <w:t xml:space="preserve"> </w:t>
      </w:r>
      <w:r>
        <w:rPr>
          <w:rFonts w:hint="eastAsia"/>
        </w:rPr>
        <w:t xml:space="preserve">ESG、绿证、金融辅助服务等场景，数据的使用边界、调用方式、对接对象和证明效力都可能涉及更高要求。如果项目对这些边界理解不清，就容易在场景设计中出现“技术可行但制度不匹配”的问题。</w:t>
      </w:r>
    </w:p>
    <w:p>
      <w:pPr>
        <w:pStyle w:val="BodyText"/>
        <w:spacing w:line="360" w:lineRule="auto" w:after="120"/>
        <w:ind w:firstLine="420"/>
      </w:pPr>
      <w:r>
        <w:rPr>
          <w:rFonts w:hint="eastAsia"/>
        </w:rPr>
        <w:t xml:space="preserve">因此，项目后续在推进真实合作场景时，必须继续保持“技术探索先行、业务边界谨慎、合规口径明确”的原则。</w:t>
      </w:r>
    </w:p>
    <w:bookmarkEnd w:id="188"/>
    <w:bookmarkEnd w:id="189"/>
    <w:bookmarkStart w:id="193" w:name="市场与场景验证风险"/>
    <w:p>
      <w:pPr>
        <w:pStyle w:val="Heading2"/>
      </w:pPr>
      <w:r>
        <w:t xml:space="preserve">9.4 </w:t>
      </w:r>
      <w:r>
        <w:rPr>
          <w:rFonts w:hint="eastAsia"/>
        </w:rPr>
        <w:t xml:space="preserve">市场与场景验证风险</w:t>
      </w:r>
    </w:p>
    <w:bookmarkStart w:id="190" w:name="市场教育成本较高"/>
    <w:p>
      <w:pPr>
        <w:pStyle w:val="Heading3"/>
      </w:pPr>
      <w:r>
        <w:t xml:space="preserve">9.4.1 </w:t>
      </w:r>
      <w:r>
        <w:rPr>
          <w:rFonts w:hint="eastAsia"/>
        </w:rPr>
        <w:t xml:space="preserve">市场教育成本较高</w:t>
      </w:r>
    </w:p>
    <w:p>
      <w:pPr>
        <w:pStyle w:val="FirstParagraph"/>
        <w:spacing w:line="360" w:lineRule="auto" w:after="120"/>
        <w:ind w:firstLine="420"/>
      </w:pPr>
      <w:r>
        <w:rPr>
          <w:rStyle w:val="VerbatimChar"/>
        </w:rPr>
        <w:t xml:space="preserve">SolarGuard</w:t>
      </w:r>
      <w:r>
        <w:t xml:space="preserve"> </w:t>
      </w:r>
      <w:r>
        <w:rPr>
          <w:rFonts w:hint="eastAsia"/>
        </w:rPr>
        <w:t xml:space="preserve">所切入的是“新能源可信数据服务”这一相对新兴的细分方向。虽然其问题真实存在，但潜在用户未必已经形成清晰的采购习惯和认知。很多目标用户更熟悉传统监控平台或人工核验方式，对于“可信数据底座”的价值理解可能需要时间。</w:t>
      </w:r>
    </w:p>
    <w:p>
      <w:pPr>
        <w:pStyle w:val="BodyText"/>
        <w:spacing w:line="360" w:lineRule="auto" w:after="120"/>
        <w:ind w:firstLine="420"/>
      </w:pPr>
      <w:r>
        <w:rPr>
          <w:rFonts w:hint="eastAsia"/>
        </w:rPr>
        <w:t xml:space="preserve">因此，项目未来即使技术逻辑成立，也仍需要通过试点案例、场景讲解和成果展示逐步完成市场教育。</w:t>
      </w:r>
    </w:p>
    <w:bookmarkEnd w:id="190"/>
    <w:bookmarkStart w:id="191" w:name="应用场景转化周期较长"/>
    <w:p>
      <w:pPr>
        <w:pStyle w:val="Heading3"/>
      </w:pPr>
      <w:r>
        <w:t xml:space="preserve">9.4.2 </w:t>
      </w:r>
      <w:r>
        <w:rPr>
          <w:rFonts w:hint="eastAsia"/>
        </w:rPr>
        <w:t xml:space="preserve">应用场景转化周期较长</w:t>
      </w:r>
    </w:p>
    <w:p>
      <w:pPr>
        <w:pStyle w:val="FirstParagraph"/>
        <w:spacing w:line="360" w:lineRule="auto" w:after="120"/>
        <w:ind w:firstLine="420"/>
      </w:pPr>
      <w:r>
        <w:rPr>
          <w:rFonts w:hint="eastAsia"/>
        </w:rPr>
        <w:t xml:space="preserve">无论是绿证衔接、ESG</w:t>
      </w:r>
      <w:r>
        <w:t xml:space="preserve"> </w:t>
      </w:r>
      <w:r>
        <w:rPr>
          <w:rFonts w:hint="eastAsia"/>
        </w:rPr>
        <w:t xml:space="preserve">披露还是绿色金融辅助决策，都属于较高层次的机构场景，其转化周期通常不会很短。对于一个高校团队来说，这意味着项目短期内更适合把重点放在原型成熟和场景验证，而不能以快速规模化变现作为唯一判断标准。</w:t>
      </w:r>
    </w:p>
    <w:bookmarkEnd w:id="191"/>
    <w:bookmarkStart w:id="192" w:name="市场定位过宽带来的风险"/>
    <w:p>
      <w:pPr>
        <w:pStyle w:val="Heading3"/>
      </w:pPr>
      <w:r>
        <w:t xml:space="preserve">9.4.3 </w:t>
      </w:r>
      <w:r>
        <w:rPr>
          <w:rFonts w:hint="eastAsia"/>
        </w:rPr>
        <w:t xml:space="preserve">市场定位过宽带来的风险</w:t>
      </w:r>
    </w:p>
    <w:p>
      <w:pPr>
        <w:pStyle w:val="FirstParagraph"/>
        <w:spacing w:line="360" w:lineRule="auto" w:after="120"/>
        <w:ind w:firstLine="420"/>
      </w:pPr>
      <w:r>
        <w:rPr>
          <w:rFonts w:hint="eastAsia"/>
        </w:rPr>
        <w:t xml:space="preserve">由于项目具备较强的延展性，容易在表达上同时覆盖过多场景，例如光伏运维、园区管理、绿证核验、ESG</w:t>
      </w:r>
      <w:r>
        <w:t xml:space="preserve"> </w:t>
      </w:r>
      <w:r>
        <w:rPr>
          <w:rFonts w:hint="eastAsia"/>
        </w:rPr>
        <w:t xml:space="preserve">披露、绿色金融、数据要素等。如果表达过宽，反而会削弱项目的清晰度，使评审和潜在合作方难以判断项目当前最核心的切入点。</w:t>
      </w:r>
    </w:p>
    <w:p>
      <w:pPr>
        <w:pStyle w:val="BodyText"/>
        <w:spacing w:line="360" w:lineRule="auto" w:after="120"/>
        <w:ind w:firstLine="420"/>
      </w:pPr>
      <w:r>
        <w:rPr>
          <w:rFonts w:hint="eastAsia"/>
        </w:rPr>
        <w:t xml:space="preserve">因此，市场风险的关键不在于场景不够，而在于项目必须先守住最核心的价值定位，再逐步向外延展。</w:t>
      </w:r>
    </w:p>
    <w:bookmarkEnd w:id="192"/>
    <w:bookmarkEnd w:id="193"/>
    <w:bookmarkStart w:id="196" w:name="团队与推进条件风险"/>
    <w:p>
      <w:pPr>
        <w:pStyle w:val="Heading2"/>
      </w:pPr>
      <w:r>
        <w:t xml:space="preserve">9.5 </w:t>
      </w:r>
      <w:r>
        <w:rPr>
          <w:rFonts w:hint="eastAsia"/>
        </w:rPr>
        <w:t xml:space="preserve">团队与推进条件风险</w:t>
      </w:r>
    </w:p>
    <w:bookmarkStart w:id="194" w:name="硬件和场景资源阶段性受限"/>
    <w:p>
      <w:pPr>
        <w:pStyle w:val="Heading3"/>
      </w:pPr>
      <w:r>
        <w:t xml:space="preserve">9.5.1 </w:t>
      </w:r>
      <w:r>
        <w:rPr>
          <w:rFonts w:hint="eastAsia"/>
        </w:rPr>
        <w:t xml:space="preserve">硬件和场景资源阶段性受限</w:t>
      </w:r>
    </w:p>
    <w:p>
      <w:pPr>
        <w:pStyle w:val="FirstParagraph"/>
        <w:spacing w:line="360" w:lineRule="auto" w:after="120"/>
        <w:ind w:firstLine="420"/>
      </w:pPr>
      <w:r>
        <w:rPr>
          <w:rFonts w:hint="eastAsia"/>
        </w:rPr>
        <w:t xml:space="preserve">当前项目推进面临的现实约束之一，是硬件设备暂时不在学校，这在一定程度上限制了短期内继续进行更大规模实验和后端部署验证的节奏。对于技术型项目而言，这种条件限制是实际存在的。</w:t>
      </w:r>
    </w:p>
    <w:p>
      <w:pPr>
        <w:pStyle w:val="BodyText"/>
        <w:spacing w:line="360" w:lineRule="auto" w:after="120"/>
        <w:ind w:firstLine="420"/>
      </w:pPr>
      <w:r>
        <w:rPr>
          <w:rFonts w:hint="eastAsia"/>
        </w:rPr>
        <w:t xml:space="preserve">但从另一方面看，项目已经拥有真实实验基础和模拟模式支持，说明团队并未完全失去推进条件。当前阶段更适合将工作重心转向商业计划书撰写、政策适配、展示优化和场景重构，为后续恢复硬件条件后的继续开发争取时间。</w:t>
      </w:r>
    </w:p>
    <w:bookmarkEnd w:id="194"/>
    <w:bookmarkStart w:id="195" w:name="团队精力与任务跨度风险"/>
    <w:p>
      <w:pPr>
        <w:pStyle w:val="Heading3"/>
      </w:pPr>
      <w:r>
        <w:t xml:space="preserve">9.5.2 </w:t>
      </w:r>
      <w:r>
        <w:rPr>
          <w:rFonts w:hint="eastAsia"/>
        </w:rPr>
        <w:t xml:space="preserve">团队精力与任务跨度风险</w:t>
      </w:r>
    </w:p>
    <w:p>
      <w:pPr>
        <w:pStyle w:val="FirstParagraph"/>
        <w:spacing w:line="360" w:lineRule="auto" w:after="120"/>
        <w:ind w:firstLine="420"/>
      </w:pPr>
      <w:r>
        <w:rPr>
          <w:rStyle w:val="VerbatimChar"/>
        </w:rPr>
        <w:t xml:space="preserve">SolarGuard</w:t>
      </w:r>
      <w:r>
        <w:t xml:space="preserve"> </w:t>
      </w:r>
      <w:r>
        <w:rPr>
          <w:rFonts w:hint="eastAsia"/>
        </w:rPr>
        <w:t xml:space="preserve">横跨硬件、软件、区块链、产品、政策和比赛材料多个维度，任务跨度大、内容复杂。如果团队缺少清晰分工和推进节奏，容易出现技术开发、材料准备和项目展示彼此挤占时间的情况，影响整体效率。</w:t>
      </w:r>
    </w:p>
    <w:p>
      <w:pPr>
        <w:pStyle w:val="BodyText"/>
        <w:spacing w:line="360" w:lineRule="auto" w:after="120"/>
        <w:ind w:firstLine="420"/>
      </w:pPr>
      <w:r>
        <w:rPr>
          <w:rFonts w:hint="eastAsia"/>
        </w:rPr>
        <w:t xml:space="preserve">因此，项目后续必须通过明确阶段目标和轻重缓急来降低推进失控的风险。当前优先级应当是先完成高质量比赛版材料，再根据资源条件恢复技术深化工作。</w:t>
      </w:r>
    </w:p>
    <w:bookmarkEnd w:id="195"/>
    <w:bookmarkEnd w:id="196"/>
    <w:bookmarkStart w:id="205" w:name="风险控制措施"/>
    <w:p>
      <w:pPr>
        <w:pStyle w:val="Heading2"/>
      </w:pPr>
      <w:r>
        <w:t xml:space="preserve">9.6 </w:t>
      </w:r>
      <w:r>
        <w:rPr>
          <w:rFonts w:hint="eastAsia"/>
        </w:rPr>
        <w:t xml:space="preserve">风险控制措施</w:t>
      </w:r>
    </w:p>
    <w:p>
      <w:pPr>
        <w:pStyle w:val="FirstParagraph"/>
        <w:spacing w:line="360" w:lineRule="auto" w:after="120"/>
        <w:ind w:firstLine="420"/>
      </w:pPr>
      <w:r>
        <w:rPr>
          <w:rFonts w:hint="eastAsia"/>
        </w:rPr>
        <w:t xml:space="preserve">针对上述风险，</w:t>
      </w:r>
      <w:r>
        <w:rPr>
          <w:rStyle w:val="VerbatimChar"/>
        </w:rPr>
        <w:t xml:space="preserve">SolarGuard</w:t>
      </w:r>
      <w:r>
        <w:t xml:space="preserve"> </w:t>
      </w:r>
      <w:r>
        <w:rPr>
          <w:rFonts w:hint="eastAsia"/>
        </w:rPr>
        <w:t xml:space="preserve">已经形成或正在形成以下控制思路。</w:t>
      </w:r>
    </w:p>
    <w:bookmarkStart w:id="197" w:name="坚持真实原型基础避免概念空转"/>
    <w:p>
      <w:pPr>
        <w:pStyle w:val="Heading3"/>
      </w:pPr>
      <w:r>
        <w:t xml:space="preserve">9.6.1 </w:t>
      </w:r>
      <w:r>
        <w:rPr>
          <w:rFonts w:hint="eastAsia"/>
        </w:rPr>
        <w:t xml:space="preserve">坚持真实原型基础，避免概念空转</w:t>
      </w:r>
    </w:p>
    <w:p>
      <w:pPr>
        <w:pStyle w:val="FirstParagraph"/>
        <w:spacing w:line="360" w:lineRule="auto" w:after="120"/>
        <w:ind w:firstLine="420"/>
      </w:pPr>
      <w:r>
        <w:rPr>
          <w:rFonts w:hint="eastAsia"/>
        </w:rPr>
        <w:t xml:space="preserve">项目所有对外论证都尽量基于现有代码、实验和系统原型展开，而不是脱离现实条件夸大功能。这一原则本身就是最重要的风险控制方式，因为它确保项目逻辑始终建立在真实成果基础上。</w:t>
      </w:r>
    </w:p>
    <w:bookmarkEnd w:id="197"/>
    <w:bookmarkStart w:id="198" w:name="主动调整项目定位和叙事"/>
    <w:p>
      <w:pPr>
        <w:pStyle w:val="Heading3"/>
      </w:pPr>
      <w:r>
        <w:t xml:space="preserve">9.6.2 </w:t>
      </w:r>
      <w:r>
        <w:rPr>
          <w:rFonts w:hint="eastAsia"/>
        </w:rPr>
        <w:t xml:space="preserve">主动调整项目定位和叙事</w:t>
      </w:r>
    </w:p>
    <w:p>
      <w:pPr>
        <w:pStyle w:val="FirstParagraph"/>
        <w:spacing w:line="360" w:lineRule="auto" w:after="120"/>
        <w:ind w:firstLine="420"/>
      </w:pPr>
      <w:r>
        <w:rPr>
          <w:rFonts w:hint="eastAsia"/>
        </w:rPr>
        <w:t xml:space="preserve">项目已经根据当前政策环境，将重点从</w:t>
      </w:r>
      <w:r>
        <w:t xml:space="preserve"> </w:t>
      </w:r>
      <w:r>
        <w:rPr>
          <w:rStyle w:val="VerbatimChar"/>
        </w:rPr>
        <w:t xml:space="preserve">RWA </w:t>
      </w:r>
      <w:r>
        <w:rPr>
          <w:rStyle w:val="VerbatimChar"/>
          <w:rFonts w:hint="eastAsia"/>
        </w:rPr>
        <w:t xml:space="preserve">金融化叙事</w:t>
      </w:r>
      <w:r>
        <w:t xml:space="preserve"> </w:t>
      </w:r>
      <w:r>
        <w:rPr>
          <w:rFonts w:hint="eastAsia"/>
        </w:rPr>
        <w:t xml:space="preserve">转向</w:t>
      </w:r>
      <w:r>
        <w:t xml:space="preserve"> </w:t>
      </w:r>
      <w:r>
        <w:rPr>
          <w:rStyle w:val="VerbatimChar"/>
          <w:rFonts w:hint="eastAsia"/>
        </w:rPr>
        <w:t xml:space="preserve">新能源可信数据与绿色资产服务</w:t>
      </w:r>
      <w:r>
        <w:rPr>
          <w:rFonts w:hint="eastAsia"/>
        </w:rPr>
        <w:t xml:space="preserve">。这种主动调整有助于降低政策和评审风险，也有助于让项目更贴近实际可落地路径。</w:t>
      </w:r>
    </w:p>
    <w:bookmarkEnd w:id="198"/>
    <w:bookmarkStart w:id="199" w:name="采用先原型后试点再升级的推进节奏"/>
    <w:p>
      <w:pPr>
        <w:pStyle w:val="Heading3"/>
      </w:pPr>
      <w:r>
        <w:t xml:space="preserve">9.6.3 </w:t>
      </w:r>
      <w:r>
        <w:rPr>
          <w:rFonts w:hint="eastAsia"/>
        </w:rPr>
        <w:t xml:space="preserve">采用“先原型、后试点、再升级”的推进节奏</w:t>
      </w:r>
    </w:p>
    <w:p>
      <w:pPr>
        <w:pStyle w:val="FirstParagraph"/>
        <w:spacing w:line="360" w:lineRule="auto" w:after="120"/>
        <w:ind w:firstLine="420"/>
      </w:pPr>
      <w:r>
        <w:rPr>
          <w:rFonts w:hint="eastAsia"/>
        </w:rPr>
        <w:t xml:space="preserve">团队不以短期大规模商业化为目标，而是按照原型验证、材料完善、小范围试点、平台化升级的节奏推进。这种路径有助于降低资源压力和盲目扩张风险，使每一阶段的目标都更现实。</w:t>
      </w:r>
    </w:p>
    <w:bookmarkEnd w:id="199"/>
    <w:bookmarkStart w:id="200" w:name="以小场景为切口开展验证"/>
    <w:p>
      <w:pPr>
        <w:pStyle w:val="Heading3"/>
      </w:pPr>
      <w:r>
        <w:t xml:space="preserve">9.6.4 </w:t>
      </w:r>
      <w:r>
        <w:rPr>
          <w:rFonts w:hint="eastAsia"/>
        </w:rPr>
        <w:t xml:space="preserve">以小场景为切口开展验证</w:t>
      </w:r>
    </w:p>
    <w:p>
      <w:pPr>
        <w:pStyle w:val="FirstParagraph"/>
        <w:spacing w:line="360" w:lineRule="auto" w:after="120"/>
        <w:ind w:firstLine="420"/>
      </w:pPr>
      <w:r>
        <w:rPr>
          <w:rFonts w:hint="eastAsia"/>
        </w:rPr>
        <w:t xml:space="preserve">后续在真实场景验证时，项目将优先选择校园、园区、小型分布式光伏项目等更容易接触和管理的场景，而不是一开始就追求复杂、多主体的大规模落地。通过小场景先跑通，再逐步复制，可以显著降低初期失败风险。</w:t>
      </w:r>
    </w:p>
    <w:bookmarkEnd w:id="200"/>
    <w:bookmarkStart w:id="204" w:name="持续补充政策与场景研究"/>
    <w:p>
      <w:pPr>
        <w:pStyle w:val="Heading3"/>
      </w:pPr>
      <w:r>
        <w:t xml:space="preserve">9.6.5 </w:t>
      </w:r>
      <w:r>
        <w:rPr>
          <w:rFonts w:hint="eastAsia"/>
        </w:rPr>
        <w:t xml:space="preserve">持续补充政策与场景研究</w:t>
      </w:r>
    </w:p>
    <w:p>
      <w:pPr>
        <w:pStyle w:val="FirstParagraph"/>
        <w:spacing w:line="360" w:lineRule="auto" w:after="120"/>
        <w:ind w:firstLine="420"/>
      </w:pPr>
      <w:r>
        <w:rPr>
          <w:rFonts w:hint="eastAsia"/>
        </w:rPr>
        <w:t xml:space="preserve">由于项目所处方向与政策变化密切相关，团队后续需要继续保持对数据要素、可信数据空间、绿证制度和绿色金融政策的跟踪，以确保项目表达和后续设计始终与制度环境保持一致。</w:t>
      </w:r>
    </w:p>
    <w:p>
      <w:pPr>
        <w:pStyle w:val="CaptionedFigure"/>
      </w:pPr>
      <w:r>
        <w:drawing>
          <wp:inline>
            <wp:extent cx="5334000" cy="5334000"/>
            <wp:effectExtent b="0" l="0" r="0" t="0"/>
            <wp:docPr descr="插图" title="" id="202" name="Picture"/>
            <a:graphic>
              <a:graphicData uri="http://schemas.openxmlformats.org/drawingml/2006/picture">
                <pic:pic>
                  <pic:nvPicPr>
                    <pic:cNvPr descr="/Users/evanhan/项目/光伏项目/比赛材料/素材库/最终图片/10_风险应对闭环图_v2.png" id="203" name="Picture"/>
                    <pic:cNvPicPr>
                      <a:picLocks noChangeArrowheads="1" noChangeAspect="1"/>
                    </pic:cNvPicPr>
                  </pic:nvPicPr>
                  <pic:blipFill>
                    <a:blip r:embed="rId20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插图</w:t>
      </w:r>
    </w:p>
    <w:bookmarkEnd w:id="204"/>
    <w:bookmarkEnd w:id="205"/>
    <w:bookmarkStart w:id="206" w:name="合规边界的明确表达"/>
    <w:p>
      <w:pPr>
        <w:pStyle w:val="Heading2"/>
      </w:pPr>
      <w:r>
        <w:t xml:space="preserve">9.7 </w:t>
      </w:r>
      <w:r>
        <w:rPr>
          <w:rFonts w:hint="eastAsia"/>
        </w:rPr>
        <w:t xml:space="preserve">合规边界的明确表达</w:t>
      </w:r>
    </w:p>
    <w:p>
      <w:pPr>
        <w:pStyle w:val="FirstParagraph"/>
        <w:spacing w:line="360" w:lineRule="auto" w:after="120"/>
        <w:ind w:firstLine="420"/>
      </w:pPr>
      <w:r>
        <w:rPr>
          <w:rFonts w:hint="eastAsia"/>
        </w:rPr>
        <w:t xml:space="preserve">为了在比赛和后续展示中进一步降低误解风险，</w:t>
      </w:r>
      <w:r>
        <w:rPr>
          <w:rStyle w:val="VerbatimChar"/>
        </w:rPr>
        <w:t xml:space="preserve">SolarGuard</w:t>
      </w:r>
      <w:r>
        <w:t xml:space="preserve"> </w:t>
      </w:r>
      <w:r>
        <w:rPr>
          <w:rFonts w:hint="eastAsia"/>
        </w:rPr>
        <w:t xml:space="preserve">需要始终坚持以下合规边界表达：</w:t>
      </w:r>
    </w:p>
    <w:p>
      <w:pPr>
        <w:pStyle w:val="Compact"/>
        <w:numPr>
          <w:ilvl w:val="0"/>
          <w:numId w:val="1014"/>
        </w:numPr>
      </w:pPr>
      <w:r>
        <w:rPr>
          <w:rFonts w:hint="eastAsia"/>
        </w:rPr>
        <w:t xml:space="preserve">本项目当前重点是分布式光伏可信数据采集、联盟链存证与绿色资产服务。</w:t>
      </w:r>
    </w:p>
    <w:p>
      <w:pPr>
        <w:pStyle w:val="Compact"/>
        <w:numPr>
          <w:ilvl w:val="0"/>
          <w:numId w:val="1014"/>
        </w:numPr>
      </w:pPr>
      <w:r>
        <w:rPr>
          <w:rFonts w:hint="eastAsia"/>
        </w:rPr>
        <w:t xml:space="preserve">本项目现阶段不在中国大陆开展公开代币发行、代币交易或面向社会公众的金融化募集业务。</w:t>
      </w:r>
    </w:p>
    <w:p>
      <w:pPr>
        <w:pStyle w:val="Compact"/>
        <w:numPr>
          <w:ilvl w:val="0"/>
          <w:numId w:val="1014"/>
        </w:numPr>
      </w:pPr>
      <w:r>
        <w:rPr>
          <w:rFonts w:hint="eastAsia"/>
        </w:rPr>
        <w:t xml:space="preserve">项目中涉及绿色资产映射和价值流转的相关机制，属于原型验证和技术探索，不作为当前主要落地业务方向。</w:t>
      </w:r>
    </w:p>
    <w:p>
      <w:pPr>
        <w:pStyle w:val="Compact"/>
        <w:numPr>
          <w:ilvl w:val="0"/>
          <w:numId w:val="1014"/>
        </w:numPr>
      </w:pPr>
      <w:r>
        <w:rPr>
          <w:rFonts w:hint="eastAsia"/>
        </w:rPr>
        <w:t xml:space="preserve">项目未来的重点应用方向是绿证衔接、ESG</w:t>
      </w:r>
      <w:r>
        <w:t xml:space="preserve"> </w:t>
      </w:r>
      <w:r>
        <w:rPr>
          <w:rFonts w:hint="eastAsia"/>
        </w:rPr>
        <w:t xml:space="preserve">披露支持、项目审计辅助和绿色金融辅助决策。</w:t>
      </w:r>
    </w:p>
    <w:p>
      <w:pPr>
        <w:pStyle w:val="FirstParagraph"/>
        <w:spacing w:line="360" w:lineRule="auto" w:after="120"/>
        <w:ind w:firstLine="420"/>
      </w:pPr>
      <w:r>
        <w:rPr>
          <w:rFonts w:hint="eastAsia"/>
        </w:rPr>
        <w:t xml:space="preserve">这种边界一旦明确，项目的技术创新性和政策稳健性就能够同时成立。</w:t>
      </w:r>
    </w:p>
    <w:bookmarkEnd w:id="206"/>
    <w:bookmarkStart w:id="207" w:name="本章结论-7"/>
    <w:p>
      <w:pPr>
        <w:pStyle w:val="Heading2"/>
      </w:pPr>
      <w:r>
        <w:t xml:space="preserve">9.8 </w:t>
      </w:r>
      <w:r>
        <w:rPr>
          <w:rFonts w:hint="eastAsia"/>
        </w:rPr>
        <w:t xml:space="preserve">本章结论</w:t>
      </w:r>
    </w:p>
    <w:p>
      <w:pPr>
        <w:pStyle w:val="FirstParagraph"/>
        <w:spacing w:line="360" w:lineRule="auto" w:after="120"/>
        <w:ind w:firstLine="420"/>
      </w:pPr>
      <w:r>
        <w:rPr>
          <w:rFonts w:hint="eastAsia"/>
        </w:rPr>
        <w:t xml:space="preserve">总体而言，</w:t>
      </w:r>
      <w:r>
        <w:rPr>
          <w:rStyle w:val="VerbatimChar"/>
        </w:rPr>
        <w:t xml:space="preserve">SolarGuard</w:t>
      </w:r>
      <w:r>
        <w:t xml:space="preserve"> </w:t>
      </w:r>
      <w:r>
        <w:rPr>
          <w:rFonts w:hint="eastAsia"/>
        </w:rPr>
        <w:t xml:space="preserve">面临的风险并非无法控制，而是典型的原型型创新项目在成长过程中必然会遇到的风险：技术仍需深化、政策边界需要把握、市场教育需要时间、资源条件存在限制。关键不在于风险是否存在，而在于团队是否有能力识别风险、控制风险并在约束下继续推进。</w:t>
      </w:r>
    </w:p>
    <w:p>
      <w:pPr>
        <w:pStyle w:val="BodyText"/>
        <w:spacing w:line="360" w:lineRule="auto" w:after="120"/>
        <w:ind w:firstLine="420"/>
      </w:pPr>
      <w:r>
        <w:rPr>
          <w:rFonts w:hint="eastAsia"/>
        </w:rPr>
        <w:t xml:space="preserve">从目前情况看，项目已经在三个方面表现出较好的风险控制意识：一是坚持以真实代码和实验成果为基础，不做空泛包装；二是主动根据政策环境调整定位，规避高风险表述；三是采用分阶段推进思路，将近期目标聚焦于材料完善和比赛版原型整合。这些都说明，</w:t>
      </w:r>
      <w:r>
        <w:rPr>
          <w:rStyle w:val="VerbatimChar"/>
        </w:rPr>
        <w:t xml:space="preserve">SolarGuard</w:t>
      </w:r>
      <w:r>
        <w:t xml:space="preserve"> </w:t>
      </w:r>
      <w:r>
        <w:rPr>
          <w:rFonts w:hint="eastAsia"/>
        </w:rPr>
        <w:t xml:space="preserve">不仅是一个有创新性的项目，也是一项具备较强自我修正和稳健推进能力的项目。</w:t>
      </w:r>
    </w:p>
    <w:p>
      <w:pPr>
        <w:pStyle w:val="BlockText"/>
      </w:pPr>
      <w:r>
        <w:rPr>
          <w:rFonts w:hint="eastAsia"/>
          <w:i/>
          <w:color w:val="6B7280"/>
        </w:rPr>
        <w:t xml:space="preserve">待补表格：风险-影响-应对表</w:t>
      </w:r>
    </w:p>
    <w:p>
      <w:pPr>
        <w:spacing w:line="360" w:lineRule="auto" w:after="120"/>
        <w:ind w:firstLine="420"/>
      </w:pPr>
      <w:r>
        <w:pict>
          <v:rect style="width:0;height:1.5pt" o:hralign="center" o:hrstd="t" o:hr="t"/>
        </w:pict>
      </w:r>
    </w:p>
    <w:bookmarkEnd w:id="207"/>
    <w:bookmarkEnd w:id="208"/>
    <w:bookmarkStart w:id="251" w:name="第十章-附录材料清单"/>
    <w:p>
      <w:pPr>
        <w:pStyle w:val="Heading1"/>
        <w:jc w:val="left"/>
      </w:pPr>
      <w:r>
        <w:rPr>
          <w:rFonts w:hint="eastAsia"/>
        </w:rPr>
        <w:t xml:space="preserve">第十章</w:t>
        <w:br w:type="page"/>
      </w:r>
      <w:r>
        <w:t xml:space="preserve"> </w:t>
      </w:r>
      <w:r>
        <w:rPr>
          <w:rFonts w:hint="eastAsia"/>
        </w:rPr>
        <w:t xml:space="preserve">附录材料清单</w:t>
      </w:r>
    </w:p>
    <w:bookmarkStart w:id="209" w:name="附录的作用"/>
    <w:p>
      <w:pPr>
        <w:pStyle w:val="Heading2"/>
      </w:pPr>
      <w:r>
        <w:t xml:space="preserve">10.1 </w:t>
      </w:r>
      <w:r>
        <w:rPr>
          <w:rFonts w:hint="eastAsia"/>
        </w:rPr>
        <w:t xml:space="preserve">附录的作用</w:t>
      </w:r>
    </w:p>
    <w:p>
      <w:pPr>
        <w:pStyle w:val="FirstParagraph"/>
        <w:spacing w:line="360" w:lineRule="auto" w:after="120"/>
        <w:ind w:firstLine="420"/>
      </w:pPr>
      <w:r>
        <w:rPr>
          <w:rFonts w:hint="eastAsia"/>
        </w:rPr>
        <w:t xml:space="preserve">对于</w:t>
      </w:r>
      <w:r>
        <w:t xml:space="preserve"> </w:t>
      </w:r>
      <w:r>
        <w:rPr>
          <w:rStyle w:val="VerbatimChar"/>
        </w:rPr>
        <w:t xml:space="preserve">SolarGuard</w:t>
      </w:r>
      <w:r>
        <w:t xml:space="preserve"> </w:t>
      </w:r>
      <w:r>
        <w:rPr>
          <w:rFonts w:hint="eastAsia"/>
        </w:rPr>
        <w:t xml:space="preserve">这类技术型创新项目而言，附录并不是可有可无的补充材料，而是整份商业计划书可信度的重要来源。正文的作用是讲清楚“项目是什么、为什么成立、为什么值得支持”；附录的作用则是证明“项目真的做过、真的有基础、真的有材料可以支撑”。</w:t>
      </w:r>
    </w:p>
    <w:p>
      <w:pPr>
        <w:pStyle w:val="BodyText"/>
        <w:spacing w:line="360" w:lineRule="auto" w:after="120"/>
        <w:ind w:firstLine="420"/>
      </w:pPr>
      <w:r>
        <w:rPr>
          <w:rFonts w:hint="eastAsia"/>
        </w:rPr>
        <w:t xml:space="preserve">因此，本项目附录建议采用“可验证、可引用、可扩展”的原则进行组织。也就是说，附录中的每一类材料都应当服务于正文中的关键论点，而不是简单堆砌截图或文件列表。当前阶段虽然部分材料仍可继续补充，但先建立完整的附录框架是有必要的，这样后续新增内容可以直接归位，不会影响整体结构。</w:t>
      </w:r>
    </w:p>
    <w:bookmarkEnd w:id="209"/>
    <w:bookmarkStart w:id="244" w:name="附录建议结构"/>
    <w:p>
      <w:pPr>
        <w:pStyle w:val="Heading2"/>
      </w:pPr>
      <w:r>
        <w:t xml:space="preserve">10.2 </w:t>
      </w:r>
      <w:r>
        <w:rPr>
          <w:rFonts w:hint="eastAsia"/>
        </w:rPr>
        <w:t xml:space="preserve">附录建议结构</w:t>
      </w:r>
    </w:p>
    <w:p>
      <w:pPr>
        <w:pStyle w:val="FirstParagraph"/>
        <w:spacing w:line="360" w:lineRule="auto" w:after="120"/>
        <w:ind w:firstLine="420"/>
      </w:pPr>
      <w:r>
        <w:rPr>
          <w:rFonts w:hint="eastAsia"/>
        </w:rPr>
        <w:t xml:space="preserve">结合当前项目已有材料，</w:t>
      </w:r>
      <w:r>
        <w:rPr>
          <w:rStyle w:val="VerbatimChar"/>
        </w:rPr>
        <w:t xml:space="preserve">SolarGuard</w:t>
      </w:r>
      <w:r>
        <w:t xml:space="preserve"> </w:t>
      </w:r>
      <w:r>
        <w:rPr>
          <w:rFonts w:hint="eastAsia"/>
        </w:rPr>
        <w:t xml:space="preserve">的附录建议分为八类。</w:t>
      </w:r>
    </w:p>
    <w:bookmarkStart w:id="216" w:name="项目代码与仓库材料"/>
    <w:p>
      <w:pPr>
        <w:pStyle w:val="Heading3"/>
      </w:pPr>
      <w:r>
        <w:t xml:space="preserve">10.2.1 </w:t>
      </w:r>
      <w:r>
        <w:rPr>
          <w:rFonts w:hint="eastAsia"/>
        </w:rPr>
        <w:t xml:space="preserve">项目代码与仓库材料</w:t>
      </w:r>
    </w:p>
    <w:p>
      <w:pPr>
        <w:pStyle w:val="FirstParagraph"/>
        <w:spacing w:line="360" w:lineRule="auto" w:after="120"/>
        <w:ind w:firstLine="420"/>
      </w:pPr>
      <w:r>
        <w:rPr>
          <w:rFonts w:hint="eastAsia"/>
        </w:rPr>
        <w:t xml:space="preserve">建议放入：</w:t>
      </w:r>
    </w:p>
    <w:p>
      <w:pPr>
        <w:pStyle w:val="Compact"/>
        <w:numPr>
          <w:ilvl w:val="0"/>
          <w:numId w:val="1015"/>
        </w:numPr>
      </w:pPr>
      <w:r>
        <w:t xml:space="preserve">GitHub </w:t>
      </w:r>
      <w:r>
        <w:rPr>
          <w:rFonts w:hint="eastAsia"/>
        </w:rPr>
        <w:t xml:space="preserve">仓库首页截图</w:t>
      </w:r>
    </w:p>
    <w:p>
      <w:pPr>
        <w:pStyle w:val="Compact"/>
        <w:numPr>
          <w:ilvl w:val="0"/>
          <w:numId w:val="1015"/>
        </w:numPr>
      </w:pPr>
      <w:r>
        <w:rPr>
          <w:rFonts w:hint="eastAsia"/>
        </w:rPr>
        <w:t xml:space="preserve">仓库目录结构截图</w:t>
      </w:r>
    </w:p>
    <w:p>
      <w:pPr>
        <w:pStyle w:val="Compact"/>
        <w:numPr>
          <w:ilvl w:val="0"/>
          <w:numId w:val="1015"/>
        </w:numPr>
      </w:pPr>
      <w:r>
        <w:rPr>
          <w:rFonts w:hint="eastAsia"/>
        </w:rPr>
        <w:t xml:space="preserve">核心代码文件截图</w:t>
      </w:r>
    </w:p>
    <w:p>
      <w:pPr>
        <w:pStyle w:val="Compact"/>
        <w:numPr>
          <w:ilvl w:val="0"/>
          <w:numId w:val="1015"/>
        </w:numPr>
      </w:pPr>
      <w:r>
        <w:rPr>
          <w:rFonts w:hint="eastAsia"/>
        </w:rPr>
        <w:t xml:space="preserve">关键模块说明</w:t>
      </w:r>
    </w:p>
    <w:p>
      <w:pPr>
        <w:pStyle w:val="FirstParagraph"/>
        <w:spacing w:line="360" w:lineRule="auto" w:after="120"/>
        <w:ind w:firstLine="420"/>
      </w:pPr>
      <w:r>
        <w:rPr>
          <w:rFonts w:hint="eastAsia"/>
        </w:rPr>
        <w:t xml:space="preserve">当前可直接引用：</w:t>
      </w:r>
    </w:p>
    <w:p>
      <w:pPr>
        <w:pStyle w:val="Compact"/>
        <w:numPr>
          <w:ilvl w:val="0"/>
          <w:numId w:val="1016"/>
        </w:numPr>
      </w:pPr>
      <w:hyperlink r:id="rId210">
        <w:r>
          <w:rPr>
            <w:rStyle w:val="Hyperlink"/>
          </w:rPr>
          <w:t xml:space="preserve">GitHub </w:t>
        </w:r>
        <w:r>
          <w:rPr>
            <w:rStyle w:val="Hyperlink"/>
            <w:rFonts w:hint="eastAsia"/>
          </w:rPr>
          <w:t xml:space="preserve">仓库</w:t>
        </w:r>
      </w:hyperlink>
    </w:p>
    <w:p>
      <w:pPr>
        <w:pStyle w:val="Compact"/>
        <w:numPr>
          <w:ilvl w:val="0"/>
          <w:numId w:val="1016"/>
        </w:numPr>
      </w:pPr>
      <w:hyperlink r:id="rId211">
        <w:r>
          <w:rPr>
            <w:rStyle w:val="Hyperlink"/>
          </w:rPr>
          <w:t xml:space="preserve">README.md</w:t>
        </w:r>
      </w:hyperlink>
    </w:p>
    <w:p>
      <w:pPr>
        <w:pStyle w:val="Compact"/>
        <w:numPr>
          <w:ilvl w:val="0"/>
          <w:numId w:val="1016"/>
        </w:numPr>
      </w:pPr>
      <w:hyperlink r:id="rId212">
        <w:r>
          <w:rPr>
            <w:rStyle w:val="Hyperlink"/>
          </w:rPr>
          <w:t xml:space="preserve">solar_monitor.py</w:t>
        </w:r>
      </w:hyperlink>
    </w:p>
    <w:p>
      <w:pPr>
        <w:pStyle w:val="Compact"/>
        <w:numPr>
          <w:ilvl w:val="0"/>
          <w:numId w:val="1016"/>
        </w:numPr>
      </w:pPr>
      <w:hyperlink r:id="rId213">
        <w:r>
          <w:rPr>
            <w:rStyle w:val="Hyperlink"/>
          </w:rPr>
          <w:t xml:space="preserve">auto_monitor.py</w:t>
        </w:r>
      </w:hyperlink>
    </w:p>
    <w:p>
      <w:pPr>
        <w:pStyle w:val="Compact"/>
        <w:numPr>
          <w:ilvl w:val="0"/>
          <w:numId w:val="1016"/>
        </w:numPr>
      </w:pPr>
      <w:hyperlink r:id="rId214">
        <w:r>
          <w:rPr>
            <w:rStyle w:val="Hyperlink"/>
          </w:rPr>
          <w:t xml:space="preserve">chain_client.py</w:t>
        </w:r>
      </w:hyperlink>
    </w:p>
    <w:p>
      <w:pPr>
        <w:pStyle w:val="Compact"/>
        <w:numPr>
          <w:ilvl w:val="0"/>
          <w:numId w:val="1016"/>
        </w:numPr>
      </w:pPr>
      <w:hyperlink r:id="rId215">
        <w:r>
          <w:rPr>
            <w:rStyle w:val="Hyperlink"/>
          </w:rPr>
          <w:t xml:space="preserve">api/app.py</w:t>
        </w:r>
      </w:hyperlink>
    </w:p>
    <w:p>
      <w:pPr>
        <w:pStyle w:val="FirstParagraph"/>
        <w:spacing w:line="360" w:lineRule="auto" w:after="120"/>
        <w:ind w:firstLine="420"/>
      </w:pPr>
      <w:r>
        <w:rPr>
          <w:rFonts w:hint="eastAsia"/>
        </w:rPr>
        <w:t xml:space="preserve">这类材料的作用是证明项目具备真实研发基础，而不是概念型包装。</w:t>
      </w:r>
    </w:p>
    <w:bookmarkEnd w:id="216"/>
    <w:bookmarkStart w:id="221" w:name="系统架构与技术说明材料"/>
    <w:p>
      <w:pPr>
        <w:pStyle w:val="Heading3"/>
      </w:pPr>
      <w:r>
        <w:t xml:space="preserve">10.2.2 </w:t>
      </w:r>
      <w:r>
        <w:rPr>
          <w:rFonts w:hint="eastAsia"/>
        </w:rPr>
        <w:t xml:space="preserve">系统架构与技术说明材料</w:t>
      </w:r>
    </w:p>
    <w:p>
      <w:pPr>
        <w:pStyle w:val="FirstParagraph"/>
        <w:spacing w:line="360" w:lineRule="auto" w:after="120"/>
        <w:ind w:firstLine="420"/>
      </w:pPr>
      <w:r>
        <w:rPr>
          <w:rFonts w:hint="eastAsia"/>
        </w:rPr>
        <w:t xml:space="preserve">建议放入：</w:t>
      </w:r>
    </w:p>
    <w:p>
      <w:pPr>
        <w:pStyle w:val="Compact"/>
        <w:numPr>
          <w:ilvl w:val="0"/>
          <w:numId w:val="1017"/>
        </w:numPr>
      </w:pPr>
      <w:r>
        <w:rPr>
          <w:rFonts w:hint="eastAsia"/>
        </w:rPr>
        <w:t xml:space="preserve">系统总体架构图</w:t>
      </w:r>
    </w:p>
    <w:p>
      <w:pPr>
        <w:pStyle w:val="Compact"/>
        <w:numPr>
          <w:ilvl w:val="0"/>
          <w:numId w:val="1017"/>
        </w:numPr>
      </w:pPr>
      <w:r>
        <w:rPr>
          <w:rFonts w:hint="eastAsia"/>
        </w:rPr>
        <w:t xml:space="preserve">采集流程图</w:t>
      </w:r>
    </w:p>
    <w:p>
      <w:pPr>
        <w:pStyle w:val="Compact"/>
        <w:numPr>
          <w:ilvl w:val="0"/>
          <w:numId w:val="1017"/>
        </w:numPr>
      </w:pPr>
      <w:r>
        <w:rPr>
          <w:rFonts w:hint="eastAsia"/>
        </w:rPr>
        <w:t xml:space="preserve">上链流程图</w:t>
      </w:r>
    </w:p>
    <w:p>
      <w:pPr>
        <w:pStyle w:val="Compact"/>
        <w:numPr>
          <w:ilvl w:val="0"/>
          <w:numId w:val="1017"/>
        </w:numPr>
      </w:pPr>
      <w:r>
        <w:rPr>
          <w:rFonts w:hint="eastAsia"/>
        </w:rPr>
        <w:t xml:space="preserve">自动监测流程图</w:t>
      </w:r>
    </w:p>
    <w:p>
      <w:pPr>
        <w:pStyle w:val="Compact"/>
        <w:numPr>
          <w:ilvl w:val="0"/>
          <w:numId w:val="1017"/>
        </w:numPr>
      </w:pPr>
      <w:r>
        <w:rPr>
          <w:rFonts w:hint="eastAsia"/>
        </w:rPr>
        <w:t xml:space="preserve">前后端模块关系图</w:t>
      </w:r>
    </w:p>
    <w:p>
      <w:pPr>
        <w:pStyle w:val="FirstParagraph"/>
        <w:spacing w:line="360" w:lineRule="auto" w:after="120"/>
        <w:ind w:firstLine="420"/>
      </w:pPr>
      <w:r>
        <w:rPr>
          <w:rFonts w:hint="eastAsia"/>
        </w:rPr>
        <w:t xml:space="preserve">当前可直接整理的来源：</w:t>
      </w:r>
    </w:p>
    <w:p>
      <w:pPr>
        <w:pStyle w:val="Compact"/>
        <w:numPr>
          <w:ilvl w:val="0"/>
          <w:numId w:val="1018"/>
        </w:numPr>
      </w:pPr>
      <w:hyperlink r:id="rId217">
        <w:r>
          <w:rPr>
            <w:rStyle w:val="Hyperlink"/>
            <w:rFonts w:hint="eastAsia"/>
          </w:rPr>
          <w:t xml:space="preserve">SolarGuard商业计划书正式目录_创新大赛版.md</w:t>
        </w:r>
      </w:hyperlink>
    </w:p>
    <w:p>
      <w:pPr>
        <w:pStyle w:val="Compact"/>
        <w:numPr>
          <w:ilvl w:val="0"/>
          <w:numId w:val="1018"/>
        </w:numPr>
      </w:pPr>
      <w:hyperlink r:id="rId218">
        <w:r>
          <w:rPr>
            <w:rStyle w:val="Hyperlink"/>
          </w:rPr>
          <w:t xml:space="preserve">SolarGuard Project Report.pdf</w:t>
        </w:r>
      </w:hyperlink>
    </w:p>
    <w:p>
      <w:pPr>
        <w:pStyle w:val="Compact"/>
        <w:numPr>
          <w:ilvl w:val="0"/>
          <w:numId w:val="1018"/>
        </w:numPr>
      </w:pPr>
      <w:hyperlink r:id="rId219">
        <w:r>
          <w:rPr>
            <w:rStyle w:val="Hyperlink"/>
          </w:rPr>
          <w:t xml:space="preserve">assets</w:t>
        </w:r>
      </w:hyperlink>
    </w:p>
    <w:p>
      <w:pPr>
        <w:pStyle w:val="Compact"/>
        <w:numPr>
          <w:ilvl w:val="0"/>
          <w:numId w:val="1018"/>
        </w:numPr>
      </w:pPr>
      <w:hyperlink r:id="rId220">
        <w:r>
          <w:rPr>
            <w:rStyle w:val="Hyperlink"/>
            <w:rFonts w:hint="eastAsia"/>
          </w:rPr>
          <w:t xml:space="preserve">比赛材料/素材库/架构图</w:t>
        </w:r>
      </w:hyperlink>
    </w:p>
    <w:bookmarkEnd w:id="221"/>
    <w:bookmarkStart w:id="227" w:name="实验记录与图表材料"/>
    <w:p>
      <w:pPr>
        <w:pStyle w:val="Heading3"/>
      </w:pPr>
      <w:r>
        <w:t xml:space="preserve">10.2.3 </w:t>
      </w:r>
      <w:r>
        <w:rPr>
          <w:rFonts w:hint="eastAsia"/>
        </w:rPr>
        <w:t xml:space="preserve">实验记录与图表材料</w:t>
      </w:r>
    </w:p>
    <w:p>
      <w:pPr>
        <w:pStyle w:val="FirstParagraph"/>
        <w:spacing w:line="360" w:lineRule="auto" w:after="120"/>
        <w:ind w:firstLine="420"/>
      </w:pPr>
      <w:r>
        <w:rPr>
          <w:rFonts w:hint="eastAsia"/>
        </w:rPr>
        <w:t xml:space="preserve">建议放入：</w:t>
      </w:r>
    </w:p>
    <w:p>
      <w:pPr>
        <w:pStyle w:val="Compact"/>
        <w:numPr>
          <w:ilvl w:val="0"/>
          <w:numId w:val="1019"/>
        </w:numPr>
      </w:pPr>
      <w:r>
        <w:rPr>
          <w:rFonts w:hint="eastAsia"/>
        </w:rPr>
        <w:t xml:space="preserve">自动监测图表</w:t>
      </w:r>
    </w:p>
    <w:p>
      <w:pPr>
        <w:pStyle w:val="Compact"/>
        <w:numPr>
          <w:ilvl w:val="0"/>
          <w:numId w:val="1019"/>
        </w:numPr>
      </w:pPr>
      <w:r>
        <w:rPr>
          <w:rFonts w:hint="eastAsia"/>
        </w:rPr>
        <w:t xml:space="preserve">历史运行曲线</w:t>
      </w:r>
    </w:p>
    <w:p>
      <w:pPr>
        <w:pStyle w:val="Compact"/>
        <w:numPr>
          <w:ilvl w:val="0"/>
          <w:numId w:val="1019"/>
        </w:numPr>
      </w:pPr>
      <w:r>
        <w:rPr>
          <w:rFonts w:hint="eastAsia"/>
        </w:rPr>
        <w:t xml:space="preserve">实验截图</w:t>
      </w:r>
    </w:p>
    <w:p>
      <w:pPr>
        <w:pStyle w:val="Compact"/>
        <w:numPr>
          <w:ilvl w:val="0"/>
          <w:numId w:val="1019"/>
        </w:numPr>
      </w:pPr>
      <w:r>
        <w:rPr>
          <w:rFonts w:hint="eastAsia"/>
        </w:rPr>
        <w:t xml:space="preserve">测试脚本执行结果摘要</w:t>
      </w:r>
    </w:p>
    <w:p>
      <w:pPr>
        <w:pStyle w:val="Compact"/>
        <w:numPr>
          <w:ilvl w:val="0"/>
          <w:numId w:val="1019"/>
        </w:numPr>
      </w:pPr>
      <w:r>
        <w:rPr>
          <w:rFonts w:hint="eastAsia"/>
        </w:rPr>
        <w:t xml:space="preserve">链上记录和状态查询截图</w:t>
      </w:r>
    </w:p>
    <w:p>
      <w:pPr>
        <w:pStyle w:val="FirstParagraph"/>
        <w:spacing w:line="360" w:lineRule="auto" w:after="120"/>
        <w:ind w:firstLine="420"/>
      </w:pPr>
      <w:r>
        <w:rPr>
          <w:rFonts w:hint="eastAsia"/>
        </w:rPr>
        <w:t xml:space="preserve">当前可直接引用：</w:t>
      </w:r>
    </w:p>
    <w:p>
      <w:pPr>
        <w:pStyle w:val="Compact"/>
        <w:numPr>
          <w:ilvl w:val="0"/>
          <w:numId w:val="1020"/>
        </w:numPr>
      </w:pPr>
      <w:hyperlink r:id="rId222">
        <w:r>
          <w:rPr>
            <w:rStyle w:val="Hyperlink"/>
          </w:rPr>
          <w:t xml:space="preserve">charts</w:t>
        </w:r>
      </w:hyperlink>
    </w:p>
    <w:p>
      <w:pPr>
        <w:pStyle w:val="Compact"/>
        <w:numPr>
          <w:ilvl w:val="0"/>
          <w:numId w:val="1020"/>
        </w:numPr>
      </w:pPr>
      <w:hyperlink r:id="rId223">
        <w:r>
          <w:rPr>
            <w:rStyle w:val="Hyperlink"/>
          </w:rPr>
          <w:t xml:space="preserve">full_test.py</w:t>
        </w:r>
      </w:hyperlink>
    </w:p>
    <w:p>
      <w:pPr>
        <w:pStyle w:val="Compact"/>
        <w:numPr>
          <w:ilvl w:val="0"/>
          <w:numId w:val="1020"/>
        </w:numPr>
      </w:pPr>
      <w:hyperlink r:id="rId224">
        <w:r>
          <w:rPr>
            <w:rStyle w:val="Hyperlink"/>
          </w:rPr>
          <w:t xml:space="preserve">test_mint.py</w:t>
        </w:r>
      </w:hyperlink>
    </w:p>
    <w:p>
      <w:pPr>
        <w:pStyle w:val="Compact"/>
        <w:numPr>
          <w:ilvl w:val="0"/>
          <w:numId w:val="1020"/>
        </w:numPr>
      </w:pPr>
      <w:hyperlink r:id="rId225">
        <w:r>
          <w:rPr>
            <w:rStyle w:val="Hyperlink"/>
          </w:rPr>
          <w:t xml:space="preserve">test_chain_client.py</w:t>
        </w:r>
      </w:hyperlink>
    </w:p>
    <w:p>
      <w:pPr>
        <w:pStyle w:val="Compact"/>
        <w:numPr>
          <w:ilvl w:val="0"/>
          <w:numId w:val="1020"/>
        </w:numPr>
      </w:pPr>
      <w:hyperlink r:id="rId226">
        <w:r>
          <w:rPr>
            <w:rStyle w:val="Hyperlink"/>
            <w:rFonts w:hint="eastAsia"/>
          </w:rPr>
          <w:t xml:space="preserve">比赛材料/素材库/实验记录</w:t>
        </w:r>
      </w:hyperlink>
    </w:p>
    <w:p>
      <w:pPr>
        <w:pStyle w:val="FirstParagraph"/>
        <w:spacing w:line="360" w:lineRule="auto" w:after="120"/>
        <w:ind w:firstLine="420"/>
      </w:pPr>
      <w:r>
        <w:rPr>
          <w:rFonts w:hint="eastAsia"/>
        </w:rPr>
        <w:t xml:space="preserve">这部分是整份附录中最“硬”的一类材料，后续应重点补图和整理说明。</w:t>
      </w:r>
    </w:p>
    <w:bookmarkEnd w:id="227"/>
    <w:bookmarkStart w:id="233" w:name="前端与产品原型展示材料"/>
    <w:p>
      <w:pPr>
        <w:pStyle w:val="Heading3"/>
      </w:pPr>
      <w:r>
        <w:t xml:space="preserve">10.2.4 </w:t>
      </w:r>
      <w:r>
        <w:rPr>
          <w:rFonts w:hint="eastAsia"/>
        </w:rPr>
        <w:t xml:space="preserve">前端与产品原型展示材料</w:t>
      </w:r>
    </w:p>
    <w:p>
      <w:pPr>
        <w:pStyle w:val="FirstParagraph"/>
        <w:spacing w:line="360" w:lineRule="auto" w:after="120"/>
        <w:ind w:firstLine="420"/>
      </w:pPr>
      <w:r>
        <w:rPr>
          <w:rFonts w:hint="eastAsia"/>
        </w:rPr>
        <w:t xml:space="preserve">建议放入：</w:t>
      </w:r>
    </w:p>
    <w:p>
      <w:pPr>
        <w:pStyle w:val="Compact"/>
        <w:numPr>
          <w:ilvl w:val="0"/>
          <w:numId w:val="1021"/>
        </w:numPr>
      </w:pPr>
      <w:r>
        <w:rPr>
          <w:rFonts w:hint="eastAsia"/>
        </w:rPr>
        <w:t xml:space="preserve">登录页截图</w:t>
      </w:r>
    </w:p>
    <w:p>
      <w:pPr>
        <w:pStyle w:val="Compact"/>
        <w:numPr>
          <w:ilvl w:val="0"/>
          <w:numId w:val="1021"/>
        </w:numPr>
      </w:pPr>
      <w:r>
        <w:rPr>
          <w:rFonts w:hint="eastAsia"/>
        </w:rPr>
        <w:t xml:space="preserve">仪表盘截图</w:t>
      </w:r>
    </w:p>
    <w:p>
      <w:pPr>
        <w:pStyle w:val="Compact"/>
        <w:numPr>
          <w:ilvl w:val="0"/>
          <w:numId w:val="1021"/>
        </w:numPr>
      </w:pPr>
      <w:r>
        <w:rPr>
          <w:rFonts w:hint="eastAsia"/>
        </w:rPr>
        <w:t xml:space="preserve">钱包连接页截图</w:t>
      </w:r>
    </w:p>
    <w:p>
      <w:pPr>
        <w:pStyle w:val="Compact"/>
        <w:numPr>
          <w:ilvl w:val="0"/>
          <w:numId w:val="1021"/>
        </w:numPr>
      </w:pPr>
      <w:r>
        <w:rPr>
          <w:rFonts w:hint="eastAsia"/>
        </w:rPr>
        <w:t xml:space="preserve">图表组件展示</w:t>
      </w:r>
    </w:p>
    <w:p>
      <w:pPr>
        <w:pStyle w:val="Compact"/>
        <w:numPr>
          <w:ilvl w:val="0"/>
          <w:numId w:val="1021"/>
        </w:numPr>
      </w:pPr>
      <w:r>
        <w:rPr>
          <w:rFonts w:hint="eastAsia"/>
        </w:rPr>
        <w:t xml:space="preserve">页面设计说明</w:t>
      </w:r>
    </w:p>
    <w:p>
      <w:pPr>
        <w:pStyle w:val="FirstParagraph"/>
        <w:spacing w:line="360" w:lineRule="auto" w:after="120"/>
        <w:ind w:firstLine="420"/>
      </w:pPr>
      <w:r>
        <w:rPr>
          <w:rFonts w:hint="eastAsia"/>
        </w:rPr>
        <w:t xml:space="preserve">当前可直接引用：</w:t>
      </w:r>
    </w:p>
    <w:p>
      <w:pPr>
        <w:pStyle w:val="Compact"/>
        <w:numPr>
          <w:ilvl w:val="0"/>
          <w:numId w:val="1022"/>
        </w:numPr>
      </w:pPr>
      <w:hyperlink r:id="rId228">
        <w:r>
          <w:rPr>
            <w:rStyle w:val="Hyperlink"/>
          </w:rPr>
          <w:t xml:space="preserve">frontend/index.html</w:t>
        </w:r>
      </w:hyperlink>
    </w:p>
    <w:p>
      <w:pPr>
        <w:pStyle w:val="Compact"/>
        <w:numPr>
          <w:ilvl w:val="0"/>
          <w:numId w:val="1022"/>
        </w:numPr>
      </w:pPr>
      <w:hyperlink r:id="rId229">
        <w:r>
          <w:rPr>
            <w:rStyle w:val="Hyperlink"/>
          </w:rPr>
          <w:t xml:space="preserve">frontend/app.js</w:t>
        </w:r>
      </w:hyperlink>
    </w:p>
    <w:p>
      <w:pPr>
        <w:pStyle w:val="Compact"/>
        <w:numPr>
          <w:ilvl w:val="0"/>
          <w:numId w:val="1022"/>
        </w:numPr>
      </w:pPr>
      <w:hyperlink r:id="rId230">
        <w:r>
          <w:rPr>
            <w:rStyle w:val="Hyperlink"/>
          </w:rPr>
          <w:t xml:space="preserve">frontend/src/app/page.tsx</w:t>
        </w:r>
      </w:hyperlink>
    </w:p>
    <w:p>
      <w:pPr>
        <w:pStyle w:val="Compact"/>
        <w:numPr>
          <w:ilvl w:val="0"/>
          <w:numId w:val="1022"/>
        </w:numPr>
      </w:pPr>
      <w:hyperlink r:id="rId231">
        <w:r>
          <w:rPr>
            <w:rStyle w:val="Hyperlink"/>
          </w:rPr>
          <w:t xml:space="preserve">assets/unlocked_dashboard_full.png</w:t>
        </w:r>
      </w:hyperlink>
    </w:p>
    <w:p>
      <w:pPr>
        <w:pStyle w:val="Compact"/>
        <w:numPr>
          <w:ilvl w:val="0"/>
          <w:numId w:val="1022"/>
        </w:numPr>
      </w:pPr>
      <w:hyperlink r:id="rId232">
        <w:r>
          <w:rPr>
            <w:rStyle w:val="Hyperlink"/>
          </w:rPr>
          <w:t xml:space="preserve">assets/explicit_registration_flow.webp</w:t>
        </w:r>
      </w:hyperlink>
    </w:p>
    <w:bookmarkEnd w:id="233"/>
    <w:bookmarkStart w:id="236" w:name="项目总结与论证材料"/>
    <w:p>
      <w:pPr>
        <w:pStyle w:val="Heading3"/>
      </w:pPr>
      <w:r>
        <w:t xml:space="preserve">10.2.5 </w:t>
      </w:r>
      <w:r>
        <w:rPr>
          <w:rFonts w:hint="eastAsia"/>
        </w:rPr>
        <w:t xml:space="preserve">项目总结与论证材料</w:t>
      </w:r>
    </w:p>
    <w:p>
      <w:pPr>
        <w:pStyle w:val="FirstParagraph"/>
        <w:spacing w:line="360" w:lineRule="auto" w:after="120"/>
        <w:ind w:firstLine="420"/>
      </w:pPr>
      <w:r>
        <w:rPr>
          <w:rFonts w:hint="eastAsia"/>
        </w:rPr>
        <w:t xml:space="preserve">建议放入：</w:t>
      </w:r>
    </w:p>
    <w:p>
      <w:pPr>
        <w:pStyle w:val="Compact"/>
        <w:numPr>
          <w:ilvl w:val="0"/>
          <w:numId w:val="1023"/>
        </w:numPr>
      </w:pPr>
      <w:r>
        <w:rPr>
          <w:rFonts w:hint="eastAsia"/>
        </w:rPr>
        <w:t xml:space="preserve">项目总结报告</w:t>
      </w:r>
    </w:p>
    <w:p>
      <w:pPr>
        <w:pStyle w:val="Compact"/>
        <w:numPr>
          <w:ilvl w:val="0"/>
          <w:numId w:val="1023"/>
        </w:numPr>
      </w:pPr>
      <w:r>
        <w:rPr>
          <w:rFonts w:hint="eastAsia"/>
        </w:rPr>
        <w:t xml:space="preserve">项目阶段性说明</w:t>
      </w:r>
    </w:p>
    <w:p>
      <w:pPr>
        <w:pStyle w:val="Compact"/>
        <w:numPr>
          <w:ilvl w:val="0"/>
          <w:numId w:val="1023"/>
        </w:numPr>
      </w:pPr>
      <w:r>
        <w:rPr>
          <w:rFonts w:hint="eastAsia"/>
        </w:rPr>
        <w:t xml:space="preserve">原型实验说明</w:t>
      </w:r>
    </w:p>
    <w:p>
      <w:pPr>
        <w:pStyle w:val="Compact"/>
        <w:numPr>
          <w:ilvl w:val="0"/>
          <w:numId w:val="1023"/>
        </w:numPr>
      </w:pPr>
      <w:r>
        <w:rPr>
          <w:rFonts w:hint="eastAsia"/>
        </w:rPr>
        <w:t xml:space="preserve">现有商业计划书参考版本</w:t>
      </w:r>
    </w:p>
    <w:p>
      <w:pPr>
        <w:pStyle w:val="FirstParagraph"/>
        <w:spacing w:line="360" w:lineRule="auto" w:after="120"/>
        <w:ind w:firstLine="420"/>
      </w:pPr>
      <w:r>
        <w:rPr>
          <w:rFonts w:hint="eastAsia"/>
        </w:rPr>
        <w:t xml:space="preserve">当前可直接引用：</w:t>
      </w:r>
    </w:p>
    <w:p>
      <w:pPr>
        <w:pStyle w:val="Compact"/>
        <w:numPr>
          <w:ilvl w:val="0"/>
          <w:numId w:val="1024"/>
        </w:numPr>
      </w:pPr>
      <w:hyperlink r:id="rId218">
        <w:r>
          <w:rPr>
            <w:rStyle w:val="Hyperlink"/>
          </w:rPr>
          <w:t xml:space="preserve">SolarGuard Project Report.pdf</w:t>
        </w:r>
      </w:hyperlink>
    </w:p>
    <w:p>
      <w:pPr>
        <w:pStyle w:val="Compact"/>
        <w:numPr>
          <w:ilvl w:val="0"/>
          <w:numId w:val="1024"/>
        </w:numPr>
      </w:pPr>
      <w:hyperlink r:id="rId234">
        <w:r>
          <w:rPr>
            <w:rStyle w:val="Hyperlink"/>
            <w:rFonts w:hint="eastAsia"/>
          </w:rPr>
          <w:t xml:space="preserve">光伏RWA项目.pdf</w:t>
        </w:r>
      </w:hyperlink>
    </w:p>
    <w:p>
      <w:pPr>
        <w:pStyle w:val="Compact"/>
        <w:numPr>
          <w:ilvl w:val="0"/>
          <w:numId w:val="1024"/>
        </w:numPr>
      </w:pPr>
      <w:hyperlink r:id="rId235">
        <w:r>
          <w:rPr>
            <w:rStyle w:val="Hyperlink"/>
            <w:rFonts w:hint="eastAsia"/>
          </w:rPr>
          <w:t xml:space="preserve">信评要素商业计划书(3).docx</w:t>
        </w:r>
      </w:hyperlink>
    </w:p>
    <w:bookmarkEnd w:id="236"/>
    <w:bookmarkStart w:id="241" w:name="政策与合规材料"/>
    <w:p>
      <w:pPr>
        <w:pStyle w:val="Heading3"/>
      </w:pPr>
      <w:r>
        <w:t xml:space="preserve">10.2.6 </w:t>
      </w:r>
      <w:r>
        <w:rPr>
          <w:rFonts w:hint="eastAsia"/>
        </w:rPr>
        <w:t xml:space="preserve">政策与合规材料</w:t>
      </w:r>
    </w:p>
    <w:p>
      <w:pPr>
        <w:pStyle w:val="FirstParagraph"/>
        <w:spacing w:line="360" w:lineRule="auto" w:after="120"/>
        <w:ind w:firstLine="420"/>
      </w:pPr>
      <w:r>
        <w:rPr>
          <w:rFonts w:hint="eastAsia"/>
        </w:rPr>
        <w:t xml:space="preserve">建议放入：</w:t>
      </w:r>
    </w:p>
    <w:p>
      <w:pPr>
        <w:pStyle w:val="Compact"/>
        <w:numPr>
          <w:ilvl w:val="0"/>
          <w:numId w:val="1025"/>
        </w:numPr>
      </w:pPr>
      <w:r>
        <w:rPr>
          <w:rFonts w:hint="eastAsia"/>
        </w:rPr>
        <w:t xml:space="preserve">政策资料目录</w:t>
      </w:r>
    </w:p>
    <w:p>
      <w:pPr>
        <w:pStyle w:val="Compact"/>
        <w:numPr>
          <w:ilvl w:val="0"/>
          <w:numId w:val="1025"/>
        </w:numPr>
      </w:pPr>
      <w:r>
        <w:rPr>
          <w:rFonts w:hint="eastAsia"/>
        </w:rPr>
        <w:t xml:space="preserve">关键政策截图或封面页</w:t>
      </w:r>
    </w:p>
    <w:p>
      <w:pPr>
        <w:pStyle w:val="Compact"/>
        <w:numPr>
          <w:ilvl w:val="0"/>
          <w:numId w:val="1025"/>
        </w:numPr>
      </w:pPr>
      <w:r>
        <w:rPr>
          <w:rFonts w:hint="eastAsia"/>
        </w:rPr>
        <w:t xml:space="preserve">重点政策摘要</w:t>
      </w:r>
    </w:p>
    <w:p>
      <w:pPr>
        <w:pStyle w:val="Compact"/>
        <w:numPr>
          <w:ilvl w:val="0"/>
          <w:numId w:val="1025"/>
        </w:numPr>
      </w:pPr>
      <w:r>
        <w:rPr>
          <w:rFonts w:hint="eastAsia"/>
        </w:rPr>
        <w:t xml:space="preserve">合规边界说明</w:t>
      </w:r>
    </w:p>
    <w:p>
      <w:pPr>
        <w:pStyle w:val="FirstParagraph"/>
        <w:spacing w:line="360" w:lineRule="auto" w:after="120"/>
        <w:ind w:firstLine="420"/>
      </w:pPr>
      <w:r>
        <w:rPr>
          <w:rFonts w:hint="eastAsia"/>
        </w:rPr>
        <w:t xml:space="preserve">当前可直接引用：</w:t>
      </w:r>
    </w:p>
    <w:p>
      <w:pPr>
        <w:pStyle w:val="Compact"/>
        <w:numPr>
          <w:ilvl w:val="0"/>
          <w:numId w:val="1026"/>
        </w:numPr>
      </w:pPr>
      <w:hyperlink r:id="rId237">
        <w:r>
          <w:rPr>
            <w:rStyle w:val="Hyperlink"/>
            <w:rFonts w:hint="eastAsia"/>
          </w:rPr>
          <w:t xml:space="preserve">政策资料/README.md</w:t>
        </w:r>
      </w:hyperlink>
    </w:p>
    <w:p>
      <w:pPr>
        <w:pStyle w:val="Compact"/>
        <w:numPr>
          <w:ilvl w:val="0"/>
          <w:numId w:val="1026"/>
        </w:numPr>
      </w:pPr>
      <w:hyperlink r:id="rId238">
        <w:r>
          <w:rPr>
            <w:rStyle w:val="Hyperlink"/>
            <w:rFonts w:hint="eastAsia"/>
          </w:rPr>
          <w:t xml:space="preserve">政策与合规环境分析初稿.md</w:t>
        </w:r>
      </w:hyperlink>
    </w:p>
    <w:p>
      <w:pPr>
        <w:pStyle w:val="Compact"/>
        <w:numPr>
          <w:ilvl w:val="0"/>
          <w:numId w:val="1026"/>
        </w:numPr>
      </w:pPr>
      <w:hyperlink r:id="rId239">
        <w:r>
          <w:rPr>
            <w:rStyle w:val="Hyperlink"/>
            <w:rFonts w:hint="eastAsia"/>
          </w:rPr>
          <w:t xml:space="preserve">项目定位调整建议_比赛申报版.md</w:t>
        </w:r>
      </w:hyperlink>
    </w:p>
    <w:p>
      <w:pPr>
        <w:pStyle w:val="Compact"/>
        <w:numPr>
          <w:ilvl w:val="0"/>
          <w:numId w:val="1026"/>
        </w:numPr>
      </w:pPr>
      <w:hyperlink r:id="rId240">
        <w:r>
          <w:rPr>
            <w:rStyle w:val="Hyperlink"/>
            <w:rFonts w:hint="eastAsia"/>
          </w:rPr>
          <w:t xml:space="preserve">04_绿色金融与绿证</w:t>
        </w:r>
      </w:hyperlink>
    </w:p>
    <w:p>
      <w:pPr>
        <w:pStyle w:val="FirstParagraph"/>
        <w:spacing w:line="360" w:lineRule="auto" w:after="120"/>
        <w:ind w:firstLine="420"/>
      </w:pPr>
      <w:r>
        <w:rPr>
          <w:rFonts w:hint="eastAsia"/>
        </w:rPr>
        <w:t xml:space="preserve">这部分材料的作用是增强项目的政策适配性，特别适合放在附录后半部分，作为专业支撑。</w:t>
      </w:r>
    </w:p>
    <w:bookmarkEnd w:id="241"/>
    <w:bookmarkStart w:id="242" w:name="团队与教育实效材料"/>
    <w:p>
      <w:pPr>
        <w:pStyle w:val="Heading3"/>
      </w:pPr>
      <w:r>
        <w:t xml:space="preserve">10.2.7 </w:t>
      </w:r>
      <w:r>
        <w:rPr>
          <w:rFonts w:hint="eastAsia"/>
        </w:rPr>
        <w:t xml:space="preserve">团队与教育实效材料</w:t>
      </w:r>
    </w:p>
    <w:p>
      <w:pPr>
        <w:pStyle w:val="FirstParagraph"/>
        <w:spacing w:line="360" w:lineRule="auto" w:after="120"/>
        <w:ind w:firstLine="420"/>
      </w:pPr>
      <w:r>
        <w:rPr>
          <w:rFonts w:hint="eastAsia"/>
        </w:rPr>
        <w:t xml:space="preserve">建议放入：</w:t>
      </w:r>
    </w:p>
    <w:p>
      <w:pPr>
        <w:pStyle w:val="Compact"/>
        <w:numPr>
          <w:ilvl w:val="0"/>
          <w:numId w:val="1027"/>
        </w:numPr>
      </w:pPr>
      <w:r>
        <w:rPr>
          <w:rFonts w:hint="eastAsia"/>
        </w:rPr>
        <w:t xml:space="preserve">团队成员分工表</w:t>
      </w:r>
    </w:p>
    <w:p>
      <w:pPr>
        <w:pStyle w:val="Compact"/>
        <w:numPr>
          <w:ilvl w:val="0"/>
          <w:numId w:val="1027"/>
        </w:numPr>
      </w:pPr>
      <w:r>
        <w:rPr>
          <w:rFonts w:hint="eastAsia"/>
        </w:rPr>
        <w:t xml:space="preserve">指导教师信息</w:t>
      </w:r>
    </w:p>
    <w:p>
      <w:pPr>
        <w:pStyle w:val="Compact"/>
        <w:numPr>
          <w:ilvl w:val="0"/>
          <w:numId w:val="1027"/>
        </w:numPr>
      </w:pPr>
      <w:r>
        <w:rPr>
          <w:rFonts w:hint="eastAsia"/>
        </w:rPr>
        <w:t xml:space="preserve">项目形成路径说明</w:t>
      </w:r>
    </w:p>
    <w:p>
      <w:pPr>
        <w:pStyle w:val="Compact"/>
        <w:numPr>
          <w:ilvl w:val="0"/>
          <w:numId w:val="1027"/>
        </w:numPr>
      </w:pPr>
      <w:r>
        <w:rPr>
          <w:rFonts w:hint="eastAsia"/>
        </w:rPr>
        <w:t xml:space="preserve">课程、科研、竞赛和项目之间的关系说明</w:t>
      </w:r>
    </w:p>
    <w:p>
      <w:pPr>
        <w:pStyle w:val="FirstParagraph"/>
        <w:spacing w:line="360" w:lineRule="auto" w:after="120"/>
        <w:ind w:firstLine="420"/>
      </w:pPr>
      <w:r>
        <w:rPr>
          <w:rFonts w:hint="eastAsia"/>
        </w:rPr>
        <w:t xml:space="preserve">当前可后续补充：</w:t>
      </w:r>
    </w:p>
    <w:p>
      <w:pPr>
        <w:pStyle w:val="Compact"/>
        <w:numPr>
          <w:ilvl w:val="0"/>
          <w:numId w:val="1028"/>
        </w:numPr>
      </w:pPr>
      <w:r>
        <w:rPr>
          <w:rFonts w:hint="eastAsia"/>
        </w:rPr>
        <w:t xml:space="preserve">团队成员名单与职责</w:t>
      </w:r>
    </w:p>
    <w:p>
      <w:pPr>
        <w:pStyle w:val="Compact"/>
        <w:numPr>
          <w:ilvl w:val="0"/>
          <w:numId w:val="1028"/>
        </w:numPr>
      </w:pPr>
      <w:r>
        <w:rPr>
          <w:rFonts w:hint="eastAsia"/>
        </w:rPr>
        <w:t xml:space="preserve">指导教师简介</w:t>
      </w:r>
    </w:p>
    <w:p>
      <w:pPr>
        <w:pStyle w:val="Compact"/>
        <w:numPr>
          <w:ilvl w:val="0"/>
          <w:numId w:val="1028"/>
        </w:numPr>
      </w:pPr>
      <w:r>
        <w:rPr>
          <w:rFonts w:hint="eastAsia"/>
        </w:rPr>
        <w:t xml:space="preserve">校内支持情况</w:t>
      </w:r>
    </w:p>
    <w:p>
      <w:pPr>
        <w:pStyle w:val="Compact"/>
        <w:numPr>
          <w:ilvl w:val="0"/>
          <w:numId w:val="1028"/>
        </w:numPr>
      </w:pPr>
      <w:r>
        <w:rPr>
          <w:rFonts w:hint="eastAsia"/>
        </w:rPr>
        <w:t xml:space="preserve">相关课程或科研训练说明</w:t>
      </w:r>
    </w:p>
    <w:bookmarkEnd w:id="242"/>
    <w:bookmarkStart w:id="243" w:name="其他证明材料"/>
    <w:p>
      <w:pPr>
        <w:pStyle w:val="Heading3"/>
      </w:pPr>
      <w:r>
        <w:t xml:space="preserve">10.2.8 </w:t>
      </w:r>
      <w:r>
        <w:rPr>
          <w:rFonts w:hint="eastAsia"/>
        </w:rPr>
        <w:t xml:space="preserve">其他证明材料</w:t>
      </w:r>
    </w:p>
    <w:p>
      <w:pPr>
        <w:pStyle w:val="FirstParagraph"/>
        <w:spacing w:line="360" w:lineRule="auto" w:after="120"/>
        <w:ind w:firstLine="420"/>
      </w:pPr>
      <w:r>
        <w:rPr>
          <w:rFonts w:hint="eastAsia"/>
        </w:rPr>
        <w:t xml:space="preserve">后续如具备以下内容，也建议纳入附录：</w:t>
      </w:r>
    </w:p>
    <w:p>
      <w:pPr>
        <w:pStyle w:val="Compact"/>
        <w:numPr>
          <w:ilvl w:val="0"/>
          <w:numId w:val="1029"/>
        </w:numPr>
      </w:pPr>
      <w:r>
        <w:rPr>
          <w:rFonts w:hint="eastAsia"/>
        </w:rPr>
        <w:t xml:space="preserve">合作意向证明</w:t>
      </w:r>
    </w:p>
    <w:p>
      <w:pPr>
        <w:pStyle w:val="Compact"/>
        <w:numPr>
          <w:ilvl w:val="0"/>
          <w:numId w:val="1029"/>
        </w:numPr>
      </w:pPr>
      <w:r>
        <w:rPr>
          <w:rFonts w:hint="eastAsia"/>
        </w:rPr>
        <w:t xml:space="preserve">导师推荐意见</w:t>
      </w:r>
    </w:p>
    <w:p>
      <w:pPr>
        <w:pStyle w:val="Compact"/>
        <w:numPr>
          <w:ilvl w:val="0"/>
          <w:numId w:val="1029"/>
        </w:numPr>
      </w:pPr>
      <w:r>
        <w:rPr>
          <w:rFonts w:hint="eastAsia"/>
        </w:rPr>
        <w:t xml:space="preserve">获奖证明</w:t>
      </w:r>
    </w:p>
    <w:p>
      <w:pPr>
        <w:pStyle w:val="Compact"/>
        <w:numPr>
          <w:ilvl w:val="0"/>
          <w:numId w:val="1029"/>
        </w:numPr>
      </w:pPr>
      <w:r>
        <w:rPr>
          <w:rFonts w:hint="eastAsia"/>
        </w:rPr>
        <w:t xml:space="preserve">媒体报道</w:t>
      </w:r>
    </w:p>
    <w:p>
      <w:pPr>
        <w:pStyle w:val="Compact"/>
        <w:numPr>
          <w:ilvl w:val="0"/>
          <w:numId w:val="1029"/>
        </w:numPr>
      </w:pPr>
      <w:r>
        <w:rPr>
          <w:rFonts w:hint="eastAsia"/>
        </w:rPr>
        <w:t xml:space="preserve">软件著作权、专利或论文</w:t>
      </w:r>
    </w:p>
    <w:p>
      <w:pPr>
        <w:pStyle w:val="Compact"/>
        <w:numPr>
          <w:ilvl w:val="0"/>
          <w:numId w:val="1029"/>
        </w:numPr>
      </w:pPr>
      <w:r>
        <w:rPr>
          <w:rFonts w:hint="eastAsia"/>
        </w:rPr>
        <w:t xml:space="preserve">项目展示活动照片</w:t>
      </w:r>
    </w:p>
    <w:p>
      <w:pPr>
        <w:pStyle w:val="FirstParagraph"/>
        <w:spacing w:line="360" w:lineRule="auto" w:after="120"/>
        <w:ind w:firstLine="420"/>
      </w:pPr>
      <w:r>
        <w:rPr>
          <w:rFonts w:hint="eastAsia"/>
        </w:rPr>
        <w:t xml:space="preserve">这些内容当前未必全部具备，但建议提前预留附录位置，避免后续材料加入时打乱整体结构。</w:t>
      </w:r>
    </w:p>
    <w:p>
      <w:pPr>
        <w:pStyle w:val="BlockText"/>
      </w:pPr>
      <w:r>
        <w:rPr>
          <w:rFonts w:hint="eastAsia"/>
          <w:i/>
          <w:color w:val="6B7280"/>
        </w:rPr>
        <w:t xml:space="preserve">说明：附录结构导览图</w:t>
      </w:r>
      <w:r>
        <w:rPr>
          <w:i/>
          <w:color w:val="6B7280"/>
        </w:rPr>
        <w:t xml:space="preserve"> </w:t>
      </w:r>
      <w:r>
        <w:rPr>
          <w:rFonts w:hint="eastAsia"/>
          <w:i/>
          <w:color w:val="6B7280"/>
        </w:rPr>
        <w:t xml:space="preserve">当前不放入正文图片版，后续可在附录或补充材料中加入。</w:t>
      </w:r>
    </w:p>
    <w:bookmarkEnd w:id="243"/>
    <w:bookmarkEnd w:id="244"/>
    <w:bookmarkStart w:id="248" w:name="当前附录整理优先级"/>
    <w:p>
      <w:pPr>
        <w:pStyle w:val="Heading2"/>
      </w:pPr>
      <w:r>
        <w:t xml:space="preserve">10.3 </w:t>
      </w:r>
      <w:r>
        <w:rPr>
          <w:rFonts w:hint="eastAsia"/>
        </w:rPr>
        <w:t xml:space="preserve">当前附录整理优先级</w:t>
      </w:r>
    </w:p>
    <w:p>
      <w:pPr>
        <w:pStyle w:val="FirstParagraph"/>
        <w:spacing w:line="360" w:lineRule="auto" w:after="120"/>
        <w:ind w:firstLine="420"/>
      </w:pPr>
      <w:r>
        <w:rPr>
          <w:rFonts w:hint="eastAsia"/>
        </w:rPr>
        <w:t xml:space="preserve">考虑到时间和效率，当前附录整理建议分三个优先级进行。</w:t>
      </w:r>
    </w:p>
    <w:bookmarkStart w:id="245" w:name="第一优先级先补最能证明项目真的做过的材料"/>
    <w:p>
      <w:pPr>
        <w:pStyle w:val="Heading3"/>
      </w:pPr>
      <w:r>
        <w:rPr>
          <w:rFonts w:hint="eastAsia"/>
        </w:rPr>
        <w:t xml:space="preserve">第一优先级：先补“最能证明项目真的做过”的材料</w:t>
      </w:r>
    </w:p>
    <w:p>
      <w:pPr>
        <w:pStyle w:val="FirstParagraph"/>
        <w:spacing w:line="360" w:lineRule="auto" w:after="120"/>
        <w:ind w:firstLine="420"/>
      </w:pPr>
      <w:r>
        <w:rPr>
          <w:rFonts w:hint="eastAsia"/>
        </w:rPr>
        <w:t xml:space="preserve">优先补：</w:t>
      </w:r>
    </w:p>
    <w:p>
      <w:pPr>
        <w:pStyle w:val="Compact"/>
        <w:numPr>
          <w:ilvl w:val="0"/>
          <w:numId w:val="1030"/>
        </w:numPr>
      </w:pPr>
      <w:r>
        <w:t xml:space="preserve">GitHub </w:t>
      </w:r>
      <w:r>
        <w:rPr>
          <w:rFonts w:hint="eastAsia"/>
        </w:rPr>
        <w:t xml:space="preserve">仓库截图</w:t>
      </w:r>
    </w:p>
    <w:p>
      <w:pPr>
        <w:pStyle w:val="Compact"/>
        <w:numPr>
          <w:ilvl w:val="0"/>
          <w:numId w:val="1030"/>
        </w:numPr>
      </w:pPr>
      <w:r>
        <w:rPr>
          <w:rFonts w:hint="eastAsia"/>
        </w:rPr>
        <w:t xml:space="preserve">前端页面截图</w:t>
      </w:r>
    </w:p>
    <w:p>
      <w:pPr>
        <w:pStyle w:val="Compact"/>
        <w:numPr>
          <w:ilvl w:val="0"/>
          <w:numId w:val="1030"/>
        </w:numPr>
      </w:pPr>
      <w:r>
        <w:rPr>
          <w:rFonts w:hint="eastAsia"/>
        </w:rPr>
        <w:t xml:space="preserve">自动监测图表</w:t>
      </w:r>
    </w:p>
    <w:p>
      <w:pPr>
        <w:pStyle w:val="Compact"/>
        <w:numPr>
          <w:ilvl w:val="0"/>
          <w:numId w:val="1030"/>
        </w:numPr>
      </w:pPr>
      <w:r>
        <w:rPr>
          <w:rFonts w:hint="eastAsia"/>
        </w:rPr>
        <w:t xml:space="preserve">关键代码截图</w:t>
      </w:r>
    </w:p>
    <w:p>
      <w:pPr>
        <w:pStyle w:val="Compact"/>
        <w:numPr>
          <w:ilvl w:val="0"/>
          <w:numId w:val="1030"/>
        </w:numPr>
      </w:pPr>
      <w:r>
        <w:rPr>
          <w:rFonts w:hint="eastAsia"/>
        </w:rPr>
        <w:t xml:space="preserve">链上记录或测试结果截图</w:t>
      </w:r>
    </w:p>
    <w:p>
      <w:pPr>
        <w:pStyle w:val="FirstParagraph"/>
        <w:spacing w:line="360" w:lineRule="auto" w:after="120"/>
        <w:ind w:firstLine="420"/>
      </w:pPr>
      <w:r>
        <w:rPr>
          <w:rFonts w:hint="eastAsia"/>
        </w:rPr>
        <w:t xml:space="preserve">这类材料最直接，也最容易在比赛材料中产生说服力。</w:t>
      </w:r>
    </w:p>
    <w:bookmarkEnd w:id="245"/>
    <w:bookmarkStart w:id="246" w:name="第二优先级补最能证明项目专业性的材料"/>
    <w:p>
      <w:pPr>
        <w:pStyle w:val="Heading3"/>
      </w:pPr>
      <w:r>
        <w:rPr>
          <w:rFonts w:hint="eastAsia"/>
        </w:rPr>
        <w:t xml:space="preserve">第二优先级：补“最能证明项目专业性”的材料</w:t>
      </w:r>
    </w:p>
    <w:p>
      <w:pPr>
        <w:pStyle w:val="FirstParagraph"/>
        <w:spacing w:line="360" w:lineRule="auto" w:after="120"/>
        <w:ind w:firstLine="420"/>
      </w:pPr>
      <w:r>
        <w:rPr>
          <w:rFonts w:hint="eastAsia"/>
        </w:rPr>
        <w:t xml:space="preserve">优先补：</w:t>
      </w:r>
    </w:p>
    <w:p>
      <w:pPr>
        <w:pStyle w:val="Compact"/>
        <w:numPr>
          <w:ilvl w:val="0"/>
          <w:numId w:val="1031"/>
        </w:numPr>
      </w:pPr>
      <w:r>
        <w:rPr>
          <w:rFonts w:hint="eastAsia"/>
        </w:rPr>
        <w:t xml:space="preserve">架构图</w:t>
      </w:r>
    </w:p>
    <w:p>
      <w:pPr>
        <w:pStyle w:val="Compact"/>
        <w:numPr>
          <w:ilvl w:val="0"/>
          <w:numId w:val="1031"/>
        </w:numPr>
      </w:pPr>
      <w:r>
        <w:rPr>
          <w:rFonts w:hint="eastAsia"/>
        </w:rPr>
        <w:t xml:space="preserve">流程图</w:t>
      </w:r>
    </w:p>
    <w:p>
      <w:pPr>
        <w:pStyle w:val="Compact"/>
        <w:numPr>
          <w:ilvl w:val="0"/>
          <w:numId w:val="1031"/>
        </w:numPr>
      </w:pPr>
      <w:r>
        <w:rPr>
          <w:rFonts w:hint="eastAsia"/>
        </w:rPr>
        <w:t xml:space="preserve">政策材料目录</w:t>
      </w:r>
    </w:p>
    <w:p>
      <w:pPr>
        <w:pStyle w:val="Compact"/>
        <w:numPr>
          <w:ilvl w:val="0"/>
          <w:numId w:val="1031"/>
        </w:numPr>
      </w:pPr>
      <w:r>
        <w:rPr>
          <w:rFonts w:hint="eastAsia"/>
        </w:rPr>
        <w:t xml:space="preserve">项目总结报告摘要</w:t>
      </w:r>
    </w:p>
    <w:p>
      <w:pPr>
        <w:pStyle w:val="Compact"/>
        <w:numPr>
          <w:ilvl w:val="0"/>
          <w:numId w:val="1031"/>
        </w:numPr>
      </w:pPr>
      <w:r>
        <w:rPr>
          <w:rFonts w:hint="eastAsia"/>
        </w:rPr>
        <w:t xml:space="preserve">实验过程说明图</w:t>
      </w:r>
    </w:p>
    <w:p>
      <w:pPr>
        <w:pStyle w:val="FirstParagraph"/>
        <w:spacing w:line="360" w:lineRule="auto" w:after="120"/>
        <w:ind w:firstLine="420"/>
      </w:pPr>
      <w:r>
        <w:rPr>
          <w:rFonts w:hint="eastAsia"/>
        </w:rPr>
        <w:t xml:space="preserve">这类材料能提升文档的整体专业度，使</w:t>
      </w:r>
      <w:r>
        <w:t xml:space="preserve"> BP </w:t>
      </w:r>
      <w:r>
        <w:rPr>
          <w:rFonts w:hint="eastAsia"/>
        </w:rPr>
        <w:t xml:space="preserve">更像成熟项目，而不是学生随笔。</w:t>
      </w:r>
    </w:p>
    <w:bookmarkEnd w:id="246"/>
    <w:bookmarkStart w:id="247" w:name="第三优先级补最能提升完成度的材料"/>
    <w:p>
      <w:pPr>
        <w:pStyle w:val="Heading3"/>
      </w:pPr>
      <w:r>
        <w:rPr>
          <w:rFonts w:hint="eastAsia"/>
        </w:rPr>
        <w:t xml:space="preserve">第三优先级：补“最能提升完成度”的材料</w:t>
      </w:r>
    </w:p>
    <w:p>
      <w:pPr>
        <w:pStyle w:val="FirstParagraph"/>
        <w:spacing w:line="360" w:lineRule="auto" w:after="120"/>
        <w:ind w:firstLine="420"/>
      </w:pPr>
      <w:r>
        <w:rPr>
          <w:rFonts w:hint="eastAsia"/>
        </w:rPr>
        <w:t xml:space="preserve">优先补：</w:t>
      </w:r>
    </w:p>
    <w:p>
      <w:pPr>
        <w:pStyle w:val="Compact"/>
        <w:numPr>
          <w:ilvl w:val="0"/>
          <w:numId w:val="1032"/>
        </w:numPr>
      </w:pPr>
      <w:r>
        <w:rPr>
          <w:rFonts w:hint="eastAsia"/>
        </w:rPr>
        <w:t xml:space="preserve">团队介绍</w:t>
      </w:r>
    </w:p>
    <w:p>
      <w:pPr>
        <w:pStyle w:val="Compact"/>
        <w:numPr>
          <w:ilvl w:val="0"/>
          <w:numId w:val="1032"/>
        </w:numPr>
      </w:pPr>
      <w:r>
        <w:rPr>
          <w:rFonts w:hint="eastAsia"/>
        </w:rPr>
        <w:t xml:space="preserve">指导教师支持</w:t>
      </w:r>
    </w:p>
    <w:p>
      <w:pPr>
        <w:pStyle w:val="Compact"/>
        <w:numPr>
          <w:ilvl w:val="0"/>
          <w:numId w:val="1032"/>
        </w:numPr>
      </w:pPr>
      <w:r>
        <w:rPr>
          <w:rFonts w:hint="eastAsia"/>
        </w:rPr>
        <w:t xml:space="preserve">未来合作场景说明</w:t>
      </w:r>
    </w:p>
    <w:p>
      <w:pPr>
        <w:pStyle w:val="Compact"/>
        <w:numPr>
          <w:ilvl w:val="0"/>
          <w:numId w:val="1032"/>
        </w:numPr>
      </w:pPr>
      <w:r>
        <w:rPr>
          <w:rFonts w:hint="eastAsia"/>
        </w:rPr>
        <w:t xml:space="preserve">项目展示照片</w:t>
      </w:r>
    </w:p>
    <w:p>
      <w:pPr>
        <w:pStyle w:val="Compact"/>
        <w:numPr>
          <w:ilvl w:val="0"/>
          <w:numId w:val="1032"/>
        </w:numPr>
      </w:pPr>
      <w:r>
        <w:rPr>
          <w:rFonts w:hint="eastAsia"/>
        </w:rPr>
        <w:t xml:space="preserve">更多图表和图注</w:t>
      </w:r>
    </w:p>
    <w:p>
      <w:pPr>
        <w:pStyle w:val="FirstParagraph"/>
        <w:spacing w:line="360" w:lineRule="auto" w:after="120"/>
        <w:ind w:firstLine="420"/>
      </w:pPr>
      <w:r>
        <w:rPr>
          <w:rFonts w:hint="eastAsia"/>
        </w:rPr>
        <w:t xml:space="preserve">这类内容不会决定项目是否成立，但会显著提升最后的成品感。</w:t>
      </w:r>
    </w:p>
    <w:p>
      <w:pPr>
        <w:pStyle w:val="BlockText"/>
      </w:pPr>
      <w:r>
        <w:rPr>
          <w:rFonts w:hint="eastAsia"/>
          <w:i/>
          <w:color w:val="6B7280"/>
        </w:rPr>
        <w:t xml:space="preserve">待补表格：附录材料索引表</w:t>
      </w:r>
    </w:p>
    <w:bookmarkEnd w:id="247"/>
    <w:bookmarkEnd w:id="248"/>
    <w:bookmarkStart w:id="249" w:name="附录与正文的关系说明"/>
    <w:p>
      <w:pPr>
        <w:pStyle w:val="Heading2"/>
      </w:pPr>
      <w:r>
        <w:t xml:space="preserve">10.4 </w:t>
      </w:r>
      <w:r>
        <w:rPr>
          <w:rFonts w:hint="eastAsia"/>
        </w:rPr>
        <w:t xml:space="preserve">附录与正文的关系说明</w:t>
      </w:r>
    </w:p>
    <w:p>
      <w:pPr>
        <w:pStyle w:val="FirstParagraph"/>
        <w:spacing w:line="360" w:lineRule="auto" w:after="120"/>
        <w:ind w:firstLine="420"/>
      </w:pPr>
      <w:r>
        <w:rPr>
          <w:rFonts w:hint="eastAsia"/>
        </w:rPr>
        <w:t xml:space="preserve">在后续</w:t>
      </w:r>
      <w:r>
        <w:t xml:space="preserve"> Word </w:t>
      </w:r>
      <w:r>
        <w:rPr>
          <w:rFonts w:hint="eastAsia"/>
        </w:rPr>
        <w:t xml:space="preserve">和</w:t>
      </w:r>
      <w:r>
        <w:t xml:space="preserve"> PDF </w:t>
      </w:r>
      <w:r>
        <w:rPr>
          <w:rFonts w:hint="eastAsia"/>
        </w:rPr>
        <w:t xml:space="preserve">定稿中，建议将附录与正文保持明显区分。</w:t>
      </w:r>
    </w:p>
    <w:p>
      <w:pPr>
        <w:pStyle w:val="BodyText"/>
        <w:spacing w:line="360" w:lineRule="auto" w:after="120"/>
        <w:ind w:firstLine="420"/>
      </w:pPr>
      <w:r>
        <w:rPr>
          <w:rFonts w:hint="eastAsia"/>
        </w:rPr>
        <w:t xml:space="preserve">推荐做法是：</w:t>
      </w:r>
    </w:p>
    <w:p>
      <w:pPr>
        <w:pStyle w:val="Compact"/>
        <w:numPr>
          <w:ilvl w:val="0"/>
          <w:numId w:val="1033"/>
        </w:numPr>
      </w:pPr>
      <w:r>
        <w:rPr>
          <w:rFonts w:hint="eastAsia"/>
        </w:rPr>
        <w:t xml:space="preserve">正文控制在较紧凑的篇幅内，突出逻辑和结论</w:t>
      </w:r>
    </w:p>
    <w:p>
      <w:pPr>
        <w:pStyle w:val="Compact"/>
        <w:numPr>
          <w:ilvl w:val="0"/>
          <w:numId w:val="1033"/>
        </w:numPr>
      </w:pPr>
      <w:r>
        <w:rPr>
          <w:rFonts w:hint="eastAsia"/>
        </w:rPr>
        <w:t xml:space="preserve">附录作为单独章节放在后面</w:t>
      </w:r>
    </w:p>
    <w:p>
      <w:pPr>
        <w:pStyle w:val="Compact"/>
        <w:numPr>
          <w:ilvl w:val="0"/>
          <w:numId w:val="1033"/>
        </w:numPr>
      </w:pPr>
      <w:r>
        <w:rPr>
          <w:rFonts w:hint="eastAsia"/>
        </w:rPr>
        <w:t xml:space="preserve">每一类附录前加简短说明页，告诉评审“这部分证明什么”</w:t>
      </w:r>
    </w:p>
    <w:p>
      <w:pPr>
        <w:pStyle w:val="FirstParagraph"/>
        <w:spacing w:line="360" w:lineRule="auto" w:after="120"/>
        <w:ind w:firstLine="420"/>
      </w:pPr>
      <w:r>
        <w:rPr>
          <w:rFonts w:hint="eastAsia"/>
        </w:rPr>
        <w:t xml:space="preserve">例如：</w:t>
      </w:r>
    </w:p>
    <w:p>
      <w:pPr>
        <w:pStyle w:val="Compact"/>
        <w:numPr>
          <w:ilvl w:val="0"/>
          <w:numId w:val="1034"/>
        </w:numPr>
      </w:pPr>
      <w:r>
        <w:rPr>
          <w:rFonts w:hint="eastAsia"/>
        </w:rPr>
        <w:t xml:space="preserve">附录一：系统代码与研发基础</w:t>
      </w:r>
    </w:p>
    <w:p>
      <w:pPr>
        <w:pStyle w:val="Compact"/>
        <w:numPr>
          <w:ilvl w:val="0"/>
          <w:numId w:val="1034"/>
        </w:numPr>
      </w:pPr>
      <w:r>
        <w:rPr>
          <w:rFonts w:hint="eastAsia"/>
        </w:rPr>
        <w:t xml:space="preserve">附录二：实验记录与监测图表</w:t>
      </w:r>
    </w:p>
    <w:p>
      <w:pPr>
        <w:pStyle w:val="Compact"/>
        <w:numPr>
          <w:ilvl w:val="0"/>
          <w:numId w:val="1034"/>
        </w:numPr>
      </w:pPr>
      <w:r>
        <w:rPr>
          <w:rFonts w:hint="eastAsia"/>
        </w:rPr>
        <w:t xml:space="preserve">附录三：前端原型与交互页面</w:t>
      </w:r>
    </w:p>
    <w:p>
      <w:pPr>
        <w:pStyle w:val="Compact"/>
        <w:numPr>
          <w:ilvl w:val="0"/>
          <w:numId w:val="1034"/>
        </w:numPr>
      </w:pPr>
      <w:r>
        <w:rPr>
          <w:rFonts w:hint="eastAsia"/>
        </w:rPr>
        <w:t xml:space="preserve">附录四：政策与合规支撑材料</w:t>
      </w:r>
    </w:p>
    <w:p>
      <w:pPr>
        <w:pStyle w:val="FirstParagraph"/>
        <w:spacing w:line="360" w:lineRule="auto" w:after="120"/>
        <w:ind w:firstLine="420"/>
      </w:pPr>
      <w:r>
        <w:rPr>
          <w:rFonts w:hint="eastAsia"/>
        </w:rPr>
        <w:t xml:space="preserve">这种组织方式可以让评审在需要时快速找到证明材料，也有助于你们后面做图、做截图时保持清晰结构。</w:t>
      </w:r>
    </w:p>
    <w:bookmarkEnd w:id="249"/>
    <w:bookmarkStart w:id="250" w:name="本章结论-8"/>
    <w:p>
      <w:pPr>
        <w:pStyle w:val="Heading2"/>
      </w:pPr>
      <w:r>
        <w:t xml:space="preserve">10.5 </w:t>
      </w:r>
      <w:r>
        <w:rPr>
          <w:rFonts w:hint="eastAsia"/>
        </w:rPr>
        <w:t xml:space="preserve">本章结论</w:t>
      </w:r>
    </w:p>
    <w:p>
      <w:pPr>
        <w:pStyle w:val="FirstParagraph"/>
        <w:spacing w:line="360" w:lineRule="auto" w:after="120"/>
        <w:ind w:firstLine="420"/>
      </w:pPr>
      <w:r>
        <w:rPr>
          <w:rFonts w:hint="eastAsia"/>
        </w:rPr>
        <w:t xml:space="preserve">总体而言，</w:t>
      </w:r>
      <w:r>
        <w:rPr>
          <w:rStyle w:val="VerbatimChar"/>
        </w:rPr>
        <w:t xml:space="preserve">SolarGuard</w:t>
      </w:r>
      <w:r>
        <w:t xml:space="preserve"> </w:t>
      </w:r>
      <w:r>
        <w:rPr>
          <w:rFonts w:hint="eastAsia"/>
        </w:rPr>
        <w:t xml:space="preserve">项目已经具备形成完整附录体系的基础。虽然当前不少材料仍需进一步补图、补说明和补版式，但从代码、实验、报告、政策、前端展示到项目总结，项目已经拥有较丰富的原始素材。当前最重要的不是等待所有材料全部完美，而是先建立清晰的附录框架，使现有材料能够有序归位、后续新增内容能够快速接入。</w:t>
      </w:r>
    </w:p>
    <w:p>
      <w:pPr>
        <w:pStyle w:val="BodyText"/>
        <w:spacing w:line="360" w:lineRule="auto" w:after="120"/>
        <w:ind w:firstLine="420"/>
      </w:pPr>
      <w:r>
        <w:rPr>
          <w:rFonts w:hint="eastAsia"/>
        </w:rPr>
        <w:t xml:space="preserve">一旦附录体系建立完成，整份商业计划书就不再只是“写出来的一套文字”，而会变成“正文逻辑清晰、附录证据扎实”的完整比赛材料。这将显著提高</w:t>
      </w:r>
      <w:r>
        <w:t xml:space="preserve"> </w:t>
      </w:r>
      <w:r>
        <w:rPr>
          <w:rStyle w:val="VerbatimChar"/>
        </w:rPr>
        <w:t xml:space="preserve">SolarGuard</w:t>
      </w:r>
      <w:r>
        <w:t xml:space="preserve"> </w:t>
      </w:r>
      <w:r>
        <w:rPr>
          <w:rFonts w:hint="eastAsia"/>
        </w:rPr>
        <w:t xml:space="preserve">在互联网杯、大创和省赛立项中的整体专业度与可信度。</w:t>
      </w:r>
    </w:p>
    <w:bookmarkEnd w:id="250"/>
    <w:bookmarkEnd w:id="251"/>
    <w:sectPr>
      <w:footnotePr>
        <w:numRestart w:val="eachSect"/>
      </w:footnotePr>
      <w:pgMar w:top="1474" w:bottom="1361" w:left="1587" w:right="13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宋体" w:hAnsi="宋体" w:eastAsia="宋体"/>
      <w:sz w:val="24"/>
    </w:rPr>
  </w:style>
  <w:style w:styleId="BodyText" w:type="paragraph">
    <w:name w:val="Body Text"/>
    <w:basedOn w:val="Normal"/>
    <w:link w:val="BodyTextChar"/>
    <w:qFormat/>
    <w:pPr>
      <w:spacing w:after="180" w:before="180"/>
    </w:pPr>
    <w:rPr>
      <w:rFonts w:ascii="宋体" w:hAnsi="宋体" w:eastAsia="宋体"/>
      <w:sz w:val="24"/>
    </w:rPr>
  </w:style>
  <w:style w:customStyle="1" w:styleId="FirstParagraph" w:type="paragraph">
    <w:name w:val="First Paragraph"/>
    <w:basedOn w:val="BodyText"/>
    <w:next w:val="BodyText"/>
    <w:qFormat/>
    <w:rPr>
      <w:rFonts w:ascii="宋体" w:hAnsi="宋体" w:eastAsia="宋体"/>
      <w:sz w:val="24"/>
    </w:rPr>
  </w:style>
  <w:style w:customStyle="1" w:styleId="Compact" w:type="paragraph">
    <w:name w:val="Compact"/>
    <w:basedOn w:val="BodyText"/>
    <w:qFormat/>
    <w:pPr>
      <w:spacing w:after="36" w:before="36"/>
    </w:pPr>
    <w:rPr>
      <w:rFonts w:ascii="宋体" w:hAnsi="宋体" w:eastAsia="宋体"/>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eastAsia="等线"/>
      <w:b/>
      <w:color w:val="2E6B4F"/>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eastAsia="等线"/>
      <w:b/>
      <w:color w:val="355C8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eastAsia="等线"/>
      <w:b/>
      <w:color w:val="1F2937"/>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宋体" w:hAnsi="宋体" w:eastAsia="宋体"/>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宋体" w:hAnsi="宋体" w:eastAsia="宋体"/>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61" Type="http://schemas.openxmlformats.org/officeDocument/2006/relationships/image" Target="media/rId61.png"/><Relationship Id="rId65" Type="http://schemas.openxmlformats.org/officeDocument/2006/relationships/image" Target="media/rId65.png"/><Relationship Id="rId76" Type="http://schemas.openxmlformats.org/officeDocument/2006/relationships/image" Target="media/rId76.png"/><Relationship Id="rId39" Type="http://schemas.openxmlformats.org/officeDocument/2006/relationships/image" Target="media/rId39.png"/><Relationship Id="rId55" Type="http://schemas.openxmlformats.org/officeDocument/2006/relationships/image" Target="media/rId55.png"/><Relationship Id="rId103" Type="http://schemas.openxmlformats.org/officeDocument/2006/relationships/image" Target="media/rId103.png"/><Relationship Id="rId118" Type="http://schemas.openxmlformats.org/officeDocument/2006/relationships/image" Target="media/rId118.png"/><Relationship Id="rId201" Type="http://schemas.openxmlformats.org/officeDocument/2006/relationships/image" Target="media/rId201.png"/><Relationship Id="rId17" Type="http://schemas.openxmlformats.org/officeDocument/2006/relationships/image" Target="media/rId17.png"/><Relationship Id="rId28" Type="http://schemas.openxmlformats.org/officeDocument/2006/relationships/image" Target="media/rId28.png"/><Relationship Id="rId50" Type="http://schemas.openxmlformats.org/officeDocument/2006/relationships/image" Target="media/rId50.png"/><Relationship Id="rId142" Type="http://schemas.openxmlformats.org/officeDocument/2006/relationships/image" Target="media/rId142.png"/><Relationship Id="rId161" Type="http://schemas.openxmlformats.org/officeDocument/2006/relationships/image" Target="media/rId161.png"/><Relationship Id="rId171" Type="http://schemas.openxmlformats.org/officeDocument/2006/relationships/image" Target="media/rId171.png"/><Relationship Id="rId179" Type="http://schemas.openxmlformats.org/officeDocument/2006/relationships/image" Target="media/rId179.png"/><Relationship Id="rId211" Type="http://schemas.openxmlformats.org/officeDocument/2006/relationships/hyperlink" Target="/Users/evanhan/&#39033;&#30446;/&#20809;&#20239;&#39033;&#30446;/README.md" TargetMode="External"/><Relationship Id="rId215" Type="http://schemas.openxmlformats.org/officeDocument/2006/relationships/hyperlink" Target="/Users/evanhan/&#39033;&#30446;/&#20809;&#20239;&#39033;&#30446;/api/app.py" TargetMode="External"/><Relationship Id="rId219" Type="http://schemas.openxmlformats.org/officeDocument/2006/relationships/hyperlink" Target="/Users/evanhan/&#39033;&#30446;/&#20809;&#20239;&#39033;&#30446;/assets" TargetMode="External"/><Relationship Id="rId232" Type="http://schemas.openxmlformats.org/officeDocument/2006/relationships/hyperlink" Target="/Users/evanhan/&#39033;&#30446;/&#20809;&#20239;&#39033;&#30446;/assets/explicit_registration_flow.webp" TargetMode="External"/><Relationship Id="rId231" Type="http://schemas.openxmlformats.org/officeDocument/2006/relationships/hyperlink" Target="/Users/evanhan/&#39033;&#30446;/&#20809;&#20239;&#39033;&#30446;/assets/unlocked_dashboard_full.png" TargetMode="External"/><Relationship Id="rId213" Type="http://schemas.openxmlformats.org/officeDocument/2006/relationships/hyperlink" Target="/Users/evanhan/&#39033;&#30446;/&#20809;&#20239;&#39033;&#30446;/auto_monitor.py" TargetMode="External"/><Relationship Id="rId214" Type="http://schemas.openxmlformats.org/officeDocument/2006/relationships/hyperlink" Target="/Users/evanhan/&#39033;&#30446;/&#20809;&#20239;&#39033;&#30446;/chain_client.py" TargetMode="External"/><Relationship Id="rId222" Type="http://schemas.openxmlformats.org/officeDocument/2006/relationships/hyperlink" Target="/Users/evanhan/&#39033;&#30446;/&#20809;&#20239;&#39033;&#30446;/charts" TargetMode="External"/><Relationship Id="rId229" Type="http://schemas.openxmlformats.org/officeDocument/2006/relationships/hyperlink" Target="/Users/evanhan/&#39033;&#30446;/&#20809;&#20239;&#39033;&#30446;/frontend/app.js" TargetMode="External"/><Relationship Id="rId228" Type="http://schemas.openxmlformats.org/officeDocument/2006/relationships/hyperlink" Target="/Users/evanhan/&#39033;&#30446;/&#20809;&#20239;&#39033;&#30446;/frontend/index.html" TargetMode="External"/><Relationship Id="rId230" Type="http://schemas.openxmlformats.org/officeDocument/2006/relationships/hyperlink" Target="/Users/evanhan/&#39033;&#30446;/&#20809;&#20239;&#39033;&#30446;/frontend/src/app/page.tsx" TargetMode="External"/><Relationship Id="rId223" Type="http://schemas.openxmlformats.org/officeDocument/2006/relationships/hyperlink" Target="/Users/evanhan/&#39033;&#30446;/&#20809;&#20239;&#39033;&#30446;/full_test.py" TargetMode="External"/><Relationship Id="rId212" Type="http://schemas.openxmlformats.org/officeDocument/2006/relationships/hyperlink" Target="/Users/evanhan/&#39033;&#30446;/&#20809;&#20239;&#39033;&#30446;/solar_monitor.py" TargetMode="External"/><Relationship Id="rId225" Type="http://schemas.openxmlformats.org/officeDocument/2006/relationships/hyperlink" Target="/Users/evanhan/&#39033;&#30446;/&#20809;&#20239;&#39033;&#30446;/test_chain_client.py" TargetMode="External"/><Relationship Id="rId224" Type="http://schemas.openxmlformats.org/officeDocument/2006/relationships/hyperlink" Target="/Users/evanhan/&#39033;&#30446;/&#20809;&#20239;&#39033;&#30446;/test_mint.py" TargetMode="External"/><Relationship Id="rId240" Type="http://schemas.openxmlformats.org/officeDocument/2006/relationships/hyperlink" Target="/Users/evanhan/&#39033;&#30446;/&#20809;&#20239;&#39033;&#30446;/&#25919;&#31574;&#36164;&#26009;/04_&#32511;&#33394;&#37329;&#34701;&#19982;&#32511;&#35777;" TargetMode="External"/><Relationship Id="rId237" Type="http://schemas.openxmlformats.org/officeDocument/2006/relationships/hyperlink" Target="/Users/evanhan/&#39033;&#30446;/&#20809;&#20239;&#39033;&#30446;/&#25919;&#31574;&#36164;&#26009;/README.md" TargetMode="External"/><Relationship Id="rId238" Type="http://schemas.openxmlformats.org/officeDocument/2006/relationships/hyperlink" Target="/Users/evanhan/&#39033;&#30446;/&#20809;&#20239;&#39033;&#30446;/&#25919;&#31574;&#36164;&#26009;/&#25919;&#31574;&#19982;&#21512;&#35268;&#29615;&#22659;&#20998;&#26512;&#21021;&#31295;.md" TargetMode="External"/><Relationship Id="rId239" Type="http://schemas.openxmlformats.org/officeDocument/2006/relationships/hyperlink" Target="/Users/evanhan/&#39033;&#30446;/&#20809;&#20239;&#39033;&#30446;/&#25919;&#31574;&#36164;&#26009;/&#39033;&#30446;&#23450;&#20301;&#35843;&#25972;&#24314;&#35758;_&#27604;&#36187;&#30003;&#25253;&#29256;.md" TargetMode="External"/><Relationship Id="rId226" Type="http://schemas.openxmlformats.org/officeDocument/2006/relationships/hyperlink" Target="/Users/evanhan/&#39033;&#30446;/&#20809;&#20239;&#39033;&#30446;/&#27604;&#36187;&#26448;&#26009;/&#32032;&#26448;&#24211;/&#23454;&#39564;&#35760;&#24405;" TargetMode="External"/><Relationship Id="rId220" Type="http://schemas.openxmlformats.org/officeDocument/2006/relationships/hyperlink" Target="/Users/evanhan/&#39033;&#30446;/&#20809;&#20239;&#39033;&#30446;/&#27604;&#36187;&#26448;&#26009;/&#32032;&#26448;&#24211;/&#26550;&#26500;&#22270;" TargetMode="External"/><Relationship Id="rId218" Type="http://schemas.openxmlformats.org/officeDocument/2006/relationships/hyperlink" Target="/Users/evanhan/&#39033;&#30446;/&#20809;&#20239;&#39033;&#30446;/&#39033;&#30446;&#24635;&#32467;&#25253;&#21578;&#20869;&#23481;/SolarGuard%20Project%20Report.pdf" TargetMode="External"/><Relationship Id="rId217" Type="http://schemas.openxmlformats.org/officeDocument/2006/relationships/hyperlink" Target="/Users/evanhan/&#39033;&#30446;/&#20809;&#20239;&#39033;&#30446;/&#39033;&#30446;&#24635;&#32467;&#25253;&#21578;&#20869;&#23481;/SolarGuard&#21830;&#19994;&#35745;&#21010;&#20070;&#27491;&#24335;&#30446;&#24405;_&#21019;&#26032;&#22823;&#36187;&#29256;.md" TargetMode="External"/><Relationship Id="rId235" Type="http://schemas.openxmlformats.org/officeDocument/2006/relationships/hyperlink" Target="/Users/evanhan/&#39033;&#30446;/&#20809;&#20239;&#39033;&#30446;/&#39033;&#30446;&#24635;&#32467;&#25253;&#21578;&#20869;&#23481;/&#20449;&#35780;&#35201;&#32032;&#21830;&#19994;&#35745;&#21010;&#20070;(3).docx" TargetMode="External"/><Relationship Id="rId234" Type="http://schemas.openxmlformats.org/officeDocument/2006/relationships/hyperlink" Target="/Users/evanhan/&#39033;&#30446;/&#20809;&#20239;&#39033;&#30446;/&#39033;&#30446;&#24635;&#32467;&#25253;&#21578;&#20869;&#23481;/&#20809;&#20239;RWA&#39033;&#30446;.pdf" TargetMode="External"/><Relationship Id="rId210" Type="http://schemas.openxmlformats.org/officeDocument/2006/relationships/hyperlink" Target="https://github.com/Pluvio-Han/SolarGuard-RWA-System" TargetMode="External"/></Relationships>
</file>

<file path=word/_rels/footnotes.xml.rels><?xml version='1.0' encoding='UTF-8' standalone='yes'?>
<Relationships xmlns="http://schemas.openxmlformats.org/package/2006/relationships"><Relationship Id="rId211" Type="http://schemas.openxmlformats.org/officeDocument/2006/relationships/hyperlink" Target="/Users/evanhan/&#39033;&#30446;/&#20809;&#20239;&#39033;&#30446;/README.md" TargetMode="External"/><Relationship Id="rId215" Type="http://schemas.openxmlformats.org/officeDocument/2006/relationships/hyperlink" Target="/Users/evanhan/&#39033;&#30446;/&#20809;&#20239;&#39033;&#30446;/api/app.py" TargetMode="External"/><Relationship Id="rId219" Type="http://schemas.openxmlformats.org/officeDocument/2006/relationships/hyperlink" Target="/Users/evanhan/&#39033;&#30446;/&#20809;&#20239;&#39033;&#30446;/assets" TargetMode="External"/><Relationship Id="rId232" Type="http://schemas.openxmlformats.org/officeDocument/2006/relationships/hyperlink" Target="/Users/evanhan/&#39033;&#30446;/&#20809;&#20239;&#39033;&#30446;/assets/explicit_registration_flow.webp" TargetMode="External"/><Relationship Id="rId231" Type="http://schemas.openxmlformats.org/officeDocument/2006/relationships/hyperlink" Target="/Users/evanhan/&#39033;&#30446;/&#20809;&#20239;&#39033;&#30446;/assets/unlocked_dashboard_full.png" TargetMode="External"/><Relationship Id="rId213" Type="http://schemas.openxmlformats.org/officeDocument/2006/relationships/hyperlink" Target="/Users/evanhan/&#39033;&#30446;/&#20809;&#20239;&#39033;&#30446;/auto_monitor.py" TargetMode="External"/><Relationship Id="rId214" Type="http://schemas.openxmlformats.org/officeDocument/2006/relationships/hyperlink" Target="/Users/evanhan/&#39033;&#30446;/&#20809;&#20239;&#39033;&#30446;/chain_client.py" TargetMode="External"/><Relationship Id="rId222" Type="http://schemas.openxmlformats.org/officeDocument/2006/relationships/hyperlink" Target="/Users/evanhan/&#39033;&#30446;/&#20809;&#20239;&#39033;&#30446;/charts" TargetMode="External"/><Relationship Id="rId229" Type="http://schemas.openxmlformats.org/officeDocument/2006/relationships/hyperlink" Target="/Users/evanhan/&#39033;&#30446;/&#20809;&#20239;&#39033;&#30446;/frontend/app.js" TargetMode="External"/><Relationship Id="rId228" Type="http://schemas.openxmlformats.org/officeDocument/2006/relationships/hyperlink" Target="/Users/evanhan/&#39033;&#30446;/&#20809;&#20239;&#39033;&#30446;/frontend/index.html" TargetMode="External"/><Relationship Id="rId230" Type="http://schemas.openxmlformats.org/officeDocument/2006/relationships/hyperlink" Target="/Users/evanhan/&#39033;&#30446;/&#20809;&#20239;&#39033;&#30446;/frontend/src/app/page.tsx" TargetMode="External"/><Relationship Id="rId223" Type="http://schemas.openxmlformats.org/officeDocument/2006/relationships/hyperlink" Target="/Users/evanhan/&#39033;&#30446;/&#20809;&#20239;&#39033;&#30446;/full_test.py" TargetMode="External"/><Relationship Id="rId212" Type="http://schemas.openxmlformats.org/officeDocument/2006/relationships/hyperlink" Target="/Users/evanhan/&#39033;&#30446;/&#20809;&#20239;&#39033;&#30446;/solar_monitor.py" TargetMode="External"/><Relationship Id="rId225" Type="http://schemas.openxmlformats.org/officeDocument/2006/relationships/hyperlink" Target="/Users/evanhan/&#39033;&#30446;/&#20809;&#20239;&#39033;&#30446;/test_chain_client.py" TargetMode="External"/><Relationship Id="rId224" Type="http://schemas.openxmlformats.org/officeDocument/2006/relationships/hyperlink" Target="/Users/evanhan/&#39033;&#30446;/&#20809;&#20239;&#39033;&#30446;/test_mint.py" TargetMode="External"/><Relationship Id="rId240" Type="http://schemas.openxmlformats.org/officeDocument/2006/relationships/hyperlink" Target="/Users/evanhan/&#39033;&#30446;/&#20809;&#20239;&#39033;&#30446;/&#25919;&#31574;&#36164;&#26009;/04_&#32511;&#33394;&#37329;&#34701;&#19982;&#32511;&#35777;" TargetMode="External"/><Relationship Id="rId237" Type="http://schemas.openxmlformats.org/officeDocument/2006/relationships/hyperlink" Target="/Users/evanhan/&#39033;&#30446;/&#20809;&#20239;&#39033;&#30446;/&#25919;&#31574;&#36164;&#26009;/README.md" TargetMode="External"/><Relationship Id="rId238" Type="http://schemas.openxmlformats.org/officeDocument/2006/relationships/hyperlink" Target="/Users/evanhan/&#39033;&#30446;/&#20809;&#20239;&#39033;&#30446;/&#25919;&#31574;&#36164;&#26009;/&#25919;&#31574;&#19982;&#21512;&#35268;&#29615;&#22659;&#20998;&#26512;&#21021;&#31295;.md" TargetMode="External"/><Relationship Id="rId239" Type="http://schemas.openxmlformats.org/officeDocument/2006/relationships/hyperlink" Target="/Users/evanhan/&#39033;&#30446;/&#20809;&#20239;&#39033;&#30446;/&#25919;&#31574;&#36164;&#26009;/&#39033;&#30446;&#23450;&#20301;&#35843;&#25972;&#24314;&#35758;_&#27604;&#36187;&#30003;&#25253;&#29256;.md" TargetMode="External"/><Relationship Id="rId226" Type="http://schemas.openxmlformats.org/officeDocument/2006/relationships/hyperlink" Target="/Users/evanhan/&#39033;&#30446;/&#20809;&#20239;&#39033;&#30446;/&#27604;&#36187;&#26448;&#26009;/&#32032;&#26448;&#24211;/&#23454;&#39564;&#35760;&#24405;" TargetMode="External"/><Relationship Id="rId220" Type="http://schemas.openxmlformats.org/officeDocument/2006/relationships/hyperlink" Target="/Users/evanhan/&#39033;&#30446;/&#20809;&#20239;&#39033;&#30446;/&#27604;&#36187;&#26448;&#26009;/&#32032;&#26448;&#24211;/&#26550;&#26500;&#22270;" TargetMode="External"/><Relationship Id="rId218" Type="http://schemas.openxmlformats.org/officeDocument/2006/relationships/hyperlink" Target="/Users/evanhan/&#39033;&#30446;/&#20809;&#20239;&#39033;&#30446;/&#39033;&#30446;&#24635;&#32467;&#25253;&#21578;&#20869;&#23481;/SolarGuard%20Project%20Report.pdf" TargetMode="External"/><Relationship Id="rId217" Type="http://schemas.openxmlformats.org/officeDocument/2006/relationships/hyperlink" Target="/Users/evanhan/&#39033;&#30446;/&#20809;&#20239;&#39033;&#30446;/&#39033;&#30446;&#24635;&#32467;&#25253;&#21578;&#20869;&#23481;/SolarGuard&#21830;&#19994;&#35745;&#21010;&#20070;&#27491;&#24335;&#30446;&#24405;_&#21019;&#26032;&#22823;&#36187;&#29256;.md" TargetMode="External"/><Relationship Id="rId235" Type="http://schemas.openxmlformats.org/officeDocument/2006/relationships/hyperlink" Target="/Users/evanhan/&#39033;&#30446;/&#20809;&#20239;&#39033;&#30446;/&#39033;&#30446;&#24635;&#32467;&#25253;&#21578;&#20869;&#23481;/&#20449;&#35780;&#35201;&#32032;&#21830;&#19994;&#35745;&#21010;&#20070;(3).docx" TargetMode="External"/><Relationship Id="rId234" Type="http://schemas.openxmlformats.org/officeDocument/2006/relationships/hyperlink" Target="/Users/evanhan/&#39033;&#30446;/&#20809;&#20239;&#39033;&#30446;/&#39033;&#30446;&#24635;&#32467;&#25253;&#21578;&#20869;&#23481;/&#20809;&#20239;RWA&#39033;&#30446;.pdf" TargetMode="External"/><Relationship Id="rId210" Type="http://schemas.openxmlformats.org/officeDocument/2006/relationships/hyperlink" Target="https://github.com/Pluvio-Han/SolarGuard-RWA-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2026-03-12T04:13:14Z</dcterms:created>
  <dcterms:modified xsi:type="dcterms:W3CDTF">2026-03-12T04:13:14Z</dcterms:modified>
</cp:coreProperties>
</file>

<file path=docProps/custom.xml><?xml version="1.0" encoding="utf-8"?>
<Properties xmlns="http://schemas.openxmlformats.org/officeDocument/2006/custom-properties" xmlns:vt="http://schemas.openxmlformats.org/officeDocument/2006/docPropsVTypes"/>
</file>