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B1B6" w14:textId="77777777" w:rsidR="00FF3585" w:rsidRDefault="002B6BB9">
      <w:pPr>
        <w:pStyle w:val="Title"/>
        <w:spacing w:before="240" w:after="240"/>
        <w:jc w:val="center"/>
      </w:pPr>
      <w:r>
        <w:t>Example of a letter that is addressed to Jobcentre Plus</w:t>
      </w:r>
    </w:p>
    <w:p w14:paraId="5EDC629D" w14:textId="77777777" w:rsidR="00FF3585" w:rsidRDefault="00D21FE8">
      <w:pPr>
        <w:jc w:val="center"/>
      </w:pPr>
      <w:r>
        <w:t>Payment for public involvement for those in receipt of welfare benefits</w:t>
      </w:r>
    </w:p>
    <w:p w14:paraId="47C01686" w14:textId="77777777" w:rsidR="00FF3585" w:rsidRDefault="000109B5">
      <w:pPr>
        <w:jc w:val="center"/>
      </w:pPr>
      <w:r>
        <w:rPr>
          <w:noProof/>
        </w:rPr>
      </w:r>
      <w:r w:rsidR="000109B5">
        <w:rPr>
          <w:noProof/>
        </w:rPr>
        <w:pict w14:anchorId="1FC23E42">
          <v:rect id="_x0000_i1025" alt="" style="width:451.3pt;height:.05pt;mso-width-percent:0;mso-height-percent:0;mso-width-percent:0;mso-height-percent:0" o:hralign="center" o:hrstd="t" o:hr="t" fillcolor="#a0a0a0" stroked="f"/>
        </w:pict>
      </w:r>
    </w:p>
    <w:p w14:paraId="2F2CE554" w14:textId="77777777" w:rsidR="00FF3585" w:rsidRDefault="00FF3585"/>
    <w:p w14:paraId="68668867" w14:textId="77777777" w:rsidR="00FF3585" w:rsidRDefault="00D21FE8" w:rsidP="002B6BB9">
      <w:pPr>
        <w:spacing w:before="240" w:after="240"/>
        <w:rPr>
          <w:b/>
        </w:rPr>
      </w:pPr>
      <w:r>
        <w:rPr>
          <w:b/>
        </w:rPr>
        <w:t xml:space="preserve">Headed paper </w:t>
      </w:r>
    </w:p>
    <w:p w14:paraId="408BBCCC" w14:textId="77777777" w:rsidR="00FF3585" w:rsidRDefault="00D21FE8">
      <w:r>
        <w:t>To Jobcentre Plus</w:t>
      </w:r>
    </w:p>
    <w:p w14:paraId="4BD6AEBB" w14:textId="77777777" w:rsidR="00FF3585" w:rsidRDefault="00D21FE8">
      <w:r>
        <w:t xml:space="preserve"> </w:t>
      </w:r>
    </w:p>
    <w:p w14:paraId="05FA26DC" w14:textId="77777777" w:rsidR="00FF3585" w:rsidRDefault="00D21FE8">
      <w:r>
        <w:t xml:space="preserve">Mr/Ms/Mrs </w:t>
      </w:r>
      <w:proofErr w:type="spellStart"/>
      <w:r>
        <w:t>xxxxxxxxxxxxxxx</w:t>
      </w:r>
      <w:proofErr w:type="spellEnd"/>
      <w:r>
        <w:t xml:space="preserve"> has been requested to assist [</w:t>
      </w:r>
      <w:proofErr w:type="gramStart"/>
      <w:r>
        <w:t>Organisation]  with</w:t>
      </w:r>
      <w:proofErr w:type="gramEnd"/>
      <w:r>
        <w:t xml:space="preserve"> service user involvement. We wish to ensure that the purpose of service user involvement is understood and is not mistaken for work.  </w:t>
      </w:r>
    </w:p>
    <w:p w14:paraId="68B1811D" w14:textId="77777777" w:rsidR="00FF3585" w:rsidRDefault="00D21FE8">
      <w:pPr>
        <w:pStyle w:val="Heading2"/>
        <w:keepNext w:val="0"/>
        <w:keepLines w:val="0"/>
        <w:spacing w:after="80"/>
        <w:rPr>
          <w:i/>
          <w:sz w:val="34"/>
          <w:szCs w:val="34"/>
        </w:rPr>
      </w:pPr>
      <w:bookmarkStart w:id="0" w:name="_cyo4xnpwt130" w:colFirst="0" w:colLast="0"/>
      <w:bookmarkEnd w:id="0"/>
      <w:r>
        <w:rPr>
          <w:sz w:val="34"/>
          <w:szCs w:val="34"/>
        </w:rPr>
        <w:t xml:space="preserve">What is the National Institute for Health Research </w:t>
      </w:r>
      <w:r>
        <w:rPr>
          <w:i/>
          <w:sz w:val="34"/>
          <w:szCs w:val="34"/>
        </w:rPr>
        <w:t>(or relevant organisation)</w:t>
      </w:r>
    </w:p>
    <w:p w14:paraId="7CB32267" w14:textId="77777777" w:rsidR="00FF3585" w:rsidRDefault="00D21FE8">
      <w:r>
        <w:t>The National Institute for Health Research (NIHR) the nation's largest funder of health and care research and provides the people, facilities and technology that enables research to thrive. Working in partnership with the NHS, universities, local government, other research funders, patients and the public, NIHR delivers and enables world-class research that transforms people's lives, promotes economic growth and advances science. NIHR's mission is to improve the health and wealth of the nation through research. NIHR is primarily funded by the Department of Health and Social Care, but also receives UK Aid funding to support research for people in low- and middle-income countries.</w:t>
      </w:r>
    </w:p>
    <w:p w14:paraId="7F3BC6B2" w14:textId="77777777" w:rsidR="00FF3585" w:rsidRDefault="00D21FE8">
      <w:pPr>
        <w:pStyle w:val="Heading2"/>
      </w:pPr>
      <w:bookmarkStart w:id="1" w:name="_y5pw4smi5f1j" w:colFirst="0" w:colLast="0"/>
      <w:bookmarkEnd w:id="1"/>
      <w:r>
        <w:t>What is service user involvement</w:t>
      </w:r>
    </w:p>
    <w:p w14:paraId="33428F7A" w14:textId="77777777" w:rsidR="00FF3585" w:rsidRDefault="00D21FE8">
      <w:r>
        <w:t xml:space="preserve">People who can offer a service user perspective because of their personal experiences of using health and/or social care services are requested to assist in our work. </w:t>
      </w:r>
    </w:p>
    <w:p w14:paraId="1B871C0E" w14:textId="77777777" w:rsidR="00FF3585" w:rsidRDefault="00FF3585"/>
    <w:p w14:paraId="294C0BAC" w14:textId="77777777" w:rsidR="00FF3585" w:rsidRDefault="00D21FE8">
      <w:r>
        <w:t>At NIHR, when using the term ‘public’ we include patients, potential patients, carers and people who use health and social care services.</w:t>
      </w:r>
    </w:p>
    <w:p w14:paraId="65687D01" w14:textId="77777777" w:rsidR="00FF3585" w:rsidRDefault="00FF3585"/>
    <w:p w14:paraId="7490800D" w14:textId="77777777" w:rsidR="00FF3585" w:rsidRDefault="00D21FE8">
      <w:r>
        <w:t>DWP have a full description of service users that applies to all benefits and can be found in Advice for Decision Makers Chapter H3: paragraph 3161.</w:t>
      </w:r>
    </w:p>
    <w:p w14:paraId="668D7A1E" w14:textId="77777777" w:rsidR="00FF3585" w:rsidRDefault="00D21FE8">
      <w:pPr>
        <w:pStyle w:val="Heading2"/>
        <w:keepNext w:val="0"/>
        <w:keepLines w:val="0"/>
        <w:spacing w:after="80"/>
        <w:rPr>
          <w:sz w:val="34"/>
          <w:szCs w:val="34"/>
        </w:rPr>
      </w:pPr>
      <w:bookmarkStart w:id="2" w:name="_9dsybepcstvx" w:colFirst="0" w:colLast="0"/>
      <w:bookmarkEnd w:id="2"/>
      <w:r>
        <w:rPr>
          <w:sz w:val="34"/>
          <w:szCs w:val="34"/>
        </w:rPr>
        <w:t>The difference between service user involvement and work</w:t>
      </w:r>
    </w:p>
    <w:p w14:paraId="5C92B36D" w14:textId="77777777" w:rsidR="00FF3585" w:rsidRDefault="00D21FE8">
      <w:r>
        <w:t>Involvement in research activities should not be mistaken as capacity for work, and recruitment for service user involvement should not be confused with recruitment for employment. People are recruited because of their personal experiences of using health and social care services.</w:t>
      </w:r>
    </w:p>
    <w:p w14:paraId="02FA5756" w14:textId="77777777" w:rsidR="00FF3585" w:rsidRDefault="00D21FE8">
      <w:r>
        <w:t xml:space="preserve"> </w:t>
      </w:r>
    </w:p>
    <w:p w14:paraId="58F51F96" w14:textId="77777777" w:rsidR="00FF3585" w:rsidRDefault="00D21FE8">
      <w:r>
        <w:t>Service user involvement activities:</w:t>
      </w:r>
    </w:p>
    <w:p w14:paraId="4EC990D0" w14:textId="77777777" w:rsidR="00FF3585" w:rsidRDefault="00D21FE8">
      <w:pPr>
        <w:numPr>
          <w:ilvl w:val="0"/>
          <w:numId w:val="1"/>
        </w:numPr>
      </w:pPr>
      <w:r>
        <w:t>are intermittent and people can withdraw at any time</w:t>
      </w:r>
    </w:p>
    <w:p w14:paraId="25C56BCF" w14:textId="77777777" w:rsidR="00FF3585" w:rsidRDefault="00D21FE8">
      <w:pPr>
        <w:numPr>
          <w:ilvl w:val="0"/>
          <w:numId w:val="1"/>
        </w:numPr>
      </w:pPr>
      <w:r>
        <w:lastRenderedPageBreak/>
        <w:t>vary in length and in frequency, and usually last for a few hours (or less) in any one week</w:t>
      </w:r>
    </w:p>
    <w:p w14:paraId="21C59B6C" w14:textId="77777777" w:rsidR="00FF3585" w:rsidRDefault="00D21FE8">
      <w:pPr>
        <w:numPr>
          <w:ilvl w:val="0"/>
          <w:numId w:val="1"/>
        </w:numPr>
      </w:pPr>
      <w:r>
        <w:t>are individual activities and do not imply future involvement</w:t>
      </w:r>
    </w:p>
    <w:p w14:paraId="34E8530E" w14:textId="77777777" w:rsidR="00FF3585" w:rsidRDefault="00D21FE8">
      <w:pPr>
        <w:numPr>
          <w:ilvl w:val="0"/>
          <w:numId w:val="1"/>
        </w:numPr>
      </w:pPr>
      <w:r>
        <w:t>may include attendance of quarterly or annual meetings</w:t>
      </w:r>
    </w:p>
    <w:p w14:paraId="4FC70B3D" w14:textId="77777777" w:rsidR="00FF3585" w:rsidRDefault="00D21FE8">
      <w:pPr>
        <w:numPr>
          <w:ilvl w:val="0"/>
          <w:numId w:val="1"/>
        </w:numPr>
      </w:pPr>
      <w:r>
        <w:t>may include contributing to intermittent meetings or telephone conferences</w:t>
      </w:r>
    </w:p>
    <w:p w14:paraId="2207041F" w14:textId="77777777" w:rsidR="00FF3585" w:rsidRDefault="00D21FE8">
      <w:pPr>
        <w:numPr>
          <w:ilvl w:val="0"/>
          <w:numId w:val="1"/>
        </w:numPr>
      </w:pPr>
      <w:r>
        <w:t>may include helping to prepare for meetings, telephone conferences or events</w:t>
      </w:r>
    </w:p>
    <w:p w14:paraId="0235CE64" w14:textId="77777777" w:rsidR="00FF3585" w:rsidRDefault="00D21FE8">
      <w:pPr>
        <w:numPr>
          <w:ilvl w:val="0"/>
          <w:numId w:val="1"/>
        </w:numPr>
      </w:pPr>
      <w:r>
        <w:t>may include some follow-up activities after meetings or events</w:t>
      </w:r>
    </w:p>
    <w:p w14:paraId="653B7D7C" w14:textId="77777777" w:rsidR="00FF3585" w:rsidRDefault="00D21FE8">
      <w:r>
        <w:t xml:space="preserve"> </w:t>
      </w:r>
    </w:p>
    <w:p w14:paraId="3649EFDE" w14:textId="77777777" w:rsidR="00FF3585" w:rsidRDefault="00D21FE8">
      <w:r>
        <w:t>Any payment that is offered for service user involvement is intended to cover preparation, attendance and appropriate follow-up activities.</w:t>
      </w:r>
    </w:p>
    <w:p w14:paraId="4D83DEC1" w14:textId="77777777" w:rsidR="00FF3585" w:rsidRDefault="00D21FE8">
      <w:pPr>
        <w:pStyle w:val="Heading2"/>
        <w:keepNext w:val="0"/>
        <w:keepLines w:val="0"/>
        <w:spacing w:after="80"/>
        <w:rPr>
          <w:sz w:val="34"/>
          <w:szCs w:val="34"/>
        </w:rPr>
      </w:pPr>
      <w:bookmarkStart w:id="3" w:name="_yq782tu8zcch" w:colFirst="0" w:colLast="0"/>
      <w:bookmarkEnd w:id="3"/>
      <w:r>
        <w:rPr>
          <w:sz w:val="34"/>
          <w:szCs w:val="34"/>
        </w:rPr>
        <w:t>Support provided</w:t>
      </w:r>
    </w:p>
    <w:p w14:paraId="57057A6A" w14:textId="77777777" w:rsidR="00FF3585" w:rsidRDefault="00D21FE8">
      <w:r>
        <w:t>Organisations provide support measures that are appropriate for each individual, so that members of the public can attend and contribute to our meetings and events. Some people who we involve may be in receipt of benefits for mobility or care needs. Involvement in activities should not be interpreted as a reduction in the care or mobility needs of service users involved.</w:t>
      </w:r>
    </w:p>
    <w:p w14:paraId="0836085B" w14:textId="77777777" w:rsidR="00FF3585" w:rsidRDefault="00FF3585"/>
    <w:p w14:paraId="1BEB485A" w14:textId="77777777" w:rsidR="00FF3585" w:rsidRDefault="00D21FE8">
      <w:r>
        <w:t xml:space="preserve">Support for care or mobility needs is offered as required by the service user and may cover preparation, travel to and from a venue, and contributions both during and after the activity. For example, support may include provision of childcare, or provision of a personal assistant or a support worker. </w:t>
      </w:r>
    </w:p>
    <w:p w14:paraId="2C436E80" w14:textId="77777777" w:rsidR="00FF3585" w:rsidRDefault="00D21FE8">
      <w:pPr>
        <w:pStyle w:val="Heading2"/>
        <w:keepNext w:val="0"/>
        <w:keepLines w:val="0"/>
        <w:spacing w:after="80"/>
        <w:rPr>
          <w:sz w:val="34"/>
          <w:szCs w:val="34"/>
        </w:rPr>
      </w:pPr>
      <w:bookmarkStart w:id="4" w:name="_jrzy105zypwn" w:colFirst="0" w:colLast="0"/>
      <w:bookmarkEnd w:id="4"/>
      <w:r>
        <w:rPr>
          <w:sz w:val="34"/>
          <w:szCs w:val="34"/>
        </w:rPr>
        <w:t>Payment for service user involvement</w:t>
      </w:r>
    </w:p>
    <w:p w14:paraId="31F2FB1E" w14:textId="77777777" w:rsidR="00FF3585" w:rsidRDefault="00D21FE8">
      <w:pPr>
        <w:spacing w:before="240" w:after="240"/>
      </w:pPr>
      <w:r>
        <w:t>Good practice guidance for service user involvement in research recommends that members of the public should be offered payment for activities such as attending meetings and events, and that reasonable out-of-pocket expenses should be covered. Please note that:</w:t>
      </w:r>
    </w:p>
    <w:p w14:paraId="519886D6" w14:textId="77777777" w:rsidR="00FF3585" w:rsidRDefault="00D21FE8">
      <w:pPr>
        <w:numPr>
          <w:ilvl w:val="0"/>
          <w:numId w:val="2"/>
        </w:numPr>
        <w:spacing w:before="240"/>
      </w:pPr>
      <w:r>
        <w:t>as involvement activities are often arranged on an ad hoc basis, organisations often pay service users monthly in arrears</w:t>
      </w:r>
    </w:p>
    <w:p w14:paraId="6379B0E2" w14:textId="77777777" w:rsidR="00FF3585" w:rsidRDefault="00D21FE8">
      <w:pPr>
        <w:numPr>
          <w:ilvl w:val="0"/>
          <w:numId w:val="2"/>
        </w:numPr>
      </w:pPr>
      <w:r>
        <w:t>to assist service users who receive welfare benefits which have earnings limits or disregards, organisations offer involvement on a voluntary basis, or at a lesser amount, if requested</w:t>
      </w:r>
    </w:p>
    <w:p w14:paraId="4E83B294" w14:textId="77777777" w:rsidR="00FF3585" w:rsidRDefault="00D21FE8">
      <w:pPr>
        <w:numPr>
          <w:ilvl w:val="0"/>
          <w:numId w:val="2"/>
        </w:numPr>
      </w:pPr>
      <w:r>
        <w:t>as the payment period may be over a month or more, we anticipate that Jobcentre Plus will treat these payments as averaged over the payment period. See DMG Chapter 48 paras 4080-81 and for a cycle of work para 48094.</w:t>
      </w:r>
    </w:p>
    <w:p w14:paraId="2D66C7DC" w14:textId="77777777" w:rsidR="00FF3585" w:rsidRDefault="00D21FE8">
      <w:pPr>
        <w:numPr>
          <w:ilvl w:val="0"/>
          <w:numId w:val="2"/>
        </w:numPr>
      </w:pPr>
      <w:r>
        <w:t>the Department for Work and Pensions legislation exempts ‘service users and carers’ from the application of notional earnings and treats reimbursed expenses for service user involvement as ignored (see ADM Chapter H3, paras 3160 and 3241)</w:t>
      </w:r>
    </w:p>
    <w:p w14:paraId="5B0E1292" w14:textId="77777777" w:rsidR="00FF3585" w:rsidRDefault="00D21FE8">
      <w:pPr>
        <w:numPr>
          <w:ilvl w:val="0"/>
          <w:numId w:val="2"/>
        </w:numPr>
      </w:pPr>
      <w:r>
        <w:t>service users can withdraw from involvement activities at any time to attend ‘employment-related’ activities</w:t>
      </w:r>
    </w:p>
    <w:p w14:paraId="45EB481A" w14:textId="77777777" w:rsidR="00FF3585" w:rsidRDefault="00D21FE8">
      <w:pPr>
        <w:numPr>
          <w:ilvl w:val="0"/>
          <w:numId w:val="2"/>
        </w:numPr>
        <w:spacing w:after="240"/>
      </w:pPr>
      <w:r>
        <w:t>the Department for Work and Pensions legislation for persons who receive Employment and Support Allowance on exempt work now allows earnings at the higher level of Permitted work without time limit (see Memo DMG 7/17)</w:t>
      </w:r>
    </w:p>
    <w:p w14:paraId="6E39D7D9" w14:textId="77777777" w:rsidR="00FF3585" w:rsidRDefault="00D21FE8">
      <w:pPr>
        <w:spacing w:before="240" w:after="240"/>
      </w:pPr>
      <w:r>
        <w:t xml:space="preserve"> </w:t>
      </w:r>
    </w:p>
    <w:p w14:paraId="3C1A87D5" w14:textId="77777777" w:rsidR="00FF3585" w:rsidRDefault="00D21FE8">
      <w:pPr>
        <w:spacing w:before="240" w:after="240"/>
      </w:pPr>
      <w:r>
        <w:t>Please do not hesitate to contact me if you require further information.</w:t>
      </w:r>
    </w:p>
    <w:p w14:paraId="60D9D4B6" w14:textId="77777777" w:rsidR="00FF3585" w:rsidRDefault="00D21FE8">
      <w:pPr>
        <w:pStyle w:val="Heading2"/>
        <w:keepNext w:val="0"/>
        <w:keepLines w:val="0"/>
        <w:spacing w:after="80"/>
      </w:pPr>
      <w:bookmarkStart w:id="5" w:name="_gmk9rsc8tt5l" w:colFirst="0" w:colLast="0"/>
      <w:bookmarkEnd w:id="5"/>
      <w:r>
        <w:rPr>
          <w:b/>
          <w:color w:val="1155CC"/>
          <w:sz w:val="24"/>
          <w:szCs w:val="24"/>
          <w:u w:val="single"/>
        </w:rPr>
        <w:lastRenderedPageBreak/>
        <w:t>Signed by member of staff</w:t>
      </w:r>
    </w:p>
    <w:sectPr w:rsidR="00FF3585">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C1163" w14:textId="77777777" w:rsidR="00A41739" w:rsidRDefault="00A41739">
      <w:r>
        <w:separator/>
      </w:r>
    </w:p>
  </w:endnote>
  <w:endnote w:type="continuationSeparator" w:id="0">
    <w:p w14:paraId="48062C8B" w14:textId="77777777" w:rsidR="00A41739" w:rsidRDefault="00A4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Times New Roman"/>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4D8DC" w14:textId="77777777" w:rsidR="00A41739" w:rsidRDefault="00A41739">
      <w:r>
        <w:separator/>
      </w:r>
    </w:p>
  </w:footnote>
  <w:footnote w:type="continuationSeparator" w:id="0">
    <w:p w14:paraId="31F2873C" w14:textId="77777777" w:rsidR="00A41739" w:rsidRDefault="00A41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6238" w14:textId="77777777" w:rsidR="00FF3585" w:rsidRDefault="00D21FE8">
    <w:r>
      <w:rPr>
        <w:noProof/>
      </w:rPr>
      <w:drawing>
        <wp:inline distT="114300" distB="114300" distL="114300" distR="114300" wp14:anchorId="1C4593F3" wp14:editId="34499FA7">
          <wp:extent cx="2881313" cy="684431"/>
          <wp:effectExtent l="0" t="0" r="0" b="0"/>
          <wp:docPr id="1" name="image1.png" title="NIHR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81313" cy="68443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206B"/>
    <w:multiLevelType w:val="multilevel"/>
    <w:tmpl w:val="E530E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54DD1"/>
    <w:multiLevelType w:val="multilevel"/>
    <w:tmpl w:val="2AC67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6838771">
    <w:abstractNumId w:val="1"/>
  </w:num>
  <w:num w:numId="2" w16cid:durableId="201414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85"/>
    <w:rsid w:val="000109B5"/>
    <w:rsid w:val="001D2CDC"/>
    <w:rsid w:val="002B6BB9"/>
    <w:rsid w:val="00A24586"/>
    <w:rsid w:val="00A41739"/>
    <w:rsid w:val="00D21FE8"/>
    <w:rsid w:val="00FF3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4DC429"/>
  <w15:docId w15:val="{A191B085-FA72-4978-A604-32C25869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GB" w:eastAsia="en-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A24586"/>
    <w:pPr>
      <w:tabs>
        <w:tab w:val="center" w:pos="4513"/>
        <w:tab w:val="right" w:pos="9026"/>
      </w:tabs>
    </w:pPr>
  </w:style>
  <w:style w:type="character" w:customStyle="1" w:styleId="HeaderChar">
    <w:name w:val="Header Char"/>
    <w:basedOn w:val="DefaultParagraphFont"/>
    <w:link w:val="Header"/>
    <w:uiPriority w:val="99"/>
    <w:rsid w:val="00A24586"/>
  </w:style>
  <w:style w:type="paragraph" w:styleId="Footer">
    <w:name w:val="footer"/>
    <w:basedOn w:val="Normal"/>
    <w:link w:val="FooterChar"/>
    <w:uiPriority w:val="99"/>
    <w:unhideWhenUsed/>
    <w:rsid w:val="00A24586"/>
    <w:pPr>
      <w:tabs>
        <w:tab w:val="center" w:pos="4513"/>
        <w:tab w:val="right" w:pos="9026"/>
      </w:tabs>
    </w:pPr>
  </w:style>
  <w:style w:type="character" w:customStyle="1" w:styleId="FooterChar">
    <w:name w:val="Footer Char"/>
    <w:basedOn w:val="DefaultParagraphFont"/>
    <w:link w:val="Footer"/>
    <w:uiPriority w:val="99"/>
    <w:rsid w:val="00A24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7A3E2FE76FCA4A9D2B2E36FDEB5238" ma:contentTypeVersion="14" ma:contentTypeDescription="Create a new document." ma:contentTypeScope="" ma:versionID="63a675a74c4ee1501f0004cf12912e8c">
  <xsd:schema xmlns:xsd="http://www.w3.org/2001/XMLSchema" xmlns:xs="http://www.w3.org/2001/XMLSchema" xmlns:p="http://schemas.microsoft.com/office/2006/metadata/properties" xmlns:ns2="74ed5f6d-1965-4574-9d86-b4579ebe7ed0" xmlns:ns3="f67ae4dc-bd01-4e97-b43a-acf2f26595a5" targetNamespace="http://schemas.microsoft.com/office/2006/metadata/properties" ma:root="true" ma:fieldsID="e214df0851a9ccfbcf1ce3420951d089" ns2:_="" ns3:_="">
    <xsd:import namespace="74ed5f6d-1965-4574-9d86-b4579ebe7ed0"/>
    <xsd:import namespace="f67ae4dc-bd01-4e97-b43a-acf2f26595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Summary" minOccurs="0"/>
                <xsd:element ref="ns2:Responsibility" minOccurs="0"/>
                <xsd:element ref="ns2: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d5f6d-1965-4574-9d86-b4579ebe7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Summary" ma:index="19" nillable="true" ma:displayName="Summary" ma:format="Dropdown" ma:internalName="Summary">
      <xsd:simpleType>
        <xsd:restriction base="dms:Note">
          <xsd:maxLength value="255"/>
        </xsd:restriction>
      </xsd:simpleType>
    </xsd:element>
    <xsd:element name="Responsibility" ma:index="20" nillable="true" ma:displayName="Responsibility" ma:format="Dropdown" ma:list="UserInfo" ma:SharePointGroup="0" ma:internalName="Responsibilit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ference" ma:index="21" nillable="true" ma:displayName="Reference" ma:default="1" ma:format="Dropdown" ma:internalName="Referenc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67ae4dc-bd01-4e97-b43a-acf2f26595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893066f-d89f-4761-87dc-32ca1bb1a839}" ma:internalName="TaxCatchAll" ma:showField="CatchAllData" ma:web="f67ae4dc-bd01-4e97-b43a-acf2f26595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sponsibility xmlns="74ed5f6d-1965-4574-9d86-b4579ebe7ed0">
      <UserInfo>
        <DisplayName/>
        <AccountId xsi:nil="true"/>
        <AccountType/>
      </UserInfo>
    </Responsibility>
    <Summary xmlns="74ed5f6d-1965-4574-9d86-b4579ebe7ed0" xsi:nil="true"/>
    <TaxCatchAll xmlns="f67ae4dc-bd01-4e97-b43a-acf2f26595a5" xsi:nil="true"/>
    <Reference xmlns="74ed5f6d-1965-4574-9d86-b4579ebe7ed0">true</Reference>
    <lcf76f155ced4ddcb4097134ff3c332f xmlns="74ed5f6d-1965-4574-9d86-b4579ebe7ed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E325D71-88BC-4DC8-916E-70BD4C62E5BA}"/>
</file>

<file path=customXml/itemProps2.xml><?xml version="1.0" encoding="utf-8"?>
<ds:datastoreItem xmlns:ds="http://schemas.openxmlformats.org/officeDocument/2006/customXml" ds:itemID="{2F6141C2-6721-4462-A421-A1E153705F49}"/>
</file>

<file path=customXml/itemProps3.xml><?xml version="1.0" encoding="utf-8"?>
<ds:datastoreItem xmlns:ds="http://schemas.openxmlformats.org/officeDocument/2006/customXml" ds:itemID="{0483EFC2-1D1A-4817-BFFF-CBAA10497920}"/>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LGC</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Powell</dc:creator>
  <cp:lastModifiedBy>Jon May</cp:lastModifiedBy>
  <cp:revision>2</cp:revision>
  <dcterms:created xsi:type="dcterms:W3CDTF">2022-05-30T09:40:00Z</dcterms:created>
  <dcterms:modified xsi:type="dcterms:W3CDTF">2022-05-30T09:40:00Z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0x010100337A3E2FE76FCA4A9D2B2E36FDEB5238</vt:lpwstr>
  </property>
</Properties>
</file>