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5C8C" w14:textId="454D5E05" w:rsidR="00943724" w:rsidRPr="008E012C" w:rsidRDefault="00B01196" w:rsidP="00003F49">
      <w:pPr>
        <w:pStyle w:val="Heading1"/>
        <w:spacing w:line="360" w:lineRule="auto"/>
        <w:rPr>
          <w:rFonts w:asciiTheme="minorBidi" w:hAnsiTheme="minorBidi" w:cstheme="minorBidi"/>
        </w:rPr>
      </w:pPr>
      <w:r w:rsidRPr="008E012C">
        <w:rPr>
          <w:rFonts w:asciiTheme="minorBidi" w:hAnsiTheme="minorBidi" w:cstheme="minorBidi"/>
        </w:rPr>
        <w:t xml:space="preserve">Bargaining, Sorting, and the Gender Wage Gap: Quantifying the Impact of Firms on the Relative Pay of Women </w:t>
      </w:r>
      <w:sdt>
        <w:sdtPr>
          <w:rPr>
            <w:rFonts w:asciiTheme="minorBidi" w:hAnsiTheme="minorBidi" w:cstheme="minorBidi"/>
          </w:rPr>
          <w:id w:val="-479154053"/>
          <w:citation/>
        </w:sdtPr>
        <w:sdtEndPr/>
        <w:sdtContent>
          <w:r w:rsidRPr="008E012C">
            <w:rPr>
              <w:rFonts w:asciiTheme="minorBidi" w:hAnsiTheme="minorBidi" w:cstheme="minorBidi"/>
            </w:rPr>
            <w:fldChar w:fldCharType="begin"/>
          </w:r>
          <w:r w:rsidRPr="008E012C">
            <w:rPr>
              <w:rFonts w:asciiTheme="minorBidi" w:hAnsiTheme="minorBidi" w:cstheme="minorBidi"/>
            </w:rPr>
            <w:instrText xml:space="preserve"> CITATION Car15 \l 1033 </w:instrText>
          </w:r>
          <w:r w:rsidRPr="008E012C">
            <w:rPr>
              <w:rFonts w:asciiTheme="minorBidi" w:hAnsiTheme="minorBidi" w:cstheme="minorBidi"/>
            </w:rPr>
            <w:fldChar w:fldCharType="separate"/>
          </w:r>
          <w:r w:rsidRPr="008E012C">
            <w:rPr>
              <w:rFonts w:asciiTheme="minorBidi" w:hAnsiTheme="minorBidi" w:cstheme="minorBidi"/>
            </w:rPr>
            <w:t>(Card, Cardoso, &amp; Kline, 2015)</w:t>
          </w:r>
          <w:r w:rsidRPr="008E012C">
            <w:rPr>
              <w:rFonts w:asciiTheme="minorBidi" w:hAnsiTheme="minorBidi" w:cstheme="minorBidi"/>
            </w:rPr>
            <w:fldChar w:fldCharType="end"/>
          </w:r>
        </w:sdtContent>
      </w:sdt>
    </w:p>
    <w:p w14:paraId="44CF18E2" w14:textId="5C83ADE8" w:rsidR="00C245ED" w:rsidRPr="00FB0C81" w:rsidRDefault="00003F49" w:rsidP="00FB0C81">
      <w:pPr>
        <w:jc w:val="thaiDistribute"/>
        <w:rPr>
          <w:rFonts w:asciiTheme="minorBidi" w:hAnsiTheme="minorBidi"/>
          <w:sz w:val="26"/>
          <w:szCs w:val="26"/>
        </w:rPr>
      </w:pPr>
      <w:r w:rsidRPr="00FB0C81">
        <w:rPr>
          <w:rFonts w:asciiTheme="minorBidi" w:hAnsiTheme="minorBidi"/>
          <w:sz w:val="24"/>
          <w:szCs w:val="24"/>
        </w:rPr>
        <w:tab/>
      </w:r>
      <w:r w:rsidR="0012530D" w:rsidRPr="00FB0C81">
        <w:rPr>
          <w:rFonts w:asciiTheme="minorBidi" w:hAnsiTheme="minorBidi"/>
          <w:sz w:val="26"/>
          <w:szCs w:val="26"/>
        </w:rPr>
        <w:t>There are many evidences that show gender wage gap in almost every countries in the world, and many literatures found that these gap cannot be explained solely by different productivity. Even when controlling for productivity, men and women face different job prospect and wage bargaining power.</w:t>
      </w:r>
      <w:r w:rsidR="00E809B9" w:rsidRPr="00FB0C81">
        <w:rPr>
          <w:rFonts w:asciiTheme="minorBidi" w:hAnsiTheme="minorBidi"/>
          <w:sz w:val="26"/>
          <w:szCs w:val="26"/>
        </w:rPr>
        <w:t xml:space="preserve"> </w:t>
      </w:r>
      <w:r w:rsidR="0012530D" w:rsidRPr="00FB0C81">
        <w:rPr>
          <w:rFonts w:asciiTheme="minorBidi" w:hAnsiTheme="minorBidi"/>
          <w:sz w:val="26"/>
          <w:szCs w:val="26"/>
        </w:rPr>
        <w:t xml:space="preserve">One key driver of such gender disparity is firm specific pay policies. There are two </w:t>
      </w:r>
      <w:r w:rsidR="00E809B9" w:rsidRPr="00FB0C81">
        <w:rPr>
          <w:rFonts w:asciiTheme="minorBidi" w:hAnsiTheme="minorBidi"/>
          <w:sz w:val="26"/>
          <w:szCs w:val="26"/>
        </w:rPr>
        <w:t>effects at play</w:t>
      </w:r>
      <w:r w:rsidR="0012530D" w:rsidRPr="00FB0C81">
        <w:rPr>
          <w:rFonts w:asciiTheme="minorBidi" w:hAnsiTheme="minorBidi"/>
          <w:sz w:val="26"/>
          <w:szCs w:val="26"/>
        </w:rPr>
        <w:t xml:space="preserve">. First is sorting; </w:t>
      </w:r>
      <w:r w:rsidR="00E809B9" w:rsidRPr="00FB0C81">
        <w:rPr>
          <w:rFonts w:asciiTheme="minorBidi" w:hAnsiTheme="minorBidi"/>
          <w:sz w:val="26"/>
          <w:szCs w:val="26"/>
        </w:rPr>
        <w:t>women are less likely to be employed in the higher paid firms. Another is bargaining; women has less bargaining power for wage and ends up having smaller share of the surplus. Hence, this study will contribute to the body of literature by being the first study that distinguish and quantify these 2 effects.</w:t>
      </w:r>
    </w:p>
    <w:p w14:paraId="42B376E5" w14:textId="631A6301" w:rsidR="0025311A" w:rsidRPr="00FB0C81" w:rsidRDefault="001F17BD" w:rsidP="00FB0C81">
      <w:pPr>
        <w:jc w:val="thaiDistribute"/>
        <w:rPr>
          <w:rFonts w:asciiTheme="minorBidi" w:hAnsiTheme="minorBidi"/>
          <w:sz w:val="26"/>
          <w:szCs w:val="26"/>
        </w:rPr>
      </w:pPr>
      <w:r w:rsidRPr="00FB0C81">
        <w:rPr>
          <w:rFonts w:asciiTheme="minorBidi" w:hAnsiTheme="minorBidi"/>
          <w:sz w:val="26"/>
          <w:szCs w:val="26"/>
        </w:rPr>
        <w:tab/>
      </w:r>
      <w:r w:rsidR="00360DBE" w:rsidRPr="00FB0C81">
        <w:rPr>
          <w:rFonts w:asciiTheme="minorBidi" w:hAnsiTheme="minorBidi"/>
          <w:sz w:val="26"/>
          <w:szCs w:val="26"/>
        </w:rPr>
        <w:t xml:space="preserve">This paper matched </w:t>
      </w:r>
      <w:r w:rsidR="00CF41F0" w:rsidRPr="00FB0C81">
        <w:rPr>
          <w:rFonts w:asciiTheme="minorBidi" w:hAnsiTheme="minorBidi"/>
          <w:sz w:val="26"/>
          <w:szCs w:val="26"/>
        </w:rPr>
        <w:t>Portug</w:t>
      </w:r>
      <w:r w:rsidR="006E4322" w:rsidRPr="00FB0C81">
        <w:rPr>
          <w:rFonts w:asciiTheme="minorBidi" w:hAnsiTheme="minorBidi"/>
          <w:sz w:val="26"/>
          <w:szCs w:val="26"/>
        </w:rPr>
        <w:t>ues</w:t>
      </w:r>
      <w:r w:rsidR="00CF41F0" w:rsidRPr="00FB0C81">
        <w:rPr>
          <w:rFonts w:asciiTheme="minorBidi" w:hAnsiTheme="minorBidi"/>
          <w:sz w:val="26"/>
          <w:szCs w:val="26"/>
        </w:rPr>
        <w:t>e</w:t>
      </w:r>
      <w:r w:rsidRPr="00FB0C81">
        <w:rPr>
          <w:rFonts w:asciiTheme="minorBidi" w:hAnsiTheme="minorBidi"/>
          <w:sz w:val="26"/>
          <w:szCs w:val="26"/>
        </w:rPr>
        <w:t xml:space="preserve"> </w:t>
      </w:r>
      <w:r w:rsidR="00360DBE" w:rsidRPr="00FB0C81">
        <w:rPr>
          <w:rFonts w:asciiTheme="minorBidi" w:hAnsiTheme="minorBidi"/>
          <w:sz w:val="26"/>
          <w:szCs w:val="26"/>
        </w:rPr>
        <w:t xml:space="preserve">employee </w:t>
      </w:r>
      <w:r w:rsidRPr="00FB0C81">
        <w:rPr>
          <w:rFonts w:asciiTheme="minorBidi" w:hAnsiTheme="minorBidi"/>
          <w:sz w:val="26"/>
          <w:szCs w:val="26"/>
        </w:rPr>
        <w:t xml:space="preserve">data </w:t>
      </w:r>
      <w:r w:rsidR="00360DBE" w:rsidRPr="00FB0C81">
        <w:rPr>
          <w:rFonts w:asciiTheme="minorBidi" w:hAnsiTheme="minorBidi"/>
          <w:sz w:val="26"/>
          <w:szCs w:val="26"/>
        </w:rPr>
        <w:t>come from Quadros de Pessoal (QP) which is a compulsory census data of private sector employees, and firms’ financial data from SABI</w:t>
      </w:r>
      <w:r w:rsidR="00360DBE" w:rsidRPr="00FB0C81">
        <w:rPr>
          <w:rStyle w:val="FootnoteReference"/>
          <w:rFonts w:asciiTheme="minorBidi" w:hAnsiTheme="minorBidi"/>
          <w:sz w:val="26"/>
          <w:szCs w:val="26"/>
        </w:rPr>
        <w:footnoteReference w:id="1"/>
      </w:r>
      <w:r w:rsidR="00360DBE" w:rsidRPr="00FB0C81">
        <w:rPr>
          <w:rFonts w:asciiTheme="minorBidi" w:hAnsiTheme="minorBidi"/>
          <w:sz w:val="26"/>
          <w:szCs w:val="26"/>
        </w:rPr>
        <w:t>. The matched data consists of around 53 percent of firms between the year 2002 to 2009.</w:t>
      </w:r>
      <w:r w:rsidR="00153C8F" w:rsidRPr="00FB0C81">
        <w:rPr>
          <w:rFonts w:asciiTheme="minorBidi" w:hAnsiTheme="minorBidi"/>
          <w:sz w:val="26"/>
          <w:szCs w:val="26"/>
        </w:rPr>
        <w:t xml:space="preserve"> The paper also checked for the distribution for the rate and job mobility and found that men</w:t>
      </w:r>
      <w:r w:rsidR="00175260" w:rsidRPr="00FB0C81">
        <w:rPr>
          <w:rFonts w:asciiTheme="minorBidi" w:hAnsiTheme="minorBidi"/>
          <w:sz w:val="26"/>
          <w:szCs w:val="26"/>
        </w:rPr>
        <w:t xml:space="preserve"> </w:t>
      </w:r>
      <w:r w:rsidR="00153C8F" w:rsidRPr="00FB0C81">
        <w:rPr>
          <w:rFonts w:asciiTheme="minorBidi" w:hAnsiTheme="minorBidi"/>
          <w:sz w:val="26"/>
          <w:szCs w:val="26"/>
        </w:rPr>
        <w:t>and women have similar rate</w:t>
      </w:r>
      <w:r w:rsidR="004D4792" w:rsidRPr="00FB0C81">
        <w:rPr>
          <w:rFonts w:asciiTheme="minorBidi" w:hAnsiTheme="minorBidi"/>
          <w:sz w:val="26"/>
          <w:szCs w:val="26"/>
        </w:rPr>
        <w:t>,</w:t>
      </w:r>
      <w:r w:rsidR="00153C8F" w:rsidRPr="00FB0C81">
        <w:rPr>
          <w:rFonts w:asciiTheme="minorBidi" w:hAnsiTheme="minorBidi"/>
          <w:sz w:val="26"/>
          <w:szCs w:val="26"/>
        </w:rPr>
        <w:t xml:space="preserve"> so </w:t>
      </w:r>
      <w:r w:rsidR="00175260" w:rsidRPr="00FB0C81">
        <w:rPr>
          <w:rFonts w:asciiTheme="minorBidi" w:hAnsiTheme="minorBidi"/>
          <w:sz w:val="26"/>
          <w:szCs w:val="26"/>
        </w:rPr>
        <w:t>it should not be a large fa</w:t>
      </w:r>
      <w:r w:rsidR="00A105C2">
        <w:rPr>
          <w:rFonts w:asciiTheme="minorBidi" w:hAnsiTheme="minorBidi"/>
          <w:sz w:val="26"/>
          <w:szCs w:val="26"/>
        </w:rPr>
        <w:t>c</w:t>
      </w:r>
      <w:r w:rsidR="00175260" w:rsidRPr="00FB0C81">
        <w:rPr>
          <w:rFonts w:asciiTheme="minorBidi" w:hAnsiTheme="minorBidi"/>
          <w:sz w:val="26"/>
          <w:szCs w:val="26"/>
        </w:rPr>
        <w:t>tor explaining between-firm wage differentials.</w:t>
      </w:r>
    </w:p>
    <w:p w14:paraId="1AFD0DFA" w14:textId="5EB11E40" w:rsidR="00A90286" w:rsidRPr="00FB0C81" w:rsidRDefault="00CE7DED" w:rsidP="00FB0C81">
      <w:pPr>
        <w:jc w:val="thaiDistribute"/>
        <w:rPr>
          <w:rFonts w:asciiTheme="minorBidi" w:hAnsiTheme="minorBidi"/>
          <w:sz w:val="26"/>
          <w:szCs w:val="26"/>
        </w:rPr>
      </w:pPr>
      <w:r w:rsidRPr="00FB0C81">
        <w:rPr>
          <w:rFonts w:asciiTheme="minorBidi" w:hAnsiTheme="minorBidi"/>
          <w:sz w:val="26"/>
          <w:szCs w:val="26"/>
        </w:rPr>
        <w:tab/>
        <w:t>The</w:t>
      </w:r>
      <w:r w:rsidR="000800A5" w:rsidRPr="00FB0C81">
        <w:rPr>
          <w:rFonts w:asciiTheme="minorBidi" w:hAnsiTheme="minorBidi"/>
          <w:sz w:val="26"/>
          <w:szCs w:val="26"/>
        </w:rPr>
        <w:t xml:space="preserve"> paper use two-way fixed effect </w:t>
      </w:r>
      <w:r w:rsidR="00E51EDA" w:rsidRPr="00FB0C81">
        <w:rPr>
          <w:rFonts w:asciiTheme="minorBidi" w:hAnsiTheme="minorBidi"/>
          <w:sz w:val="26"/>
          <w:szCs w:val="26"/>
        </w:rPr>
        <w:t>model</w:t>
      </w:r>
      <w:r w:rsidR="000800A5" w:rsidRPr="00FB0C81">
        <w:rPr>
          <w:rFonts w:asciiTheme="minorBidi" w:hAnsiTheme="minorBidi"/>
          <w:sz w:val="26"/>
          <w:szCs w:val="26"/>
        </w:rPr>
        <w:t xml:space="preserve"> in</w:t>
      </w:r>
      <w:r w:rsidRPr="00FB0C81">
        <w:rPr>
          <w:rFonts w:asciiTheme="minorBidi" w:hAnsiTheme="minorBidi"/>
          <w:sz w:val="26"/>
          <w:szCs w:val="26"/>
        </w:rPr>
        <w:t xml:space="preserve"> the form</w:t>
      </w:r>
      <w:r w:rsidR="004A2B7F" w:rsidRPr="00FB0C81">
        <w:rPr>
          <w:rFonts w:asciiTheme="minorBidi" w:hAnsiTheme="minorBidi"/>
          <w:sz w:val="26"/>
          <w:szCs w:val="26"/>
        </w:rPr>
        <w:t xml:space="preserve">: </w:t>
      </w:r>
    </w:p>
    <w:p w14:paraId="17454AC0" w14:textId="34DF20E4" w:rsidR="00CE7DED" w:rsidRPr="00FB0C81" w:rsidRDefault="00AB529E" w:rsidP="00FB0C81">
      <w:pPr>
        <w:jc w:val="thaiDistribute"/>
        <w:rPr>
          <w:rFonts w:asciiTheme="minorBidi" w:eastAsiaTheme="minorEastAsia" w:hAnsiTheme="minorBidi"/>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it</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i</m:t>
              </m:r>
            </m:sub>
          </m:sSub>
          <m:r>
            <w:rPr>
              <w:rFonts w:ascii="Cambria Math" w:hAnsi="Cambria Math"/>
              <w:sz w:val="26"/>
              <w:szCs w:val="26"/>
            </w:rPr>
            <m:t>+</m:t>
          </m:r>
          <m:sSubSup>
            <m:sSubSupPr>
              <m:ctrlPr>
                <w:rPr>
                  <w:rFonts w:ascii="Cambria Math" w:hAnsi="Cambria Math"/>
                  <w:i/>
                  <w:sz w:val="26"/>
                  <w:szCs w:val="26"/>
                </w:rPr>
              </m:ctrlPr>
            </m:sSubSupPr>
            <m:e>
              <m:r>
                <m:rPr>
                  <m:sty m:val="p"/>
                </m:rPr>
                <w:rPr>
                  <w:rFonts w:ascii="Cambria Math" w:hAnsi="Cambria Math"/>
                  <w:sz w:val="26"/>
                  <w:szCs w:val="26"/>
                </w:rPr>
                <m:t>Ψ</m:t>
              </m:r>
              <m:ctrlPr>
                <w:rPr>
                  <w:rFonts w:ascii="Cambria Math" w:hAnsi="Cambria Math"/>
                  <w:sz w:val="26"/>
                  <w:szCs w:val="26"/>
                </w:rPr>
              </m:ctrlPr>
            </m:e>
            <m:sub>
              <m:r>
                <w:rPr>
                  <w:rFonts w:ascii="Cambria Math" w:hAnsi="Cambria Math"/>
                  <w:sz w:val="26"/>
                  <w:szCs w:val="26"/>
                </w:rPr>
                <m:t>J</m:t>
              </m:r>
              <m:d>
                <m:dPr>
                  <m:ctrlPr>
                    <w:rPr>
                      <w:rFonts w:ascii="Cambria Math" w:hAnsi="Cambria Math"/>
                      <w:i/>
                      <w:sz w:val="26"/>
                      <w:szCs w:val="26"/>
                    </w:rPr>
                  </m:ctrlPr>
                </m:dPr>
                <m:e>
                  <m:r>
                    <w:rPr>
                      <w:rFonts w:ascii="Cambria Math" w:hAnsi="Cambria Math"/>
                      <w:sz w:val="26"/>
                      <w:szCs w:val="26"/>
                    </w:rPr>
                    <m:t>i,t</m:t>
                  </m:r>
                </m:e>
              </m:d>
            </m:sub>
            <m:sup>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i</m:t>
                  </m:r>
                </m:e>
              </m:d>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it</m:t>
              </m:r>
            </m:sub>
            <m:sup>
              <m:r>
                <w:rPr>
                  <w:rFonts w:ascii="Cambria Math" w:hAnsi="Cambria Math"/>
                  <w:sz w:val="26"/>
                  <w:szCs w:val="26"/>
                </w:rPr>
                <m:t>'</m:t>
              </m:r>
            </m:sup>
          </m:sSubSup>
          <m:sSup>
            <m:sSupPr>
              <m:ctrlPr>
                <w:rPr>
                  <w:rFonts w:ascii="Cambria Math" w:hAnsi="Cambria Math"/>
                  <w:i/>
                  <w:sz w:val="26"/>
                  <w:szCs w:val="26"/>
                </w:rPr>
              </m:ctrlPr>
            </m:sSupPr>
            <m:e>
              <m:r>
                <w:rPr>
                  <w:rFonts w:ascii="Cambria Math" w:hAnsi="Cambria Math"/>
                  <w:sz w:val="26"/>
                  <w:szCs w:val="26"/>
                </w:rPr>
                <m:t>β</m:t>
              </m:r>
            </m:e>
            <m:sup>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i</m:t>
                  </m:r>
                </m:e>
              </m:d>
            </m:sup>
          </m:s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it</m:t>
              </m:r>
            </m:sub>
          </m:sSub>
        </m:oMath>
      </m:oMathPara>
    </w:p>
    <w:p w14:paraId="62DEEECA" w14:textId="54A7486E" w:rsidR="00F3245F" w:rsidRPr="00FB0C81" w:rsidRDefault="004A2B7F" w:rsidP="00FB0C81">
      <w:pPr>
        <w:rPr>
          <w:rFonts w:asciiTheme="minorBidi" w:eastAsiaTheme="minorEastAsia" w:hAnsiTheme="minorBidi"/>
          <w:sz w:val="26"/>
          <w:szCs w:val="26"/>
        </w:rPr>
      </w:pPr>
      <w:r w:rsidRPr="00FB0C81">
        <w:rPr>
          <w:rFonts w:asciiTheme="minorBidi" w:eastAsiaTheme="minorEastAsia" w:hAnsiTheme="minorBidi"/>
          <w:sz w:val="26"/>
          <w:szCs w:val="26"/>
        </w:rPr>
        <w:t>Where</w:t>
      </w:r>
      <w:r w:rsidRPr="00FB0C81">
        <w:rPr>
          <w:rFonts w:asciiTheme="minorBidi" w:hAnsiTheme="minorBidi"/>
          <w:sz w:val="26"/>
          <w:szCs w:val="26"/>
        </w:rPr>
        <w:t xml:space="preserve"> i denote individual, j denote firm</w:t>
      </w:r>
      <w:r w:rsidR="00A67C46" w:rsidRPr="00FB0C81">
        <w:rPr>
          <w:rFonts w:asciiTheme="minorBidi" w:hAnsiTheme="minorBidi"/>
          <w:sz w:val="26"/>
          <w:szCs w:val="26"/>
        </w:rPr>
        <w:t>,</w:t>
      </w:r>
      <w:r w:rsidRPr="00FB0C81">
        <w:rPr>
          <w:rFonts w:asciiTheme="minorBidi" w:hAnsiTheme="minorBidi"/>
          <w:sz w:val="26"/>
          <w:szCs w:val="26"/>
        </w:rPr>
        <w:t xml:space="preserve"> t denote time period and G denote gender</w:t>
      </w:r>
      <w:r w:rsidR="00A67C46" w:rsidRPr="00FB0C81">
        <w:rPr>
          <w:rFonts w:asciiTheme="minorBidi" w:hAnsiTheme="minorBidi"/>
          <w:sz w:val="26"/>
          <w:szCs w:val="26"/>
        </w:rPr>
        <w:t>.</w:t>
      </w:r>
      <w:r w:rsidR="00FB0C81">
        <w:rPr>
          <w:rFonts w:asciiTheme="minorBidi" w:hAnsiTheme="minorBidi"/>
          <w:sz w:val="26"/>
          <w:szCs w:val="26"/>
        </w:rPr>
        <w:t xml:space="preserve">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it</m:t>
            </m:r>
          </m:sub>
        </m:sSub>
      </m:oMath>
      <w:r w:rsidR="002D0B51" w:rsidRPr="00FB0C81">
        <w:rPr>
          <w:rFonts w:asciiTheme="minorBidi" w:eastAsiaTheme="minorEastAsia" w:hAnsiTheme="minorBidi"/>
          <w:sz w:val="26"/>
          <w:szCs w:val="26"/>
        </w:rPr>
        <w:t xml:space="preserve"> is wage earned by individual I at time t. </w:t>
      </w:r>
      <m:oMath>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i</m:t>
            </m:r>
          </m:sub>
        </m:sSub>
      </m:oMath>
      <w:r w:rsidR="002D0B51" w:rsidRPr="00FB0C81">
        <w:rPr>
          <w:rFonts w:asciiTheme="minorBidi" w:eastAsiaTheme="minorEastAsia" w:hAnsiTheme="minorBidi"/>
          <w:sz w:val="26"/>
          <w:szCs w:val="26"/>
        </w:rPr>
        <w:t xml:space="preserve"> time invariant characteristic of individual i.</w:t>
      </w:r>
      <w:r w:rsidR="00FB0C81">
        <w:rPr>
          <w:rFonts w:asciiTheme="minorBidi" w:eastAsiaTheme="minorEastAsia" w:hAnsiTheme="minorBidi"/>
          <w:sz w:val="26"/>
          <w:szCs w:val="26"/>
        </w:rPr>
        <w:t xml:space="preserve"> </w:t>
      </w:r>
      <m:oMath>
        <m:sSubSup>
          <m:sSubSupPr>
            <m:ctrlPr>
              <w:rPr>
                <w:rFonts w:ascii="Cambria Math" w:hAnsi="Cambria Math"/>
                <w:i/>
                <w:sz w:val="26"/>
                <w:szCs w:val="26"/>
              </w:rPr>
            </m:ctrlPr>
          </m:sSubSupPr>
          <m:e>
            <m:r>
              <m:rPr>
                <m:sty m:val="p"/>
              </m:rPr>
              <w:rPr>
                <w:rFonts w:ascii="Cambria Math" w:hAnsi="Cambria Math"/>
                <w:sz w:val="26"/>
                <w:szCs w:val="26"/>
              </w:rPr>
              <m:t>Ψ</m:t>
            </m:r>
            <m:ctrlPr>
              <w:rPr>
                <w:rFonts w:ascii="Cambria Math" w:hAnsi="Cambria Math"/>
                <w:sz w:val="26"/>
                <w:szCs w:val="26"/>
              </w:rPr>
            </m:ctrlPr>
          </m:e>
          <m:sub>
            <m:r>
              <w:rPr>
                <w:rFonts w:ascii="Cambria Math" w:hAnsi="Cambria Math"/>
                <w:sz w:val="26"/>
                <w:szCs w:val="26"/>
              </w:rPr>
              <m:t>J</m:t>
            </m:r>
            <m:d>
              <m:dPr>
                <m:ctrlPr>
                  <w:rPr>
                    <w:rFonts w:ascii="Cambria Math" w:hAnsi="Cambria Math"/>
                    <w:i/>
                    <w:sz w:val="26"/>
                    <w:szCs w:val="26"/>
                  </w:rPr>
                </m:ctrlPr>
              </m:dPr>
              <m:e>
                <m:r>
                  <w:rPr>
                    <w:rFonts w:ascii="Cambria Math" w:hAnsi="Cambria Math"/>
                    <w:sz w:val="26"/>
                    <w:szCs w:val="26"/>
                  </w:rPr>
                  <m:t>i,t</m:t>
                </m:r>
              </m:e>
            </m:d>
          </m:sub>
          <m:sup>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i</m:t>
                </m:r>
              </m:e>
            </m:d>
          </m:sup>
        </m:sSubSup>
      </m:oMath>
      <w:r w:rsidRPr="00FB0C81">
        <w:rPr>
          <w:rFonts w:asciiTheme="minorBidi" w:eastAsiaTheme="minorEastAsia" w:hAnsiTheme="minorBidi"/>
          <w:sz w:val="26"/>
          <w:szCs w:val="26"/>
        </w:rPr>
        <w:t xml:space="preserve"> is gender</w:t>
      </w:r>
      <w:r w:rsidR="00A67C46" w:rsidRPr="00FB0C81">
        <w:rPr>
          <w:rFonts w:asciiTheme="minorBidi" w:eastAsiaTheme="minorEastAsia" w:hAnsiTheme="minorBidi"/>
          <w:sz w:val="26"/>
          <w:szCs w:val="26"/>
        </w:rPr>
        <w:t>-</w:t>
      </w:r>
      <w:r w:rsidRPr="00FB0C81">
        <w:rPr>
          <w:rFonts w:asciiTheme="minorBidi" w:eastAsiaTheme="minorEastAsia" w:hAnsiTheme="minorBidi"/>
          <w:sz w:val="26"/>
          <w:szCs w:val="26"/>
        </w:rPr>
        <w:t xml:space="preserve">specific share of surplus </w:t>
      </w:r>
      <w:r w:rsidR="00A67C46" w:rsidRPr="00FB0C81">
        <w:rPr>
          <w:rFonts w:asciiTheme="minorBidi" w:eastAsiaTheme="minorEastAsia" w:hAnsiTheme="minorBidi"/>
          <w:sz w:val="26"/>
          <w:szCs w:val="26"/>
        </w:rPr>
        <w:t xml:space="preserve">that individual i received from </w:t>
      </w:r>
      <w:r w:rsidRPr="00FB0C81">
        <w:rPr>
          <w:rFonts w:asciiTheme="minorBidi" w:eastAsiaTheme="minorEastAsia" w:hAnsiTheme="minorBidi"/>
          <w:sz w:val="26"/>
          <w:szCs w:val="26"/>
        </w:rPr>
        <w:t>time</w:t>
      </w:r>
      <w:r w:rsidR="00514B9B" w:rsidRPr="00FB0C81">
        <w:rPr>
          <w:rFonts w:asciiTheme="minorBidi" w:eastAsiaTheme="minorEastAsia" w:hAnsiTheme="minorBidi"/>
          <w:sz w:val="26"/>
          <w:szCs w:val="26"/>
        </w:rPr>
        <w:t>-</w:t>
      </w:r>
      <w:r w:rsidRPr="00FB0C81">
        <w:rPr>
          <w:rFonts w:asciiTheme="minorBidi" w:eastAsiaTheme="minorEastAsia" w:hAnsiTheme="minorBidi"/>
          <w:sz w:val="26"/>
          <w:szCs w:val="26"/>
        </w:rPr>
        <w:t xml:space="preserve">invariant factor of firm </w:t>
      </w:r>
      <w:r w:rsidR="00A67C46" w:rsidRPr="00FB0C81">
        <w:rPr>
          <w:rFonts w:asciiTheme="minorBidi" w:eastAsiaTheme="minorEastAsia" w:hAnsiTheme="minorBidi"/>
          <w:sz w:val="26"/>
          <w:szCs w:val="26"/>
        </w:rPr>
        <w:t>j that raise average surplus of all</w:t>
      </w:r>
      <w:r w:rsidR="00514B9B" w:rsidRPr="00FB0C81">
        <w:rPr>
          <w:rFonts w:asciiTheme="minorBidi" w:eastAsiaTheme="minorEastAsia" w:hAnsiTheme="minorBidi"/>
          <w:sz w:val="26"/>
          <w:szCs w:val="26"/>
        </w:rPr>
        <w:t xml:space="preserve"> its</w:t>
      </w:r>
      <w:r w:rsidR="00A67C46" w:rsidRPr="00FB0C81">
        <w:rPr>
          <w:rFonts w:asciiTheme="minorBidi" w:eastAsiaTheme="minorEastAsia" w:hAnsiTheme="minorBidi"/>
          <w:sz w:val="26"/>
          <w:szCs w:val="26"/>
        </w:rPr>
        <w:t xml:space="preserve"> employees</w:t>
      </w:r>
      <w:r w:rsidR="00C5470B" w:rsidRPr="00FB0C81">
        <w:rPr>
          <w:rFonts w:asciiTheme="minorBidi" w:eastAsiaTheme="minorEastAsia" w:hAnsiTheme="minorBidi"/>
          <w:sz w:val="26"/>
          <w:szCs w:val="26"/>
        </w:rPr>
        <w:t>; in other words, average pay premium each gender received</w:t>
      </w:r>
      <w:r w:rsidR="00A67C46" w:rsidRPr="00FB0C81">
        <w:rPr>
          <w:rFonts w:asciiTheme="minorBidi" w:eastAsiaTheme="minorEastAsia" w:hAnsiTheme="minorBidi"/>
          <w:sz w:val="26"/>
          <w:szCs w:val="26"/>
        </w:rPr>
        <w:t>.</w:t>
      </w:r>
      <w:r w:rsidR="00CE0B14" w:rsidRPr="00FB0C81">
        <w:rPr>
          <w:rFonts w:asciiTheme="minorBidi" w:eastAsiaTheme="minorEastAsia" w:hAnsiTheme="minorBidi"/>
          <w:sz w:val="26"/>
          <w:szCs w:val="26"/>
        </w:rPr>
        <w:t xml:space="preserve"> </w:t>
      </w:r>
      <w:r w:rsidR="00CB0F5E" w:rsidRPr="00FB0C81">
        <w:rPr>
          <w:rFonts w:asciiTheme="minorBidi" w:eastAsiaTheme="minorEastAsia" w:hAnsiTheme="minorBidi"/>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it</m:t>
            </m:r>
          </m:sub>
        </m:sSub>
      </m:oMath>
      <w:r w:rsidR="00CE0B14" w:rsidRPr="00FB0C81">
        <w:rPr>
          <w:rFonts w:asciiTheme="minorBidi" w:eastAsiaTheme="minorEastAsia" w:hAnsiTheme="minorBidi"/>
          <w:sz w:val="26"/>
          <w:szCs w:val="26"/>
        </w:rPr>
        <w:t xml:space="preserve"> is observed time-varying characteristics.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it</m:t>
            </m:r>
          </m:sub>
        </m:sSub>
      </m:oMath>
      <w:r w:rsidR="002E3E9E" w:rsidRPr="00FB0C81">
        <w:rPr>
          <w:rFonts w:asciiTheme="minorBidi" w:eastAsiaTheme="minorEastAsia" w:hAnsiTheme="minorBidi"/>
          <w:sz w:val="26"/>
          <w:szCs w:val="26"/>
        </w:rPr>
        <w:t xml:space="preserve"> is a composite error</w:t>
      </w:r>
      <w:r w:rsidR="00CB0F5E" w:rsidRPr="00FB0C81">
        <w:rPr>
          <w:rStyle w:val="FootnoteReference"/>
          <w:rFonts w:asciiTheme="minorBidi" w:eastAsiaTheme="minorEastAsia" w:hAnsiTheme="minorBidi"/>
          <w:sz w:val="26"/>
          <w:szCs w:val="26"/>
        </w:rPr>
        <w:footnoteReference w:id="2"/>
      </w:r>
      <w:r w:rsidR="00CB0F5E" w:rsidRPr="00FB0C81">
        <w:rPr>
          <w:rFonts w:asciiTheme="minorBidi" w:eastAsiaTheme="minorEastAsia" w:hAnsiTheme="minorBidi"/>
          <w:sz w:val="26"/>
          <w:szCs w:val="26"/>
        </w:rPr>
        <w:t>.</w:t>
      </w:r>
      <w:r w:rsidR="00FB0C81">
        <w:rPr>
          <w:rFonts w:asciiTheme="minorBidi" w:eastAsiaTheme="minorEastAsia" w:hAnsiTheme="minorBidi"/>
          <w:sz w:val="26"/>
          <w:szCs w:val="26"/>
        </w:rPr>
        <w:t xml:space="preserve"> </w:t>
      </w:r>
      <w:r w:rsidR="00840335" w:rsidRPr="00FB0C81">
        <w:rPr>
          <w:rFonts w:asciiTheme="minorBidi" w:eastAsiaTheme="minorEastAsia" w:hAnsiTheme="minorBidi"/>
          <w:sz w:val="26"/>
          <w:szCs w:val="26"/>
        </w:rPr>
        <w:t xml:space="preserve">Average pay premium, </w:t>
      </w:r>
      <m:oMath>
        <m:sSubSup>
          <m:sSubSupPr>
            <m:ctrlPr>
              <w:rPr>
                <w:rFonts w:ascii="Cambria Math" w:hAnsi="Cambria Math"/>
                <w:i/>
                <w:sz w:val="26"/>
                <w:szCs w:val="26"/>
              </w:rPr>
            </m:ctrlPr>
          </m:sSubSupPr>
          <m:e>
            <m:r>
              <m:rPr>
                <m:sty m:val="p"/>
              </m:rPr>
              <w:rPr>
                <w:rFonts w:ascii="Cambria Math" w:hAnsi="Cambria Math"/>
                <w:sz w:val="26"/>
                <w:szCs w:val="26"/>
              </w:rPr>
              <m:t>Ψ</m:t>
            </m:r>
            <m:ctrlPr>
              <w:rPr>
                <w:rFonts w:ascii="Cambria Math" w:hAnsi="Cambria Math"/>
                <w:sz w:val="26"/>
                <w:szCs w:val="26"/>
              </w:rPr>
            </m:ctrlPr>
          </m:e>
          <m:sub>
            <m:r>
              <w:rPr>
                <w:rFonts w:ascii="Cambria Math" w:hAnsi="Cambria Math"/>
                <w:sz w:val="26"/>
                <w:szCs w:val="26"/>
              </w:rPr>
              <m:t>J</m:t>
            </m:r>
            <m:d>
              <m:dPr>
                <m:ctrlPr>
                  <w:rPr>
                    <w:rFonts w:ascii="Cambria Math" w:hAnsi="Cambria Math"/>
                    <w:i/>
                    <w:sz w:val="26"/>
                    <w:szCs w:val="26"/>
                  </w:rPr>
                </m:ctrlPr>
              </m:dPr>
              <m:e>
                <m:r>
                  <w:rPr>
                    <w:rFonts w:ascii="Cambria Math" w:hAnsi="Cambria Math"/>
                    <w:sz w:val="26"/>
                    <w:szCs w:val="26"/>
                  </w:rPr>
                  <m:t>i,t</m:t>
                </m:r>
              </m:e>
            </m:d>
          </m:sub>
          <m:sup>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i</m:t>
                </m:r>
              </m:e>
            </m:d>
          </m:sup>
        </m:sSubSup>
      </m:oMath>
      <w:r w:rsidR="00840335" w:rsidRPr="00FB0C81">
        <w:rPr>
          <w:rFonts w:asciiTheme="minorBidi" w:eastAsiaTheme="minorEastAsia" w:hAnsiTheme="minorBidi"/>
          <w:sz w:val="26"/>
          <w:szCs w:val="26"/>
        </w:rPr>
        <w:t>, is then decomposed into sorting and bargaining effects via</w:t>
      </w:r>
      <w:r w:rsidR="00C765FF" w:rsidRPr="00FB0C81">
        <w:rPr>
          <w:rFonts w:asciiTheme="minorBidi" w:eastAsiaTheme="minorEastAsia" w:hAnsiTheme="minorBidi"/>
          <w:sz w:val="26"/>
          <w:szCs w:val="26"/>
        </w:rPr>
        <w:t xml:space="preserve"> 3 different methods</w:t>
      </w:r>
      <w:r w:rsidR="00C765FF" w:rsidRPr="00FB0C81">
        <w:rPr>
          <w:rStyle w:val="FootnoteReference"/>
          <w:rFonts w:asciiTheme="minorBidi" w:eastAsiaTheme="minorEastAsia" w:hAnsiTheme="minorBidi"/>
          <w:sz w:val="26"/>
          <w:szCs w:val="26"/>
        </w:rPr>
        <w:footnoteReference w:id="3"/>
      </w:r>
      <w:r w:rsidR="00C765FF" w:rsidRPr="00FB0C81">
        <w:rPr>
          <w:rFonts w:asciiTheme="minorBidi" w:eastAsiaTheme="minorEastAsia" w:hAnsiTheme="minorBidi"/>
          <w:sz w:val="26"/>
          <w:szCs w:val="26"/>
        </w:rPr>
        <w:t xml:space="preserve"> whose result turns out to be similar and all support the validity of the specification.</w:t>
      </w:r>
    </w:p>
    <w:p w14:paraId="43BB7781" w14:textId="3BD8DEC8" w:rsidR="000C68AD" w:rsidRPr="00FB0C81" w:rsidRDefault="000C68AD" w:rsidP="00FB0C81">
      <w:pPr>
        <w:jc w:val="thaiDistribute"/>
        <w:rPr>
          <w:rFonts w:asciiTheme="minorBidi" w:eastAsiaTheme="minorEastAsia" w:hAnsiTheme="minorBidi"/>
          <w:sz w:val="26"/>
          <w:szCs w:val="26"/>
        </w:rPr>
      </w:pPr>
      <w:r w:rsidRPr="00FB0C81">
        <w:rPr>
          <w:rFonts w:asciiTheme="minorBidi" w:eastAsiaTheme="minorEastAsia" w:hAnsiTheme="minorBidi"/>
          <w:sz w:val="26"/>
          <w:szCs w:val="26"/>
        </w:rPr>
        <w:tab/>
        <w:t>Exogeneity is tested and found not to be a problem.</w:t>
      </w:r>
      <w:r w:rsidR="000C6F7D" w:rsidRPr="00FB0C81">
        <w:rPr>
          <w:rFonts w:asciiTheme="minorBidi" w:eastAsiaTheme="minorEastAsia" w:hAnsiTheme="minorBidi"/>
          <w:sz w:val="26"/>
          <w:szCs w:val="26"/>
        </w:rPr>
        <w:t xml:space="preserve"> However, </w:t>
      </w:r>
      <w:r w:rsidR="00C66533" w:rsidRPr="00FB0C81">
        <w:rPr>
          <w:rFonts w:asciiTheme="minorBidi" w:eastAsiaTheme="minorEastAsia" w:hAnsiTheme="minorBidi"/>
          <w:sz w:val="26"/>
          <w:szCs w:val="26"/>
        </w:rPr>
        <w:t>identification issue is still a problem as this type of m</w:t>
      </w:r>
      <w:r w:rsidR="00A105C2">
        <w:rPr>
          <w:rFonts w:asciiTheme="minorBidi" w:eastAsiaTheme="minorEastAsia" w:hAnsiTheme="minorBidi"/>
          <w:sz w:val="26"/>
          <w:szCs w:val="26"/>
        </w:rPr>
        <w:t>o</w:t>
      </w:r>
      <w:bookmarkStart w:id="0" w:name="_GoBack"/>
      <w:bookmarkEnd w:id="0"/>
      <w:r w:rsidR="00C66533" w:rsidRPr="00FB0C81">
        <w:rPr>
          <w:rFonts w:asciiTheme="minorBidi" w:eastAsiaTheme="minorEastAsia" w:hAnsiTheme="minorBidi"/>
          <w:sz w:val="26"/>
          <w:szCs w:val="26"/>
        </w:rPr>
        <w:t xml:space="preserve">del require “connected” firms linked by labor movement. The study then normalized the firm effect by setting the average </w:t>
      </w:r>
      <w:r w:rsidR="00CF663F">
        <w:rPr>
          <w:rFonts w:asciiTheme="minorBidi" w:eastAsiaTheme="minorEastAsia" w:hAnsiTheme="minorBidi"/>
          <w:sz w:val="26"/>
          <w:szCs w:val="26"/>
        </w:rPr>
        <w:lastRenderedPageBreak/>
        <w:t>w</w:t>
      </w:r>
      <w:r w:rsidR="00C66533" w:rsidRPr="00FB0C81">
        <w:rPr>
          <w:rFonts w:asciiTheme="minorBidi" w:eastAsiaTheme="minorEastAsia" w:hAnsiTheme="minorBidi"/>
          <w:sz w:val="26"/>
          <w:szCs w:val="26"/>
        </w:rPr>
        <w:t>age premium for a set of low-surplus firms to zero</w:t>
      </w:r>
      <w:r w:rsidR="00453AE3" w:rsidRPr="00FB0C81">
        <w:rPr>
          <w:rFonts w:asciiTheme="minorBidi" w:eastAsiaTheme="minorEastAsia" w:hAnsiTheme="minorBidi"/>
          <w:sz w:val="26"/>
          <w:szCs w:val="26"/>
        </w:rPr>
        <w:t xml:space="preserve"> which is around 9% of </w:t>
      </w:r>
      <w:r w:rsidR="005D33D5" w:rsidRPr="00FB0C81">
        <w:rPr>
          <w:rFonts w:asciiTheme="minorBidi" w:eastAsiaTheme="minorEastAsia" w:hAnsiTheme="minorBidi"/>
          <w:sz w:val="26"/>
          <w:szCs w:val="26"/>
        </w:rPr>
        <w:t>the data used</w:t>
      </w:r>
      <w:r w:rsidR="00067FD4" w:rsidRPr="00FB0C81">
        <w:rPr>
          <w:rFonts w:asciiTheme="minorBidi" w:eastAsiaTheme="minorEastAsia" w:hAnsiTheme="minorBidi"/>
          <w:sz w:val="26"/>
          <w:szCs w:val="26"/>
        </w:rPr>
        <w:t>, and also crosschecked this with another case that set average wage premium all firms in hotel</w:t>
      </w:r>
      <w:r w:rsidR="003322FE">
        <w:rPr>
          <w:rFonts w:asciiTheme="minorBidi" w:eastAsiaTheme="minorEastAsia" w:hAnsiTheme="minorBidi"/>
          <w:sz w:val="26"/>
          <w:szCs w:val="26"/>
        </w:rPr>
        <w:t xml:space="preserve"> </w:t>
      </w:r>
      <w:r w:rsidR="00067FD4" w:rsidRPr="00FB0C81">
        <w:rPr>
          <w:rFonts w:asciiTheme="minorBidi" w:eastAsiaTheme="minorEastAsia" w:hAnsiTheme="minorBidi"/>
          <w:sz w:val="26"/>
          <w:szCs w:val="26"/>
        </w:rPr>
        <w:t>&amp;</w:t>
      </w:r>
      <w:r w:rsidR="003322FE">
        <w:rPr>
          <w:rFonts w:asciiTheme="minorBidi" w:eastAsiaTheme="minorEastAsia" w:hAnsiTheme="minorBidi"/>
          <w:sz w:val="26"/>
          <w:szCs w:val="26"/>
        </w:rPr>
        <w:t xml:space="preserve"> </w:t>
      </w:r>
      <w:r w:rsidR="00067FD4" w:rsidRPr="00FB0C81">
        <w:rPr>
          <w:rFonts w:asciiTheme="minorBidi" w:eastAsiaTheme="minorEastAsia" w:hAnsiTheme="minorBidi"/>
          <w:sz w:val="26"/>
          <w:szCs w:val="26"/>
        </w:rPr>
        <w:t>restaurant</w:t>
      </w:r>
      <w:r w:rsidR="00AC0B99" w:rsidRPr="00FB0C81">
        <w:rPr>
          <w:rFonts w:asciiTheme="minorBidi" w:eastAsiaTheme="minorEastAsia" w:hAnsiTheme="minorBidi"/>
          <w:sz w:val="26"/>
          <w:szCs w:val="26"/>
        </w:rPr>
        <w:t xml:space="preserve"> (a known low-surplus industry)</w:t>
      </w:r>
      <w:r w:rsidR="00067FD4" w:rsidRPr="00FB0C81">
        <w:rPr>
          <w:rFonts w:asciiTheme="minorBidi" w:eastAsiaTheme="minorEastAsia" w:hAnsiTheme="minorBidi"/>
          <w:sz w:val="26"/>
          <w:szCs w:val="26"/>
        </w:rPr>
        <w:t xml:space="preserve"> to zero.</w:t>
      </w:r>
    </w:p>
    <w:p w14:paraId="045869A4" w14:textId="77777777" w:rsidR="00394936" w:rsidRPr="00FB0C81" w:rsidRDefault="00B70B12" w:rsidP="00FB0C81">
      <w:pPr>
        <w:jc w:val="thaiDistribute"/>
        <w:rPr>
          <w:rFonts w:asciiTheme="minorBidi" w:hAnsiTheme="minorBidi"/>
          <w:sz w:val="26"/>
          <w:szCs w:val="26"/>
        </w:rPr>
      </w:pPr>
      <w:r w:rsidRPr="00FB0C81">
        <w:rPr>
          <w:rFonts w:asciiTheme="minorBidi" w:hAnsiTheme="minorBidi"/>
          <w:sz w:val="26"/>
          <w:szCs w:val="26"/>
        </w:rPr>
        <w:tab/>
      </w:r>
      <w:r w:rsidR="00334118" w:rsidRPr="00FB0C81">
        <w:rPr>
          <w:rFonts w:asciiTheme="minorBidi" w:hAnsiTheme="minorBidi"/>
          <w:sz w:val="26"/>
          <w:szCs w:val="26"/>
        </w:rPr>
        <w:t>The data shows</w:t>
      </w:r>
      <w:r w:rsidRPr="00FB0C81">
        <w:rPr>
          <w:rFonts w:asciiTheme="minorBidi" w:hAnsiTheme="minorBidi"/>
          <w:sz w:val="26"/>
          <w:szCs w:val="26"/>
        </w:rPr>
        <w:t xml:space="preserve"> that women get only</w:t>
      </w:r>
      <w:r w:rsidR="00974EC3" w:rsidRPr="00FB0C81">
        <w:rPr>
          <w:rFonts w:asciiTheme="minorBidi" w:hAnsiTheme="minorBidi"/>
          <w:sz w:val="26"/>
          <w:szCs w:val="26"/>
        </w:rPr>
        <w:t xml:space="preserve"> around</w:t>
      </w:r>
      <w:r w:rsidRPr="00FB0C81">
        <w:rPr>
          <w:rFonts w:asciiTheme="minorBidi" w:hAnsiTheme="minorBidi"/>
          <w:sz w:val="26"/>
          <w:szCs w:val="26"/>
        </w:rPr>
        <w:t xml:space="preserve"> 90% of the wage premium compared to men</w:t>
      </w:r>
      <w:r w:rsidR="00974EC3" w:rsidRPr="00FB0C81">
        <w:rPr>
          <w:rFonts w:asciiTheme="minorBidi" w:hAnsiTheme="minorBidi"/>
          <w:sz w:val="26"/>
          <w:szCs w:val="26"/>
        </w:rPr>
        <w:t>, and women are also more likely work at firms that pay lower premium</w:t>
      </w:r>
      <w:r w:rsidRPr="00FB0C81">
        <w:rPr>
          <w:rFonts w:asciiTheme="minorBidi" w:hAnsiTheme="minorBidi"/>
          <w:sz w:val="26"/>
          <w:szCs w:val="26"/>
        </w:rPr>
        <w:t>.</w:t>
      </w:r>
      <w:r w:rsidR="00974EC3" w:rsidRPr="00FB0C81">
        <w:rPr>
          <w:rFonts w:asciiTheme="minorBidi" w:hAnsiTheme="minorBidi"/>
          <w:sz w:val="26"/>
          <w:szCs w:val="26"/>
        </w:rPr>
        <w:t xml:space="preserve"> These generate gender wage gap. The study found that</w:t>
      </w:r>
      <w:r w:rsidRPr="00FB0C81">
        <w:rPr>
          <w:rFonts w:asciiTheme="minorBidi" w:hAnsiTheme="minorBidi"/>
          <w:sz w:val="26"/>
          <w:szCs w:val="26"/>
        </w:rPr>
        <w:t xml:space="preserve"> </w:t>
      </w:r>
      <w:r w:rsidR="00D07A83" w:rsidRPr="00FB0C81">
        <w:rPr>
          <w:rFonts w:asciiTheme="minorBidi" w:hAnsiTheme="minorBidi"/>
          <w:sz w:val="26"/>
          <w:szCs w:val="26"/>
        </w:rPr>
        <w:t>approximately 15 percent</w:t>
      </w:r>
      <w:r w:rsidR="00974EC3" w:rsidRPr="00FB0C81">
        <w:rPr>
          <w:rFonts w:asciiTheme="minorBidi" w:hAnsiTheme="minorBidi"/>
          <w:sz w:val="26"/>
          <w:szCs w:val="26"/>
        </w:rPr>
        <w:t xml:space="preserve"> of the gap can be attributed to </w:t>
      </w:r>
      <w:r w:rsidR="00D07A83" w:rsidRPr="00FB0C81">
        <w:rPr>
          <w:rFonts w:asciiTheme="minorBidi" w:hAnsiTheme="minorBidi"/>
          <w:sz w:val="26"/>
          <w:szCs w:val="26"/>
        </w:rPr>
        <w:t>sorting effect and another 5 percent to bargaining effects</w:t>
      </w:r>
      <w:r w:rsidRPr="00FB0C81">
        <w:rPr>
          <w:rFonts w:asciiTheme="minorBidi" w:hAnsiTheme="minorBidi"/>
          <w:sz w:val="26"/>
          <w:szCs w:val="26"/>
        </w:rPr>
        <w:t>.</w:t>
      </w:r>
      <w:r w:rsidR="00D07A83" w:rsidRPr="00FB0C81">
        <w:rPr>
          <w:rFonts w:asciiTheme="minorBidi" w:hAnsiTheme="minorBidi"/>
          <w:sz w:val="26"/>
          <w:szCs w:val="26"/>
        </w:rPr>
        <w:t xml:space="preserve"> </w:t>
      </w:r>
      <w:r w:rsidR="00C8353D" w:rsidRPr="00FB0C81">
        <w:rPr>
          <w:rFonts w:asciiTheme="minorBidi" w:hAnsiTheme="minorBidi"/>
          <w:sz w:val="26"/>
          <w:szCs w:val="26"/>
        </w:rPr>
        <w:t xml:space="preserve">The sorting effect is stronger as the workers get older and is more important for less educated workers. In contrast, bargaining effect is larger for workers with high education. </w:t>
      </w:r>
      <w:r w:rsidR="009F3620" w:rsidRPr="00FB0C81">
        <w:rPr>
          <w:rFonts w:asciiTheme="minorBidi" w:hAnsiTheme="minorBidi"/>
          <w:sz w:val="26"/>
          <w:szCs w:val="26"/>
        </w:rPr>
        <w:t xml:space="preserve">These findings are broadly robust to the change in </w:t>
      </w:r>
      <w:r w:rsidR="00394936" w:rsidRPr="00FB0C81">
        <w:rPr>
          <w:rFonts w:asciiTheme="minorBidi" w:hAnsiTheme="minorBidi"/>
          <w:sz w:val="26"/>
          <w:szCs w:val="26"/>
        </w:rPr>
        <w:t>normalization and decomposition techniques.</w:t>
      </w:r>
    </w:p>
    <w:p w14:paraId="6162448B" w14:textId="337A1F9F" w:rsidR="00AC0B99" w:rsidRPr="00FB0C81" w:rsidRDefault="000B55C2" w:rsidP="00FB0C81">
      <w:pPr>
        <w:rPr>
          <w:rFonts w:asciiTheme="minorBidi" w:hAnsiTheme="minorBidi"/>
          <w:sz w:val="26"/>
          <w:szCs w:val="26"/>
        </w:rPr>
      </w:pPr>
      <w:r w:rsidRPr="00FB0C81">
        <w:rPr>
          <w:rFonts w:asciiTheme="minorBidi" w:hAnsiTheme="minorBidi"/>
          <w:sz w:val="26"/>
          <w:szCs w:val="26"/>
        </w:rPr>
        <w:tab/>
      </w:r>
      <w:r w:rsidR="00394936" w:rsidRPr="00FB0C81">
        <w:rPr>
          <w:rFonts w:asciiTheme="minorBidi" w:hAnsiTheme="minorBidi"/>
          <w:sz w:val="26"/>
          <w:szCs w:val="26"/>
        </w:rPr>
        <w:t xml:space="preserve"> </w:t>
      </w:r>
    </w:p>
    <w:sectPr w:rsidR="00AC0B99" w:rsidRPr="00FB0C8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FF616" w14:textId="77777777" w:rsidR="00AB529E" w:rsidRDefault="00AB529E" w:rsidP="00377141">
      <w:pPr>
        <w:spacing w:after="0" w:line="240" w:lineRule="auto"/>
      </w:pPr>
      <w:r>
        <w:separator/>
      </w:r>
    </w:p>
  </w:endnote>
  <w:endnote w:type="continuationSeparator" w:id="0">
    <w:p w14:paraId="32C35719" w14:textId="77777777" w:rsidR="00AB529E" w:rsidRDefault="00AB529E" w:rsidP="0037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B1422" w14:textId="77777777" w:rsidR="00FB0C81" w:rsidRDefault="00FB0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8A749" w14:textId="77777777" w:rsidR="00FB0C81" w:rsidRDefault="00FB0C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3D176" w14:textId="77777777" w:rsidR="00FB0C81" w:rsidRDefault="00FB0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ECE50" w14:textId="77777777" w:rsidR="00AB529E" w:rsidRDefault="00AB529E" w:rsidP="00377141">
      <w:pPr>
        <w:spacing w:after="0" w:line="240" w:lineRule="auto"/>
      </w:pPr>
      <w:r>
        <w:separator/>
      </w:r>
    </w:p>
  </w:footnote>
  <w:footnote w:type="continuationSeparator" w:id="0">
    <w:p w14:paraId="2E9268F3" w14:textId="77777777" w:rsidR="00AB529E" w:rsidRDefault="00AB529E" w:rsidP="00377141">
      <w:pPr>
        <w:spacing w:after="0" w:line="240" w:lineRule="auto"/>
      </w:pPr>
      <w:r>
        <w:continuationSeparator/>
      </w:r>
    </w:p>
  </w:footnote>
  <w:footnote w:id="1">
    <w:p w14:paraId="075C9BDE" w14:textId="088C7884" w:rsidR="00360DBE" w:rsidRPr="00792C89" w:rsidRDefault="00360DBE">
      <w:pPr>
        <w:pStyle w:val="FootnoteText"/>
        <w:rPr>
          <w:rFonts w:asciiTheme="minorBidi" w:hAnsiTheme="minorBidi"/>
          <w:szCs w:val="24"/>
        </w:rPr>
      </w:pPr>
      <w:r w:rsidRPr="00792C89">
        <w:rPr>
          <w:rStyle w:val="FootnoteReference"/>
          <w:rFonts w:asciiTheme="minorBidi" w:hAnsiTheme="minorBidi"/>
          <w:szCs w:val="24"/>
        </w:rPr>
        <w:footnoteRef/>
      </w:r>
      <w:r w:rsidRPr="00792C89">
        <w:rPr>
          <w:rFonts w:asciiTheme="minorBidi" w:hAnsiTheme="minorBidi"/>
          <w:szCs w:val="24"/>
        </w:rPr>
        <w:t xml:space="preserve"> Sistema da Analisis de Balances Ibericos</w:t>
      </w:r>
    </w:p>
  </w:footnote>
  <w:footnote w:id="2">
    <w:p w14:paraId="1072B301" w14:textId="48ACA297" w:rsidR="00CB0F5E" w:rsidRPr="00792C89" w:rsidRDefault="00CB0F5E">
      <w:pPr>
        <w:pStyle w:val="FootnoteText"/>
        <w:rPr>
          <w:rFonts w:asciiTheme="minorBidi" w:hAnsiTheme="minorBidi"/>
          <w:szCs w:val="24"/>
        </w:rPr>
      </w:pPr>
      <w:r w:rsidRPr="00792C89">
        <w:rPr>
          <w:rStyle w:val="FootnoteReference"/>
          <w:rFonts w:asciiTheme="minorBidi" w:hAnsiTheme="minorBidi"/>
          <w:szCs w:val="24"/>
        </w:rPr>
        <w:footnoteRef/>
      </w:r>
      <w:r w:rsidRPr="00792C89">
        <w:rPr>
          <w:rFonts w:asciiTheme="minorBidi" w:hAnsiTheme="minorBidi"/>
          <w:szCs w:val="24"/>
        </w:rPr>
        <w:t xml:space="preserve"> </w:t>
      </w:r>
      <w:r w:rsidR="00A82EB0" w:rsidRPr="00792C89">
        <w:rPr>
          <w:rFonts w:asciiTheme="minorBidi" w:hAnsiTheme="minorBidi"/>
          <w:szCs w:val="24"/>
        </w:rPr>
        <w:t xml:space="preserve">Consists of the product of </w:t>
      </w:r>
      <w:r w:rsidR="00934A1D" w:rsidRPr="00792C89">
        <w:rPr>
          <w:rFonts w:asciiTheme="minorBidi" w:hAnsiTheme="minorBidi"/>
          <w:szCs w:val="24"/>
        </w:rPr>
        <w:t>(</w:t>
      </w:r>
      <w:r w:rsidR="00A82EB0" w:rsidRPr="00792C89">
        <w:rPr>
          <w:rFonts w:asciiTheme="minorBidi" w:hAnsiTheme="minorBidi"/>
          <w:szCs w:val="24"/>
        </w:rPr>
        <w:t>gender-specific share of surplus</w:t>
      </w:r>
      <w:r w:rsidR="00934A1D" w:rsidRPr="00792C89">
        <w:rPr>
          <w:rFonts w:asciiTheme="minorBidi" w:hAnsiTheme="minorBidi"/>
          <w:szCs w:val="24"/>
        </w:rPr>
        <w:t>)</w:t>
      </w:r>
      <w:r w:rsidR="00A82EB0" w:rsidRPr="00792C89">
        <w:rPr>
          <w:rFonts w:asciiTheme="minorBidi" w:hAnsiTheme="minorBidi"/>
          <w:szCs w:val="24"/>
        </w:rPr>
        <w:t xml:space="preserve"> </w:t>
      </w:r>
      <w:r w:rsidR="00934A1D" w:rsidRPr="00792C89">
        <w:rPr>
          <w:rFonts w:asciiTheme="minorBidi" w:hAnsiTheme="minorBidi"/>
          <w:szCs w:val="24"/>
        </w:rPr>
        <w:t>* (</w:t>
      </w:r>
      <w:r w:rsidR="00A82EB0" w:rsidRPr="00792C89">
        <w:rPr>
          <w:rFonts w:asciiTheme="minorBidi" w:hAnsiTheme="minorBidi"/>
          <w:szCs w:val="24"/>
        </w:rPr>
        <w:t xml:space="preserve">time-varying facors that affect firm j average surplus </w:t>
      </w:r>
      <w:r w:rsidR="00934A1D" w:rsidRPr="00792C89">
        <w:rPr>
          <w:rFonts w:asciiTheme="minorBidi" w:hAnsiTheme="minorBidi"/>
          <w:szCs w:val="24"/>
        </w:rPr>
        <w:t>+ person specific component of surpluc between inidividual I and firm j)</w:t>
      </w:r>
    </w:p>
  </w:footnote>
  <w:footnote w:id="3">
    <w:p w14:paraId="656F2861" w14:textId="017F8C82" w:rsidR="00C765FF" w:rsidRPr="00792C89" w:rsidRDefault="00C765FF">
      <w:pPr>
        <w:pStyle w:val="FootnoteText"/>
        <w:rPr>
          <w:rFonts w:asciiTheme="minorBidi" w:hAnsiTheme="minorBidi"/>
          <w:szCs w:val="24"/>
        </w:rPr>
      </w:pPr>
      <w:r w:rsidRPr="00792C89">
        <w:rPr>
          <w:rStyle w:val="FootnoteReference"/>
          <w:rFonts w:asciiTheme="minorBidi" w:hAnsiTheme="minorBidi"/>
          <w:szCs w:val="24"/>
        </w:rPr>
        <w:footnoteRef/>
      </w:r>
      <w:r w:rsidRPr="00792C89">
        <w:rPr>
          <w:rFonts w:asciiTheme="minorBidi" w:hAnsiTheme="minorBidi"/>
          <w:szCs w:val="24"/>
        </w:rPr>
        <w:t xml:space="preserve"> 1) Decompose the difference in pay premium into </w:t>
      </w:r>
      <w:r w:rsidR="00AC1D85" w:rsidRPr="00792C89">
        <w:rPr>
          <w:rFonts w:asciiTheme="minorBidi" w:hAnsiTheme="minorBidi"/>
          <w:szCs w:val="24"/>
        </w:rPr>
        <w:t>average bargaing power effect and average sorting efftct</w:t>
      </w:r>
    </w:p>
    <w:p w14:paraId="153E13B2" w14:textId="3614320F" w:rsidR="00AC1D85" w:rsidRPr="00792C89" w:rsidRDefault="00AC1D85">
      <w:pPr>
        <w:pStyle w:val="FootnoteText"/>
        <w:rPr>
          <w:rFonts w:asciiTheme="minorBidi" w:hAnsiTheme="minorBidi"/>
          <w:szCs w:val="24"/>
        </w:rPr>
      </w:pPr>
      <w:r w:rsidRPr="00792C89">
        <w:rPr>
          <w:rFonts w:asciiTheme="minorBidi" w:hAnsiTheme="minorBidi"/>
          <w:szCs w:val="24"/>
        </w:rPr>
        <w:t xml:space="preserve">   2) Examine how estimated wage premiums of a firm vary with the measured surplus per worker</w:t>
      </w:r>
    </w:p>
    <w:p w14:paraId="3FD13B7F" w14:textId="23D962E2" w:rsidR="00AC1D85" w:rsidRDefault="00AC1D85">
      <w:pPr>
        <w:pStyle w:val="FootnoteText"/>
      </w:pPr>
      <w:r w:rsidRPr="00792C89">
        <w:rPr>
          <w:rFonts w:asciiTheme="minorBidi" w:hAnsiTheme="minorBidi"/>
          <w:szCs w:val="24"/>
        </w:rPr>
        <w:t xml:space="preserve">   3) Looking at within-firm changes in wages and measured surplus overtime</w:t>
      </w:r>
      <w:r w:rsidRPr="00792C89">
        <w:rPr>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7D2B" w14:textId="77777777" w:rsidR="00FB0C81" w:rsidRDefault="00FB0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B208" w14:textId="58CF879F" w:rsidR="00BF7A61" w:rsidRPr="00FB0C81" w:rsidRDefault="00BF7A61" w:rsidP="00BF7A61">
    <w:pPr>
      <w:pStyle w:val="Header"/>
      <w:jc w:val="right"/>
      <w:rPr>
        <w:rFonts w:asciiTheme="minorBidi" w:hAnsiTheme="minorBidi"/>
        <w:b/>
        <w:bCs/>
        <w:szCs w:val="28"/>
      </w:rPr>
    </w:pPr>
    <w:r w:rsidRPr="00FB0C81">
      <w:rPr>
        <w:rFonts w:asciiTheme="minorBidi" w:hAnsiTheme="minorBidi"/>
        <w:b/>
        <w:bCs/>
        <w:szCs w:val="28"/>
      </w:rPr>
      <w:t>Promvarat Pradit</w:t>
    </w:r>
  </w:p>
  <w:p w14:paraId="2C92B156" w14:textId="04AE99CE" w:rsidR="00BF7A61" w:rsidRPr="00FB0C81" w:rsidRDefault="00BF7A61" w:rsidP="00BF7A61">
    <w:pPr>
      <w:pStyle w:val="Header"/>
      <w:jc w:val="right"/>
      <w:rPr>
        <w:rFonts w:asciiTheme="minorBidi" w:hAnsiTheme="minorBidi"/>
        <w:b/>
        <w:bCs/>
        <w:szCs w:val="28"/>
      </w:rPr>
    </w:pPr>
    <w:r w:rsidRPr="00FB0C81">
      <w:rPr>
        <w:rFonts w:asciiTheme="minorBidi" w:hAnsiTheme="minorBidi"/>
        <w:b/>
        <w:bCs/>
        <w:szCs w:val="28"/>
      </w:rPr>
      <w:t>PP164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280AC" w14:textId="77777777" w:rsidR="00FB0C81" w:rsidRDefault="00FB0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23A"/>
    <w:multiLevelType w:val="hybridMultilevel"/>
    <w:tmpl w:val="2B7208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008D0"/>
    <w:multiLevelType w:val="hybridMultilevel"/>
    <w:tmpl w:val="733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665"/>
    <w:multiLevelType w:val="hybridMultilevel"/>
    <w:tmpl w:val="4F5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24"/>
    <w:rsid w:val="00003F49"/>
    <w:rsid w:val="00014EF8"/>
    <w:rsid w:val="00043C1C"/>
    <w:rsid w:val="00053F15"/>
    <w:rsid w:val="0006001D"/>
    <w:rsid w:val="000601E7"/>
    <w:rsid w:val="00067FD4"/>
    <w:rsid w:val="00075A73"/>
    <w:rsid w:val="00075EE7"/>
    <w:rsid w:val="000800A5"/>
    <w:rsid w:val="0009557F"/>
    <w:rsid w:val="000B55C2"/>
    <w:rsid w:val="000C68AD"/>
    <w:rsid w:val="000C6F7D"/>
    <w:rsid w:val="000E0A1C"/>
    <w:rsid w:val="0012530D"/>
    <w:rsid w:val="00140EDC"/>
    <w:rsid w:val="00151A0E"/>
    <w:rsid w:val="00153C8F"/>
    <w:rsid w:val="0017149C"/>
    <w:rsid w:val="00175260"/>
    <w:rsid w:val="00180545"/>
    <w:rsid w:val="0019690E"/>
    <w:rsid w:val="001F17BD"/>
    <w:rsid w:val="00247C3A"/>
    <w:rsid w:val="0025311A"/>
    <w:rsid w:val="002562D0"/>
    <w:rsid w:val="002639CC"/>
    <w:rsid w:val="00267A57"/>
    <w:rsid w:val="002D0B51"/>
    <w:rsid w:val="002E3E9E"/>
    <w:rsid w:val="00304EA4"/>
    <w:rsid w:val="00330CCD"/>
    <w:rsid w:val="003322FE"/>
    <w:rsid w:val="00334118"/>
    <w:rsid w:val="0035255C"/>
    <w:rsid w:val="003607C7"/>
    <w:rsid w:val="00360DBE"/>
    <w:rsid w:val="00377141"/>
    <w:rsid w:val="00390808"/>
    <w:rsid w:val="00394936"/>
    <w:rsid w:val="003D1E5C"/>
    <w:rsid w:val="003E2877"/>
    <w:rsid w:val="003F16F9"/>
    <w:rsid w:val="003F6E15"/>
    <w:rsid w:val="004425E3"/>
    <w:rsid w:val="00453AE3"/>
    <w:rsid w:val="004A2B7F"/>
    <w:rsid w:val="004B40DD"/>
    <w:rsid w:val="004C1539"/>
    <w:rsid w:val="004C6410"/>
    <w:rsid w:val="004D4792"/>
    <w:rsid w:val="004E2BEB"/>
    <w:rsid w:val="004F7FA3"/>
    <w:rsid w:val="00511B9B"/>
    <w:rsid w:val="00514B9B"/>
    <w:rsid w:val="00520402"/>
    <w:rsid w:val="00522CA8"/>
    <w:rsid w:val="00541F91"/>
    <w:rsid w:val="00555976"/>
    <w:rsid w:val="00567B4A"/>
    <w:rsid w:val="00590124"/>
    <w:rsid w:val="005A6229"/>
    <w:rsid w:val="005B28A1"/>
    <w:rsid w:val="005C63F7"/>
    <w:rsid w:val="005D33D5"/>
    <w:rsid w:val="00610FDA"/>
    <w:rsid w:val="00613B05"/>
    <w:rsid w:val="00635178"/>
    <w:rsid w:val="0069084C"/>
    <w:rsid w:val="00695876"/>
    <w:rsid w:val="006963FB"/>
    <w:rsid w:val="0069731E"/>
    <w:rsid w:val="006A76CA"/>
    <w:rsid w:val="006B0B78"/>
    <w:rsid w:val="006C00A2"/>
    <w:rsid w:val="006D12CD"/>
    <w:rsid w:val="006D28FF"/>
    <w:rsid w:val="006E4322"/>
    <w:rsid w:val="00706EC2"/>
    <w:rsid w:val="007075BE"/>
    <w:rsid w:val="007222DD"/>
    <w:rsid w:val="007345FB"/>
    <w:rsid w:val="00734D1B"/>
    <w:rsid w:val="00735AB6"/>
    <w:rsid w:val="0074508F"/>
    <w:rsid w:val="00754391"/>
    <w:rsid w:val="007553C8"/>
    <w:rsid w:val="00761A89"/>
    <w:rsid w:val="00765AF1"/>
    <w:rsid w:val="007835E7"/>
    <w:rsid w:val="00792C89"/>
    <w:rsid w:val="00792DDF"/>
    <w:rsid w:val="007A5A1C"/>
    <w:rsid w:val="007B276A"/>
    <w:rsid w:val="007B5BF2"/>
    <w:rsid w:val="007C0FC3"/>
    <w:rsid w:val="007D2D2C"/>
    <w:rsid w:val="007F0009"/>
    <w:rsid w:val="00800053"/>
    <w:rsid w:val="00811B31"/>
    <w:rsid w:val="00835752"/>
    <w:rsid w:val="00840335"/>
    <w:rsid w:val="008416AC"/>
    <w:rsid w:val="008570A0"/>
    <w:rsid w:val="00860067"/>
    <w:rsid w:val="00866131"/>
    <w:rsid w:val="00880691"/>
    <w:rsid w:val="00886CFA"/>
    <w:rsid w:val="00896AEF"/>
    <w:rsid w:val="008A2F5C"/>
    <w:rsid w:val="008B04BE"/>
    <w:rsid w:val="008B4D55"/>
    <w:rsid w:val="008C4ECA"/>
    <w:rsid w:val="008C601A"/>
    <w:rsid w:val="008D12DD"/>
    <w:rsid w:val="008E012C"/>
    <w:rsid w:val="008E5F5A"/>
    <w:rsid w:val="008F13F3"/>
    <w:rsid w:val="00917DDD"/>
    <w:rsid w:val="00934A1D"/>
    <w:rsid w:val="00943724"/>
    <w:rsid w:val="00963543"/>
    <w:rsid w:val="00974EC3"/>
    <w:rsid w:val="00984A3B"/>
    <w:rsid w:val="00992FD0"/>
    <w:rsid w:val="009B126E"/>
    <w:rsid w:val="009B69E3"/>
    <w:rsid w:val="009C3872"/>
    <w:rsid w:val="009C6693"/>
    <w:rsid w:val="009D3525"/>
    <w:rsid w:val="009F3620"/>
    <w:rsid w:val="00A069A5"/>
    <w:rsid w:val="00A102C9"/>
    <w:rsid w:val="00A105C2"/>
    <w:rsid w:val="00A253F8"/>
    <w:rsid w:val="00A27E35"/>
    <w:rsid w:val="00A60BFF"/>
    <w:rsid w:val="00A67C46"/>
    <w:rsid w:val="00A67FFB"/>
    <w:rsid w:val="00A82EB0"/>
    <w:rsid w:val="00A90286"/>
    <w:rsid w:val="00AB3862"/>
    <w:rsid w:val="00AB529E"/>
    <w:rsid w:val="00AC0B99"/>
    <w:rsid w:val="00AC1D85"/>
    <w:rsid w:val="00AC6935"/>
    <w:rsid w:val="00AE4AD3"/>
    <w:rsid w:val="00B01196"/>
    <w:rsid w:val="00B2510E"/>
    <w:rsid w:val="00B30BB7"/>
    <w:rsid w:val="00B3236A"/>
    <w:rsid w:val="00B35A0B"/>
    <w:rsid w:val="00B40D78"/>
    <w:rsid w:val="00B65DEF"/>
    <w:rsid w:val="00B70B12"/>
    <w:rsid w:val="00B768E2"/>
    <w:rsid w:val="00B94B27"/>
    <w:rsid w:val="00B955F7"/>
    <w:rsid w:val="00BA1BF8"/>
    <w:rsid w:val="00BA4F3D"/>
    <w:rsid w:val="00BA7549"/>
    <w:rsid w:val="00BB4C44"/>
    <w:rsid w:val="00BE0413"/>
    <w:rsid w:val="00BF028E"/>
    <w:rsid w:val="00BF0589"/>
    <w:rsid w:val="00BF164B"/>
    <w:rsid w:val="00BF7A61"/>
    <w:rsid w:val="00C034F7"/>
    <w:rsid w:val="00C06D84"/>
    <w:rsid w:val="00C16CD1"/>
    <w:rsid w:val="00C245ED"/>
    <w:rsid w:val="00C51E5C"/>
    <w:rsid w:val="00C5470B"/>
    <w:rsid w:val="00C66533"/>
    <w:rsid w:val="00C765FF"/>
    <w:rsid w:val="00C8353D"/>
    <w:rsid w:val="00C87B64"/>
    <w:rsid w:val="00CA65B9"/>
    <w:rsid w:val="00CB0F5E"/>
    <w:rsid w:val="00CD0691"/>
    <w:rsid w:val="00CE0B14"/>
    <w:rsid w:val="00CE7DED"/>
    <w:rsid w:val="00CF1C82"/>
    <w:rsid w:val="00CF41F0"/>
    <w:rsid w:val="00CF663F"/>
    <w:rsid w:val="00D07A83"/>
    <w:rsid w:val="00D22622"/>
    <w:rsid w:val="00D42D63"/>
    <w:rsid w:val="00D52875"/>
    <w:rsid w:val="00D54805"/>
    <w:rsid w:val="00D658F9"/>
    <w:rsid w:val="00D66E4A"/>
    <w:rsid w:val="00D90FE2"/>
    <w:rsid w:val="00DF4E3A"/>
    <w:rsid w:val="00DF53AD"/>
    <w:rsid w:val="00E15B12"/>
    <w:rsid w:val="00E45D1F"/>
    <w:rsid w:val="00E51EDA"/>
    <w:rsid w:val="00E56A20"/>
    <w:rsid w:val="00E66BD5"/>
    <w:rsid w:val="00E7147B"/>
    <w:rsid w:val="00E723B2"/>
    <w:rsid w:val="00E7289D"/>
    <w:rsid w:val="00E809B9"/>
    <w:rsid w:val="00E85E57"/>
    <w:rsid w:val="00EB76D0"/>
    <w:rsid w:val="00EC1C57"/>
    <w:rsid w:val="00EC59CF"/>
    <w:rsid w:val="00EE178E"/>
    <w:rsid w:val="00EF0961"/>
    <w:rsid w:val="00EF14E3"/>
    <w:rsid w:val="00EF2948"/>
    <w:rsid w:val="00F142B1"/>
    <w:rsid w:val="00F1603C"/>
    <w:rsid w:val="00F3245F"/>
    <w:rsid w:val="00F37BB3"/>
    <w:rsid w:val="00F44417"/>
    <w:rsid w:val="00F90B07"/>
    <w:rsid w:val="00F90EB7"/>
    <w:rsid w:val="00FA4FE1"/>
    <w:rsid w:val="00FA6441"/>
    <w:rsid w:val="00FA6AF7"/>
    <w:rsid w:val="00FA78CA"/>
    <w:rsid w:val="00FB0C81"/>
    <w:rsid w:val="00FE13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D644"/>
  <w15:chartTrackingRefBased/>
  <w15:docId w15:val="{2DC81C61-B8C2-4687-BC72-58C6718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FA"/>
    <w:rPr>
      <w:noProof/>
      <w:sz w:val="28"/>
    </w:rPr>
  </w:style>
  <w:style w:type="paragraph" w:styleId="Heading1">
    <w:name w:val="heading 1"/>
    <w:basedOn w:val="Normal"/>
    <w:next w:val="Normal"/>
    <w:link w:val="Heading1Char"/>
    <w:uiPriority w:val="9"/>
    <w:qFormat/>
    <w:rsid w:val="00E7289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24"/>
    <w:pPr>
      <w:ind w:left="720"/>
      <w:contextualSpacing/>
    </w:pPr>
  </w:style>
  <w:style w:type="character" w:customStyle="1" w:styleId="Heading1Char">
    <w:name w:val="Heading 1 Char"/>
    <w:basedOn w:val="DefaultParagraphFont"/>
    <w:link w:val="Heading1"/>
    <w:uiPriority w:val="9"/>
    <w:rsid w:val="00E7289D"/>
    <w:rPr>
      <w:rFonts w:asciiTheme="majorHAnsi" w:eastAsiaTheme="majorEastAsia" w:hAnsiTheme="majorHAnsi" w:cstheme="majorBidi"/>
      <w:noProof/>
      <w:color w:val="2F5496" w:themeColor="accent1" w:themeShade="BF"/>
      <w:sz w:val="32"/>
      <w:szCs w:val="40"/>
    </w:rPr>
  </w:style>
  <w:style w:type="paragraph" w:styleId="FootnoteText">
    <w:name w:val="footnote text"/>
    <w:basedOn w:val="Normal"/>
    <w:link w:val="FootnoteTextChar"/>
    <w:uiPriority w:val="99"/>
    <w:semiHidden/>
    <w:unhideWhenUsed/>
    <w:rsid w:val="0037714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377141"/>
    <w:rPr>
      <w:noProof/>
      <w:sz w:val="20"/>
      <w:szCs w:val="25"/>
    </w:rPr>
  </w:style>
  <w:style w:type="character" w:styleId="FootnoteReference">
    <w:name w:val="footnote reference"/>
    <w:basedOn w:val="DefaultParagraphFont"/>
    <w:uiPriority w:val="99"/>
    <w:semiHidden/>
    <w:unhideWhenUsed/>
    <w:rsid w:val="00377141"/>
    <w:rPr>
      <w:vertAlign w:val="superscript"/>
    </w:rPr>
  </w:style>
  <w:style w:type="paragraph" w:styleId="Header">
    <w:name w:val="header"/>
    <w:basedOn w:val="Normal"/>
    <w:link w:val="HeaderChar"/>
    <w:uiPriority w:val="99"/>
    <w:unhideWhenUsed/>
    <w:rsid w:val="0006001D"/>
    <w:pPr>
      <w:tabs>
        <w:tab w:val="center" w:pos="4680"/>
        <w:tab w:val="right" w:pos="9360"/>
      </w:tabs>
      <w:spacing w:after="0" w:line="240" w:lineRule="auto"/>
    </w:pPr>
    <w:rPr>
      <w:szCs w:val="35"/>
    </w:rPr>
  </w:style>
  <w:style w:type="character" w:customStyle="1" w:styleId="HeaderChar">
    <w:name w:val="Header Char"/>
    <w:basedOn w:val="DefaultParagraphFont"/>
    <w:link w:val="Header"/>
    <w:uiPriority w:val="99"/>
    <w:rsid w:val="0006001D"/>
    <w:rPr>
      <w:noProof/>
      <w:sz w:val="28"/>
      <w:szCs w:val="35"/>
    </w:rPr>
  </w:style>
  <w:style w:type="paragraph" w:styleId="Footer">
    <w:name w:val="footer"/>
    <w:basedOn w:val="Normal"/>
    <w:link w:val="FooterChar"/>
    <w:uiPriority w:val="99"/>
    <w:unhideWhenUsed/>
    <w:rsid w:val="0006001D"/>
    <w:pPr>
      <w:tabs>
        <w:tab w:val="center" w:pos="4680"/>
        <w:tab w:val="right" w:pos="9360"/>
      </w:tabs>
      <w:spacing w:after="0" w:line="240" w:lineRule="auto"/>
    </w:pPr>
    <w:rPr>
      <w:szCs w:val="35"/>
    </w:rPr>
  </w:style>
  <w:style w:type="character" w:customStyle="1" w:styleId="FooterChar">
    <w:name w:val="Footer Char"/>
    <w:basedOn w:val="DefaultParagraphFont"/>
    <w:link w:val="Footer"/>
    <w:uiPriority w:val="99"/>
    <w:rsid w:val="0006001D"/>
    <w:rPr>
      <w:noProof/>
      <w:sz w:val="28"/>
      <w:szCs w:val="35"/>
    </w:rPr>
  </w:style>
  <w:style w:type="character" w:styleId="PlaceholderText">
    <w:name w:val="Placeholder Text"/>
    <w:basedOn w:val="DefaultParagraphFont"/>
    <w:uiPriority w:val="99"/>
    <w:semiHidden/>
    <w:rsid w:val="00CE7D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83491">
      <w:bodyDiv w:val="1"/>
      <w:marLeft w:val="0"/>
      <w:marRight w:val="0"/>
      <w:marTop w:val="0"/>
      <w:marBottom w:val="0"/>
      <w:divBdr>
        <w:top w:val="none" w:sz="0" w:space="0" w:color="auto"/>
        <w:left w:val="none" w:sz="0" w:space="0" w:color="auto"/>
        <w:bottom w:val="none" w:sz="0" w:space="0" w:color="auto"/>
        <w:right w:val="none" w:sz="0" w:space="0" w:color="auto"/>
      </w:divBdr>
    </w:div>
    <w:div w:id="1656452226">
      <w:bodyDiv w:val="1"/>
      <w:marLeft w:val="0"/>
      <w:marRight w:val="0"/>
      <w:marTop w:val="0"/>
      <w:marBottom w:val="0"/>
      <w:divBdr>
        <w:top w:val="none" w:sz="0" w:space="0" w:color="auto"/>
        <w:left w:val="none" w:sz="0" w:space="0" w:color="auto"/>
        <w:bottom w:val="none" w:sz="0" w:space="0" w:color="auto"/>
        <w:right w:val="none" w:sz="0" w:space="0" w:color="auto"/>
      </w:divBdr>
    </w:div>
    <w:div w:id="182793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Azm17</b:Tag>
    <b:SourceType>JournalArticle</b:SourceType>
    <b:Guid>{EE115413-3E04-4EE2-B7CE-D19105747B5C}</b:Guid>
    <b:Title>Gender Gaps in Performance: Evidence from Young Lawyers</b:Title>
    <b:JournalName>Journal of Political Economy</b:JournalName>
    <b:Year>2017</b:Year>
    <b:Pages>1306 - 1355</b:Pages>
    <b:Author>
      <b:Author>
        <b:NameList>
          <b:Person>
            <b:Last>Azmat</b:Last>
            <b:First>Ghazala</b:First>
          </b:Person>
          <b:Person>
            <b:Last>Ferrer</b:Last>
            <b:First>Rosa</b:First>
          </b:Person>
        </b:NameList>
      </b:Author>
    </b:Author>
    <b:Volume>125</b:Volume>
    <b:Issue>5</b:Issue>
    <b:RefOrder>2</b:RefOrder>
  </b:Source>
  <b:Source>
    <b:Tag>Car15</b:Tag>
    <b:SourceType>JournalArticle</b:SourceType>
    <b:Guid>{BBB70472-F29A-4FB2-BA02-3985E6251B05}</b:Guid>
    <b:Title>Bargaining, Sorting, and the Gender Wage Gap: Quantifying the Impact of Firms on the Relative Pay of Women</b:Title>
    <b:JournalName>NBER Working Paper No. 21403</b:JournalName>
    <b:Year>2015</b:Year>
    <b:Author>
      <b:Author>
        <b:NameList>
          <b:Person>
            <b:Last>Card</b:Last>
            <b:First>David</b:First>
          </b:Person>
          <b:Person>
            <b:Last>Cardoso</b:Last>
            <b:Middle>Rute </b:Middle>
            <b:First>Ana </b:First>
          </b:Person>
          <b:Person>
            <b:Last>Kline</b:Last>
            <b:First>Patrick </b:First>
          </b:Person>
        </b:NameList>
      </b:Author>
    </b:Author>
    <b:RefOrder>1</b:RefOrder>
  </b:Source>
</b:Sources>
</file>

<file path=customXml/itemProps1.xml><?xml version="1.0" encoding="utf-8"?>
<ds:datastoreItem xmlns:ds="http://schemas.openxmlformats.org/officeDocument/2006/customXml" ds:itemID="{7862A01F-2803-40CC-88AA-5829D542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Promvarat Pradit</dc:creator>
  <cp:keywords/>
  <dc:description/>
  <cp:lastModifiedBy>Promvarat Pradit</cp:lastModifiedBy>
  <cp:revision>8</cp:revision>
  <dcterms:created xsi:type="dcterms:W3CDTF">2019-04-13T22:50:00Z</dcterms:created>
  <dcterms:modified xsi:type="dcterms:W3CDTF">2019-04-19T00:57:00Z</dcterms:modified>
</cp:coreProperties>
</file>