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15C8C" w14:textId="3A44C65E" w:rsidR="00943724" w:rsidRDefault="006C4BF6" w:rsidP="006C4BF6">
      <w:pPr>
        <w:pStyle w:val="Heading1"/>
        <w:spacing w:line="360" w:lineRule="auto"/>
        <w:rPr>
          <w:rFonts w:asciiTheme="minorBidi" w:hAnsiTheme="minorBidi" w:cstheme="minorBidi"/>
        </w:rPr>
      </w:pPr>
      <w:r w:rsidRPr="00042FBF">
        <w:rPr>
          <w:rFonts w:asciiTheme="minorBidi" w:hAnsiTheme="minorBidi" w:cstheme="minorBidi"/>
        </w:rPr>
        <w:t xml:space="preserve">Selection, Investment, and Women's Relative Wages over Time </w:t>
      </w:r>
      <w:sdt>
        <w:sdtPr>
          <w:rPr>
            <w:rFonts w:asciiTheme="minorBidi" w:hAnsiTheme="minorBidi" w:cstheme="minorBidi"/>
          </w:rPr>
          <w:id w:val="628754680"/>
          <w:citation/>
        </w:sdtPr>
        <w:sdtEndPr/>
        <w:sdtContent>
          <w:r w:rsidRPr="00042FBF">
            <w:rPr>
              <w:rFonts w:asciiTheme="minorBidi" w:hAnsiTheme="minorBidi" w:cstheme="minorBidi"/>
            </w:rPr>
            <w:fldChar w:fldCharType="begin"/>
          </w:r>
          <w:r w:rsidRPr="00042FBF">
            <w:rPr>
              <w:rFonts w:asciiTheme="minorBidi" w:hAnsiTheme="minorBidi" w:cstheme="minorBidi"/>
            </w:rPr>
            <w:instrText xml:space="preserve"> CITATION Mul08 \l 1033 </w:instrText>
          </w:r>
          <w:r w:rsidRPr="00042FBF">
            <w:rPr>
              <w:rFonts w:asciiTheme="minorBidi" w:hAnsiTheme="minorBidi" w:cstheme="minorBidi"/>
            </w:rPr>
            <w:fldChar w:fldCharType="separate"/>
          </w:r>
          <w:r w:rsidRPr="00042FBF">
            <w:rPr>
              <w:rFonts w:asciiTheme="minorBidi" w:hAnsiTheme="minorBidi" w:cstheme="minorBidi"/>
            </w:rPr>
            <w:t>(Mulligan &amp; Rubinstein, 2008)</w:t>
          </w:r>
          <w:r w:rsidRPr="00042FBF">
            <w:rPr>
              <w:rFonts w:asciiTheme="minorBidi" w:hAnsiTheme="minorBidi" w:cstheme="minorBidi"/>
            </w:rPr>
            <w:fldChar w:fldCharType="end"/>
          </w:r>
        </w:sdtContent>
      </w:sdt>
    </w:p>
    <w:p w14:paraId="71A59F6F" w14:textId="77777777" w:rsidR="006B7878" w:rsidRPr="006B7878" w:rsidRDefault="00C41C75" w:rsidP="006B7878">
      <w:pPr>
        <w:jc w:val="thaiDistribute"/>
        <w:rPr>
          <w:rFonts w:asciiTheme="minorBidi" w:hAnsiTheme="minorBidi"/>
          <w:sz w:val="26"/>
          <w:szCs w:val="26"/>
        </w:rPr>
      </w:pPr>
      <w:r>
        <w:rPr>
          <w:rFonts w:asciiTheme="minorBidi" w:hAnsiTheme="minorBidi"/>
          <w:sz w:val="26"/>
          <w:szCs w:val="26"/>
        </w:rPr>
        <w:tab/>
      </w:r>
      <w:r w:rsidR="006B7878" w:rsidRPr="006B7878">
        <w:rPr>
          <w:rFonts w:asciiTheme="minorBidi" w:hAnsiTheme="minorBidi"/>
          <w:sz w:val="26"/>
          <w:szCs w:val="26"/>
        </w:rPr>
        <w:t>During 1970s through 1990s period, gender wage gap diminished substantially, at the same time, however, within gender wage gap grew rapidly. Previous literatures have concluded this event is coincidental. Nonetheless, This paper proposes one possible explanation that this was the result from the change in women labor force. Growing relative wage (women to men) increased the opportunity cost of women with higher human capital, and growing within gender inequality lowered the return for women with low human capital. As a consequent, women with high human capital entered the labor market and those with low human capital drop out. The paper examine this selection effect with three empirical approaches: 1) exploring nonwage evidence 2) Heckman's two step estimator and 3) identification at infinity method.</w:t>
      </w:r>
    </w:p>
    <w:p w14:paraId="79E25DBB" w14:textId="77777777" w:rsidR="006B7878" w:rsidRPr="006B7878" w:rsidRDefault="006B7878" w:rsidP="006B7878">
      <w:pPr>
        <w:jc w:val="thaiDistribute"/>
        <w:rPr>
          <w:rFonts w:asciiTheme="minorBidi" w:hAnsiTheme="minorBidi"/>
          <w:sz w:val="26"/>
          <w:szCs w:val="26"/>
        </w:rPr>
      </w:pPr>
      <w:r w:rsidRPr="006B7878">
        <w:rPr>
          <w:rFonts w:asciiTheme="minorBidi" w:hAnsiTheme="minorBidi"/>
          <w:sz w:val="26"/>
          <w:szCs w:val="26"/>
        </w:rPr>
        <w:tab/>
        <w:t>For the first approach, the paper tries to investigate women unobserved skills through two different proxies, husbands' wage and IQ. Using the data from U.S. census bureau Current Population Survey (CPS), the study compares the employment rate for 4 groups of wives whose husbands are in different wage quartile. The result shows an increase in employment rate for wives with high husband's wage and an decrease in the group with low husband's wage. Another proxy used is the IQ data from National Longitudinal Survey. Applying linear probability and probit model to data in different decade, the study found that the correlation between IQ and employment probability has turned from negative in 1970s to positive in 1990s.  Assuming both of the proxies can reflect women human capital, these are evidences for changing labor force composition.</w:t>
      </w:r>
    </w:p>
    <w:p w14:paraId="7C32CB3C" w14:textId="77777777" w:rsidR="006B7878" w:rsidRPr="006B7878" w:rsidRDefault="006B7878" w:rsidP="006B7878">
      <w:pPr>
        <w:jc w:val="thaiDistribute"/>
        <w:rPr>
          <w:rFonts w:asciiTheme="minorBidi" w:hAnsiTheme="minorBidi"/>
          <w:sz w:val="26"/>
          <w:szCs w:val="26"/>
        </w:rPr>
      </w:pPr>
      <w:r w:rsidRPr="006B7878">
        <w:rPr>
          <w:rFonts w:asciiTheme="minorBidi" w:hAnsiTheme="minorBidi"/>
          <w:sz w:val="26"/>
          <w:szCs w:val="26"/>
        </w:rPr>
        <w:tab/>
        <w:t>The two later approaches are built on the Gronau-Heckman-Roy (GHR) model, which provides an analytical framework to explain how selection bias can result in both closing between and widening within-gender gap. These two estimators, nonetheless, relies on different identification. Heckman's two-step estimator depends on exclusion restriction that some demographic variable must affect only labor supply but not affect wage. This allows inverse Mills ratio to be calculated in step 1 and act as the control for selection bias in step 2. On the other hand, identification at infinity approach relies on selecting samples based on observed variables such that almost the selected sub sample have no selection bias. In this particular case, it selects samples based on demographic variables and try to make the sample as close to 100% employment keep the selection bias small. Thus, the identification at infinity approach can correct for selection bias on unobservable characteristics, but this advantage comes with the expense for sample size. Noted that the size of selection effect is obtained by subtracting the estimated relative wage before and after controlling for selection bias.</w:t>
      </w:r>
    </w:p>
    <w:p w14:paraId="6A0B869E" w14:textId="43ABCA30" w:rsidR="001814A7" w:rsidRDefault="006B7878" w:rsidP="006B7878">
      <w:pPr>
        <w:jc w:val="thaiDistribute"/>
        <w:rPr>
          <w:rFonts w:asciiTheme="minorBidi" w:hAnsiTheme="minorBidi"/>
          <w:sz w:val="26"/>
          <w:szCs w:val="26"/>
        </w:rPr>
      </w:pPr>
      <w:r w:rsidRPr="006B7878">
        <w:rPr>
          <w:rFonts w:asciiTheme="minorBidi" w:hAnsiTheme="minorBidi"/>
          <w:sz w:val="26"/>
          <w:szCs w:val="26"/>
        </w:rPr>
        <w:tab/>
        <w:t>In conclusion, All of the three approaches yield similar dynamic for the selection bias; it had grown significantly from 1970s through 1990s. This supports the claim that changing composition of female labor force is a major factor for the closing between-gender but widening within-gender gap.</w:t>
      </w:r>
      <w:bookmarkStart w:id="0" w:name="_GoBack"/>
      <w:bookmarkEnd w:id="0"/>
    </w:p>
    <w:sectPr w:rsidR="001814A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B6532" w14:textId="77777777" w:rsidR="001368D2" w:rsidRDefault="001368D2" w:rsidP="00377141">
      <w:pPr>
        <w:spacing w:after="0" w:line="240" w:lineRule="auto"/>
      </w:pPr>
      <w:r>
        <w:separator/>
      </w:r>
    </w:p>
  </w:endnote>
  <w:endnote w:type="continuationSeparator" w:id="0">
    <w:p w14:paraId="191DF05D" w14:textId="77777777" w:rsidR="001368D2" w:rsidRDefault="001368D2" w:rsidP="00377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B05B4" w14:textId="77777777" w:rsidR="00042FBF" w:rsidRDefault="00042F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69B89" w14:textId="123CBD94" w:rsidR="00CD0509" w:rsidRDefault="00CD0509" w:rsidP="00BB56E5">
    <w:pPr>
      <w:pStyle w:val="Footer"/>
    </w:pPr>
  </w:p>
  <w:p w14:paraId="02A61353" w14:textId="77777777" w:rsidR="00CD0509" w:rsidRDefault="00CD05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B644F" w14:textId="77777777" w:rsidR="00042FBF" w:rsidRDefault="00042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55106" w14:textId="77777777" w:rsidR="001368D2" w:rsidRDefault="001368D2" w:rsidP="00377141">
      <w:pPr>
        <w:spacing w:after="0" w:line="240" w:lineRule="auto"/>
      </w:pPr>
      <w:r>
        <w:separator/>
      </w:r>
    </w:p>
  </w:footnote>
  <w:footnote w:type="continuationSeparator" w:id="0">
    <w:p w14:paraId="4FAB1725" w14:textId="77777777" w:rsidR="001368D2" w:rsidRDefault="001368D2" w:rsidP="00377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BB21E" w14:textId="77777777" w:rsidR="00042FBF" w:rsidRDefault="00042F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5B208" w14:textId="58CF879F" w:rsidR="00BF7A61" w:rsidRPr="00042FBF" w:rsidRDefault="00BF7A61" w:rsidP="00BF7A61">
    <w:pPr>
      <w:pStyle w:val="Header"/>
      <w:jc w:val="right"/>
      <w:rPr>
        <w:rFonts w:asciiTheme="minorBidi" w:hAnsiTheme="minorBidi"/>
        <w:b/>
        <w:bCs/>
        <w:szCs w:val="36"/>
      </w:rPr>
    </w:pPr>
    <w:r w:rsidRPr="00042FBF">
      <w:rPr>
        <w:rFonts w:asciiTheme="minorBidi" w:hAnsiTheme="minorBidi"/>
        <w:b/>
        <w:bCs/>
        <w:szCs w:val="36"/>
      </w:rPr>
      <w:t>Promvarat Pradit</w:t>
    </w:r>
  </w:p>
  <w:p w14:paraId="2C92B156" w14:textId="04AE99CE" w:rsidR="00BF7A61" w:rsidRPr="00042FBF" w:rsidRDefault="00BF7A61" w:rsidP="00BF7A61">
    <w:pPr>
      <w:pStyle w:val="Header"/>
      <w:jc w:val="right"/>
      <w:rPr>
        <w:rFonts w:asciiTheme="minorBidi" w:hAnsiTheme="minorBidi"/>
        <w:b/>
        <w:bCs/>
        <w:szCs w:val="36"/>
      </w:rPr>
    </w:pPr>
    <w:r w:rsidRPr="00042FBF">
      <w:rPr>
        <w:rFonts w:asciiTheme="minorBidi" w:hAnsiTheme="minorBidi"/>
        <w:b/>
        <w:bCs/>
        <w:szCs w:val="36"/>
      </w:rPr>
      <w:t>PP164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B15BC" w14:textId="77777777" w:rsidR="00042FBF" w:rsidRDefault="00042F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F623A"/>
    <w:multiLevelType w:val="hybridMultilevel"/>
    <w:tmpl w:val="2B7208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008D0"/>
    <w:multiLevelType w:val="hybridMultilevel"/>
    <w:tmpl w:val="7336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C5665"/>
    <w:multiLevelType w:val="hybridMultilevel"/>
    <w:tmpl w:val="4F585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24"/>
    <w:rsid w:val="00003F49"/>
    <w:rsid w:val="00014031"/>
    <w:rsid w:val="00014EF8"/>
    <w:rsid w:val="000215EC"/>
    <w:rsid w:val="00023CC3"/>
    <w:rsid w:val="00027895"/>
    <w:rsid w:val="00032BFF"/>
    <w:rsid w:val="00035EB1"/>
    <w:rsid w:val="00042FBF"/>
    <w:rsid w:val="00043C1C"/>
    <w:rsid w:val="00047F91"/>
    <w:rsid w:val="00050374"/>
    <w:rsid w:val="00053F15"/>
    <w:rsid w:val="0006001D"/>
    <w:rsid w:val="000601E7"/>
    <w:rsid w:val="000678C5"/>
    <w:rsid w:val="00067FD4"/>
    <w:rsid w:val="0007028B"/>
    <w:rsid w:val="00070384"/>
    <w:rsid w:val="00075A73"/>
    <w:rsid w:val="00075EE7"/>
    <w:rsid w:val="000800A5"/>
    <w:rsid w:val="0009557F"/>
    <w:rsid w:val="000A05B8"/>
    <w:rsid w:val="000A2566"/>
    <w:rsid w:val="000A3695"/>
    <w:rsid w:val="000B55C2"/>
    <w:rsid w:val="000C68AD"/>
    <w:rsid w:val="000C6F7D"/>
    <w:rsid w:val="000E0A1C"/>
    <w:rsid w:val="000E0C52"/>
    <w:rsid w:val="00114F79"/>
    <w:rsid w:val="001172A1"/>
    <w:rsid w:val="0011797E"/>
    <w:rsid w:val="00122E49"/>
    <w:rsid w:val="001248F2"/>
    <w:rsid w:val="0012530D"/>
    <w:rsid w:val="001368D2"/>
    <w:rsid w:val="00140EDC"/>
    <w:rsid w:val="00145EC1"/>
    <w:rsid w:val="00151A0E"/>
    <w:rsid w:val="00153C8F"/>
    <w:rsid w:val="00154B74"/>
    <w:rsid w:val="0017149C"/>
    <w:rsid w:val="001723A6"/>
    <w:rsid w:val="001740D9"/>
    <w:rsid w:val="00175260"/>
    <w:rsid w:val="00176F7C"/>
    <w:rsid w:val="00180545"/>
    <w:rsid w:val="001814A7"/>
    <w:rsid w:val="00186D77"/>
    <w:rsid w:val="001909BD"/>
    <w:rsid w:val="0019373E"/>
    <w:rsid w:val="001955B6"/>
    <w:rsid w:val="0019690E"/>
    <w:rsid w:val="001A272B"/>
    <w:rsid w:val="001B5BC1"/>
    <w:rsid w:val="001F17BD"/>
    <w:rsid w:val="0021193E"/>
    <w:rsid w:val="002131E8"/>
    <w:rsid w:val="00226A2D"/>
    <w:rsid w:val="0022778A"/>
    <w:rsid w:val="0022797A"/>
    <w:rsid w:val="00247C3A"/>
    <w:rsid w:val="0025311A"/>
    <w:rsid w:val="0025370A"/>
    <w:rsid w:val="002562D0"/>
    <w:rsid w:val="0025689E"/>
    <w:rsid w:val="0026232D"/>
    <w:rsid w:val="002639CC"/>
    <w:rsid w:val="00266342"/>
    <w:rsid w:val="00267A57"/>
    <w:rsid w:val="002A2878"/>
    <w:rsid w:val="002B3174"/>
    <w:rsid w:val="002C038C"/>
    <w:rsid w:val="002C21CC"/>
    <w:rsid w:val="002D0B51"/>
    <w:rsid w:val="002D2C6C"/>
    <w:rsid w:val="002D2EC9"/>
    <w:rsid w:val="002E3E9E"/>
    <w:rsid w:val="002F7F67"/>
    <w:rsid w:val="00304EA4"/>
    <w:rsid w:val="00316F78"/>
    <w:rsid w:val="00322172"/>
    <w:rsid w:val="00326B25"/>
    <w:rsid w:val="00330CCD"/>
    <w:rsid w:val="00333DBA"/>
    <w:rsid w:val="00334118"/>
    <w:rsid w:val="00340776"/>
    <w:rsid w:val="0035255C"/>
    <w:rsid w:val="00352C44"/>
    <w:rsid w:val="00356397"/>
    <w:rsid w:val="003607C7"/>
    <w:rsid w:val="00360DBE"/>
    <w:rsid w:val="003656E2"/>
    <w:rsid w:val="00377141"/>
    <w:rsid w:val="003806F8"/>
    <w:rsid w:val="00382534"/>
    <w:rsid w:val="003901EE"/>
    <w:rsid w:val="00390808"/>
    <w:rsid w:val="00394936"/>
    <w:rsid w:val="003A1721"/>
    <w:rsid w:val="003A489F"/>
    <w:rsid w:val="003B5632"/>
    <w:rsid w:val="003D1E5C"/>
    <w:rsid w:val="003D54DA"/>
    <w:rsid w:val="003E2877"/>
    <w:rsid w:val="003F0EA7"/>
    <w:rsid w:val="003F16F9"/>
    <w:rsid w:val="003F38CF"/>
    <w:rsid w:val="003F6E15"/>
    <w:rsid w:val="004042B5"/>
    <w:rsid w:val="00412FD2"/>
    <w:rsid w:val="004135B0"/>
    <w:rsid w:val="004161D1"/>
    <w:rsid w:val="004278F4"/>
    <w:rsid w:val="00431C0D"/>
    <w:rsid w:val="00432424"/>
    <w:rsid w:val="004331DF"/>
    <w:rsid w:val="004425E3"/>
    <w:rsid w:val="00444AF7"/>
    <w:rsid w:val="00453AE3"/>
    <w:rsid w:val="0045763D"/>
    <w:rsid w:val="00465488"/>
    <w:rsid w:val="00467C4D"/>
    <w:rsid w:val="00474BE1"/>
    <w:rsid w:val="004912AB"/>
    <w:rsid w:val="00492F82"/>
    <w:rsid w:val="004A2B7F"/>
    <w:rsid w:val="004B40DD"/>
    <w:rsid w:val="004C1539"/>
    <w:rsid w:val="004C3337"/>
    <w:rsid w:val="004C37CD"/>
    <w:rsid w:val="004C6410"/>
    <w:rsid w:val="004D4792"/>
    <w:rsid w:val="004E03B9"/>
    <w:rsid w:val="004E2BEB"/>
    <w:rsid w:val="004E3B1F"/>
    <w:rsid w:val="004E489C"/>
    <w:rsid w:val="004E6D29"/>
    <w:rsid w:val="004F1A1E"/>
    <w:rsid w:val="004F7FA3"/>
    <w:rsid w:val="00505E57"/>
    <w:rsid w:val="00511B9B"/>
    <w:rsid w:val="00511FC7"/>
    <w:rsid w:val="00514B9B"/>
    <w:rsid w:val="0051636F"/>
    <w:rsid w:val="00520402"/>
    <w:rsid w:val="00522CA8"/>
    <w:rsid w:val="00525C4A"/>
    <w:rsid w:val="00533940"/>
    <w:rsid w:val="00541F91"/>
    <w:rsid w:val="005424F8"/>
    <w:rsid w:val="00546303"/>
    <w:rsid w:val="00550BE1"/>
    <w:rsid w:val="0055437B"/>
    <w:rsid w:val="00555976"/>
    <w:rsid w:val="00567B4A"/>
    <w:rsid w:val="00571875"/>
    <w:rsid w:val="00574382"/>
    <w:rsid w:val="0058328D"/>
    <w:rsid w:val="00590124"/>
    <w:rsid w:val="005A3500"/>
    <w:rsid w:val="005A3E70"/>
    <w:rsid w:val="005A4077"/>
    <w:rsid w:val="005A6229"/>
    <w:rsid w:val="005B28A1"/>
    <w:rsid w:val="005B75D4"/>
    <w:rsid w:val="005C10B4"/>
    <w:rsid w:val="005C63F7"/>
    <w:rsid w:val="005C6707"/>
    <w:rsid w:val="005C77A8"/>
    <w:rsid w:val="005D2052"/>
    <w:rsid w:val="005D33D5"/>
    <w:rsid w:val="005E2623"/>
    <w:rsid w:val="005E713B"/>
    <w:rsid w:val="005F1DAD"/>
    <w:rsid w:val="00604FB2"/>
    <w:rsid w:val="00610FDA"/>
    <w:rsid w:val="00611F97"/>
    <w:rsid w:val="0061354C"/>
    <w:rsid w:val="00613B05"/>
    <w:rsid w:val="00630D77"/>
    <w:rsid w:val="006319A7"/>
    <w:rsid w:val="00635178"/>
    <w:rsid w:val="0064130F"/>
    <w:rsid w:val="006533E1"/>
    <w:rsid w:val="006577FC"/>
    <w:rsid w:val="0066201E"/>
    <w:rsid w:val="00674D36"/>
    <w:rsid w:val="0069084C"/>
    <w:rsid w:val="00693F09"/>
    <w:rsid w:val="00695876"/>
    <w:rsid w:val="006963FB"/>
    <w:rsid w:val="00696C29"/>
    <w:rsid w:val="0069731E"/>
    <w:rsid w:val="006A2FC9"/>
    <w:rsid w:val="006A76CA"/>
    <w:rsid w:val="006B0B78"/>
    <w:rsid w:val="006B7878"/>
    <w:rsid w:val="006C00A2"/>
    <w:rsid w:val="006C4BF6"/>
    <w:rsid w:val="006D12CD"/>
    <w:rsid w:val="006D28FF"/>
    <w:rsid w:val="006D76BF"/>
    <w:rsid w:val="006E0BDC"/>
    <w:rsid w:val="006E1641"/>
    <w:rsid w:val="006E4322"/>
    <w:rsid w:val="006F1A8D"/>
    <w:rsid w:val="006F69FA"/>
    <w:rsid w:val="00706EC2"/>
    <w:rsid w:val="007075BE"/>
    <w:rsid w:val="00712632"/>
    <w:rsid w:val="00722117"/>
    <w:rsid w:val="007222DD"/>
    <w:rsid w:val="00723902"/>
    <w:rsid w:val="007345FB"/>
    <w:rsid w:val="00734D1B"/>
    <w:rsid w:val="00735AB6"/>
    <w:rsid w:val="0074508F"/>
    <w:rsid w:val="00745356"/>
    <w:rsid w:val="00754391"/>
    <w:rsid w:val="007553C8"/>
    <w:rsid w:val="00761A89"/>
    <w:rsid w:val="00762606"/>
    <w:rsid w:val="00765AF1"/>
    <w:rsid w:val="00766F30"/>
    <w:rsid w:val="00774FE8"/>
    <w:rsid w:val="00780844"/>
    <w:rsid w:val="007835E7"/>
    <w:rsid w:val="00786F30"/>
    <w:rsid w:val="00792DDF"/>
    <w:rsid w:val="007A39A4"/>
    <w:rsid w:val="007A5A1C"/>
    <w:rsid w:val="007B262D"/>
    <w:rsid w:val="007B276A"/>
    <w:rsid w:val="007B5BF2"/>
    <w:rsid w:val="007C00B1"/>
    <w:rsid w:val="007C0FC3"/>
    <w:rsid w:val="007C15A8"/>
    <w:rsid w:val="007C2067"/>
    <w:rsid w:val="007C4579"/>
    <w:rsid w:val="007D19E9"/>
    <w:rsid w:val="007D2D2C"/>
    <w:rsid w:val="007D3033"/>
    <w:rsid w:val="007D7911"/>
    <w:rsid w:val="007E06AB"/>
    <w:rsid w:val="007E2B9B"/>
    <w:rsid w:val="007E3F33"/>
    <w:rsid w:val="007F0009"/>
    <w:rsid w:val="00800053"/>
    <w:rsid w:val="008048F8"/>
    <w:rsid w:val="00811B31"/>
    <w:rsid w:val="00821834"/>
    <w:rsid w:val="00831C5E"/>
    <w:rsid w:val="00835752"/>
    <w:rsid w:val="00840335"/>
    <w:rsid w:val="008412F1"/>
    <w:rsid w:val="008416AC"/>
    <w:rsid w:val="008513FE"/>
    <w:rsid w:val="00853A5F"/>
    <w:rsid w:val="008570A0"/>
    <w:rsid w:val="00860067"/>
    <w:rsid w:val="00866131"/>
    <w:rsid w:val="00870E63"/>
    <w:rsid w:val="00871216"/>
    <w:rsid w:val="00872457"/>
    <w:rsid w:val="00873546"/>
    <w:rsid w:val="00880691"/>
    <w:rsid w:val="00881B50"/>
    <w:rsid w:val="00883D2C"/>
    <w:rsid w:val="00886CFA"/>
    <w:rsid w:val="008967F7"/>
    <w:rsid w:val="00896AEF"/>
    <w:rsid w:val="008A2F5C"/>
    <w:rsid w:val="008B04BE"/>
    <w:rsid w:val="008B4D55"/>
    <w:rsid w:val="008B5BC4"/>
    <w:rsid w:val="008C4ECA"/>
    <w:rsid w:val="008C601A"/>
    <w:rsid w:val="008C6FA3"/>
    <w:rsid w:val="008D12DD"/>
    <w:rsid w:val="008E32EE"/>
    <w:rsid w:val="008E57A6"/>
    <w:rsid w:val="008E5F5A"/>
    <w:rsid w:val="008F13F3"/>
    <w:rsid w:val="008F3724"/>
    <w:rsid w:val="008F4DC1"/>
    <w:rsid w:val="00902657"/>
    <w:rsid w:val="00905421"/>
    <w:rsid w:val="00917DDD"/>
    <w:rsid w:val="00925CFB"/>
    <w:rsid w:val="0093013C"/>
    <w:rsid w:val="00931BF0"/>
    <w:rsid w:val="00934A1D"/>
    <w:rsid w:val="00943724"/>
    <w:rsid w:val="00950C52"/>
    <w:rsid w:val="00963543"/>
    <w:rsid w:val="009745C4"/>
    <w:rsid w:val="00974EC3"/>
    <w:rsid w:val="00977454"/>
    <w:rsid w:val="00984A3B"/>
    <w:rsid w:val="00992AD2"/>
    <w:rsid w:val="00992FD0"/>
    <w:rsid w:val="009962E0"/>
    <w:rsid w:val="009B126E"/>
    <w:rsid w:val="009B69E3"/>
    <w:rsid w:val="009B7857"/>
    <w:rsid w:val="009C3872"/>
    <w:rsid w:val="009C6693"/>
    <w:rsid w:val="009D3328"/>
    <w:rsid w:val="009D3525"/>
    <w:rsid w:val="009F1713"/>
    <w:rsid w:val="009F224A"/>
    <w:rsid w:val="009F3620"/>
    <w:rsid w:val="009F7C89"/>
    <w:rsid w:val="009F7E04"/>
    <w:rsid w:val="00A042FD"/>
    <w:rsid w:val="00A06096"/>
    <w:rsid w:val="00A06443"/>
    <w:rsid w:val="00A069A5"/>
    <w:rsid w:val="00A102C9"/>
    <w:rsid w:val="00A253F8"/>
    <w:rsid w:val="00A27E35"/>
    <w:rsid w:val="00A3370D"/>
    <w:rsid w:val="00A37FE5"/>
    <w:rsid w:val="00A425FE"/>
    <w:rsid w:val="00A43950"/>
    <w:rsid w:val="00A46AE3"/>
    <w:rsid w:val="00A47349"/>
    <w:rsid w:val="00A60BFF"/>
    <w:rsid w:val="00A61085"/>
    <w:rsid w:val="00A67C46"/>
    <w:rsid w:val="00A67FFB"/>
    <w:rsid w:val="00A82EB0"/>
    <w:rsid w:val="00A84635"/>
    <w:rsid w:val="00A8757F"/>
    <w:rsid w:val="00A90286"/>
    <w:rsid w:val="00AA0533"/>
    <w:rsid w:val="00AB207B"/>
    <w:rsid w:val="00AB3862"/>
    <w:rsid w:val="00AB3E7A"/>
    <w:rsid w:val="00AB69F1"/>
    <w:rsid w:val="00AC0B99"/>
    <w:rsid w:val="00AC1737"/>
    <w:rsid w:val="00AC1D85"/>
    <w:rsid w:val="00AC652B"/>
    <w:rsid w:val="00AC6935"/>
    <w:rsid w:val="00AD1911"/>
    <w:rsid w:val="00AE4AD3"/>
    <w:rsid w:val="00AF5CF8"/>
    <w:rsid w:val="00AF6D8C"/>
    <w:rsid w:val="00B01196"/>
    <w:rsid w:val="00B11E5D"/>
    <w:rsid w:val="00B1201E"/>
    <w:rsid w:val="00B16F70"/>
    <w:rsid w:val="00B2510E"/>
    <w:rsid w:val="00B2673C"/>
    <w:rsid w:val="00B30BB7"/>
    <w:rsid w:val="00B3236A"/>
    <w:rsid w:val="00B35A0B"/>
    <w:rsid w:val="00B40D78"/>
    <w:rsid w:val="00B460DF"/>
    <w:rsid w:val="00B54CA9"/>
    <w:rsid w:val="00B570F5"/>
    <w:rsid w:val="00B630E9"/>
    <w:rsid w:val="00B65DEF"/>
    <w:rsid w:val="00B66ADF"/>
    <w:rsid w:val="00B70B12"/>
    <w:rsid w:val="00B76556"/>
    <w:rsid w:val="00B76644"/>
    <w:rsid w:val="00B768E2"/>
    <w:rsid w:val="00B90261"/>
    <w:rsid w:val="00B923F0"/>
    <w:rsid w:val="00B93DA7"/>
    <w:rsid w:val="00B94B27"/>
    <w:rsid w:val="00B955F7"/>
    <w:rsid w:val="00BA1BF8"/>
    <w:rsid w:val="00BA4F3D"/>
    <w:rsid w:val="00BA7549"/>
    <w:rsid w:val="00BB4C44"/>
    <w:rsid w:val="00BB56E5"/>
    <w:rsid w:val="00BC4853"/>
    <w:rsid w:val="00BC4E37"/>
    <w:rsid w:val="00BD3AB0"/>
    <w:rsid w:val="00BD3CD8"/>
    <w:rsid w:val="00BD41D1"/>
    <w:rsid w:val="00BE0413"/>
    <w:rsid w:val="00BF028E"/>
    <w:rsid w:val="00BF0589"/>
    <w:rsid w:val="00BF164B"/>
    <w:rsid w:val="00BF7A61"/>
    <w:rsid w:val="00C034F7"/>
    <w:rsid w:val="00C06092"/>
    <w:rsid w:val="00C068B7"/>
    <w:rsid w:val="00C06D84"/>
    <w:rsid w:val="00C10D37"/>
    <w:rsid w:val="00C1663C"/>
    <w:rsid w:val="00C16CD1"/>
    <w:rsid w:val="00C245ED"/>
    <w:rsid w:val="00C25A63"/>
    <w:rsid w:val="00C32D1F"/>
    <w:rsid w:val="00C332A5"/>
    <w:rsid w:val="00C37B2D"/>
    <w:rsid w:val="00C41C75"/>
    <w:rsid w:val="00C51E5C"/>
    <w:rsid w:val="00C5470B"/>
    <w:rsid w:val="00C5625F"/>
    <w:rsid w:val="00C60C0D"/>
    <w:rsid w:val="00C66533"/>
    <w:rsid w:val="00C765FF"/>
    <w:rsid w:val="00C8353D"/>
    <w:rsid w:val="00C86787"/>
    <w:rsid w:val="00C87B64"/>
    <w:rsid w:val="00C91077"/>
    <w:rsid w:val="00CA04CA"/>
    <w:rsid w:val="00CA65B9"/>
    <w:rsid w:val="00CA65FC"/>
    <w:rsid w:val="00CB0F5E"/>
    <w:rsid w:val="00CB136B"/>
    <w:rsid w:val="00CC0363"/>
    <w:rsid w:val="00CC2983"/>
    <w:rsid w:val="00CD0509"/>
    <w:rsid w:val="00CD0691"/>
    <w:rsid w:val="00CE0B14"/>
    <w:rsid w:val="00CE3175"/>
    <w:rsid w:val="00CE7A56"/>
    <w:rsid w:val="00CE7DED"/>
    <w:rsid w:val="00CF1C82"/>
    <w:rsid w:val="00CF41F0"/>
    <w:rsid w:val="00D0365C"/>
    <w:rsid w:val="00D07A83"/>
    <w:rsid w:val="00D12824"/>
    <w:rsid w:val="00D13D5C"/>
    <w:rsid w:val="00D22152"/>
    <w:rsid w:val="00D22622"/>
    <w:rsid w:val="00D37D23"/>
    <w:rsid w:val="00D42D63"/>
    <w:rsid w:val="00D52875"/>
    <w:rsid w:val="00D54805"/>
    <w:rsid w:val="00D62822"/>
    <w:rsid w:val="00D658F9"/>
    <w:rsid w:val="00D66E4A"/>
    <w:rsid w:val="00D90FE2"/>
    <w:rsid w:val="00D961DD"/>
    <w:rsid w:val="00DA6ABF"/>
    <w:rsid w:val="00DB2E77"/>
    <w:rsid w:val="00DB4961"/>
    <w:rsid w:val="00DB795D"/>
    <w:rsid w:val="00DC493C"/>
    <w:rsid w:val="00DF4E3A"/>
    <w:rsid w:val="00DF53AD"/>
    <w:rsid w:val="00E05084"/>
    <w:rsid w:val="00E0567B"/>
    <w:rsid w:val="00E0634E"/>
    <w:rsid w:val="00E15B12"/>
    <w:rsid w:val="00E3366F"/>
    <w:rsid w:val="00E45D1F"/>
    <w:rsid w:val="00E50DD0"/>
    <w:rsid w:val="00E51EDA"/>
    <w:rsid w:val="00E5320A"/>
    <w:rsid w:val="00E56A20"/>
    <w:rsid w:val="00E6518D"/>
    <w:rsid w:val="00E66BD5"/>
    <w:rsid w:val="00E7147B"/>
    <w:rsid w:val="00E723B2"/>
    <w:rsid w:val="00E7289D"/>
    <w:rsid w:val="00E76DEE"/>
    <w:rsid w:val="00E809B9"/>
    <w:rsid w:val="00E833C1"/>
    <w:rsid w:val="00E85E57"/>
    <w:rsid w:val="00E9169D"/>
    <w:rsid w:val="00EA6189"/>
    <w:rsid w:val="00EB76D0"/>
    <w:rsid w:val="00EC1C57"/>
    <w:rsid w:val="00EC59CF"/>
    <w:rsid w:val="00ED101C"/>
    <w:rsid w:val="00ED3E34"/>
    <w:rsid w:val="00ED61B5"/>
    <w:rsid w:val="00EE178E"/>
    <w:rsid w:val="00EF0961"/>
    <w:rsid w:val="00EF14E3"/>
    <w:rsid w:val="00F10F43"/>
    <w:rsid w:val="00F12361"/>
    <w:rsid w:val="00F142B1"/>
    <w:rsid w:val="00F1603C"/>
    <w:rsid w:val="00F3245F"/>
    <w:rsid w:val="00F37BB3"/>
    <w:rsid w:val="00F44417"/>
    <w:rsid w:val="00F51C82"/>
    <w:rsid w:val="00F62A28"/>
    <w:rsid w:val="00F7102D"/>
    <w:rsid w:val="00F83032"/>
    <w:rsid w:val="00F8474C"/>
    <w:rsid w:val="00F90EB7"/>
    <w:rsid w:val="00F93009"/>
    <w:rsid w:val="00FA0026"/>
    <w:rsid w:val="00FA4FE1"/>
    <w:rsid w:val="00FA6441"/>
    <w:rsid w:val="00FA6AF7"/>
    <w:rsid w:val="00FA78CA"/>
    <w:rsid w:val="00FB3EC9"/>
    <w:rsid w:val="00FB4991"/>
    <w:rsid w:val="00FB7458"/>
    <w:rsid w:val="00FC5ABF"/>
    <w:rsid w:val="00FD2C21"/>
    <w:rsid w:val="00FE13F6"/>
    <w:rsid w:val="00FF5F0B"/>
    <w:rsid w:val="00FF6319"/>
    <w:rsid w:val="00FF77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2D644"/>
  <w15:chartTrackingRefBased/>
  <w15:docId w15:val="{2DC81C61-B8C2-4687-BC72-58C67188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CFA"/>
    <w:rPr>
      <w:noProof/>
      <w:sz w:val="28"/>
    </w:rPr>
  </w:style>
  <w:style w:type="paragraph" w:styleId="Heading1">
    <w:name w:val="heading 1"/>
    <w:basedOn w:val="Normal"/>
    <w:next w:val="Normal"/>
    <w:link w:val="Heading1Char"/>
    <w:uiPriority w:val="9"/>
    <w:qFormat/>
    <w:rsid w:val="00E7289D"/>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F93009"/>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724"/>
    <w:pPr>
      <w:ind w:left="720"/>
      <w:contextualSpacing/>
    </w:pPr>
  </w:style>
  <w:style w:type="character" w:customStyle="1" w:styleId="Heading1Char">
    <w:name w:val="Heading 1 Char"/>
    <w:basedOn w:val="DefaultParagraphFont"/>
    <w:link w:val="Heading1"/>
    <w:uiPriority w:val="9"/>
    <w:rsid w:val="00E7289D"/>
    <w:rPr>
      <w:rFonts w:asciiTheme="majorHAnsi" w:eastAsiaTheme="majorEastAsia" w:hAnsiTheme="majorHAnsi" w:cstheme="majorBidi"/>
      <w:noProof/>
      <w:color w:val="2F5496" w:themeColor="accent1" w:themeShade="BF"/>
      <w:sz w:val="32"/>
      <w:szCs w:val="40"/>
    </w:rPr>
  </w:style>
  <w:style w:type="paragraph" w:styleId="FootnoteText">
    <w:name w:val="footnote text"/>
    <w:basedOn w:val="Normal"/>
    <w:link w:val="FootnoteTextChar"/>
    <w:uiPriority w:val="99"/>
    <w:semiHidden/>
    <w:unhideWhenUsed/>
    <w:rsid w:val="00377141"/>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377141"/>
    <w:rPr>
      <w:noProof/>
      <w:sz w:val="20"/>
      <w:szCs w:val="25"/>
    </w:rPr>
  </w:style>
  <w:style w:type="character" w:styleId="FootnoteReference">
    <w:name w:val="footnote reference"/>
    <w:basedOn w:val="DefaultParagraphFont"/>
    <w:uiPriority w:val="99"/>
    <w:semiHidden/>
    <w:unhideWhenUsed/>
    <w:rsid w:val="00377141"/>
    <w:rPr>
      <w:vertAlign w:val="superscript"/>
    </w:rPr>
  </w:style>
  <w:style w:type="paragraph" w:styleId="Header">
    <w:name w:val="header"/>
    <w:basedOn w:val="Normal"/>
    <w:link w:val="HeaderChar"/>
    <w:uiPriority w:val="99"/>
    <w:unhideWhenUsed/>
    <w:rsid w:val="0006001D"/>
    <w:pPr>
      <w:tabs>
        <w:tab w:val="center" w:pos="4680"/>
        <w:tab w:val="right" w:pos="9360"/>
      </w:tabs>
      <w:spacing w:after="0" w:line="240" w:lineRule="auto"/>
    </w:pPr>
    <w:rPr>
      <w:szCs w:val="35"/>
    </w:rPr>
  </w:style>
  <w:style w:type="character" w:customStyle="1" w:styleId="HeaderChar">
    <w:name w:val="Header Char"/>
    <w:basedOn w:val="DefaultParagraphFont"/>
    <w:link w:val="Header"/>
    <w:uiPriority w:val="99"/>
    <w:rsid w:val="0006001D"/>
    <w:rPr>
      <w:noProof/>
      <w:sz w:val="28"/>
      <w:szCs w:val="35"/>
    </w:rPr>
  </w:style>
  <w:style w:type="paragraph" w:styleId="Footer">
    <w:name w:val="footer"/>
    <w:basedOn w:val="Normal"/>
    <w:link w:val="FooterChar"/>
    <w:uiPriority w:val="99"/>
    <w:unhideWhenUsed/>
    <w:rsid w:val="0006001D"/>
    <w:pPr>
      <w:tabs>
        <w:tab w:val="center" w:pos="4680"/>
        <w:tab w:val="right" w:pos="9360"/>
      </w:tabs>
      <w:spacing w:after="0" w:line="240" w:lineRule="auto"/>
    </w:pPr>
    <w:rPr>
      <w:szCs w:val="35"/>
    </w:rPr>
  </w:style>
  <w:style w:type="character" w:customStyle="1" w:styleId="FooterChar">
    <w:name w:val="Footer Char"/>
    <w:basedOn w:val="DefaultParagraphFont"/>
    <w:link w:val="Footer"/>
    <w:uiPriority w:val="99"/>
    <w:rsid w:val="0006001D"/>
    <w:rPr>
      <w:noProof/>
      <w:sz w:val="28"/>
      <w:szCs w:val="35"/>
    </w:rPr>
  </w:style>
  <w:style w:type="character" w:styleId="PlaceholderText">
    <w:name w:val="Placeholder Text"/>
    <w:basedOn w:val="DefaultParagraphFont"/>
    <w:uiPriority w:val="99"/>
    <w:semiHidden/>
    <w:rsid w:val="00CE7DED"/>
    <w:rPr>
      <w:color w:val="808080"/>
    </w:rPr>
  </w:style>
  <w:style w:type="character" w:customStyle="1" w:styleId="Heading3Char">
    <w:name w:val="Heading 3 Char"/>
    <w:basedOn w:val="DefaultParagraphFont"/>
    <w:link w:val="Heading3"/>
    <w:uiPriority w:val="9"/>
    <w:semiHidden/>
    <w:rsid w:val="00F93009"/>
    <w:rPr>
      <w:rFonts w:asciiTheme="majorHAnsi" w:eastAsiaTheme="majorEastAsia" w:hAnsiTheme="majorHAnsi" w:cstheme="majorBidi"/>
      <w:noProof/>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375985">
      <w:bodyDiv w:val="1"/>
      <w:marLeft w:val="0"/>
      <w:marRight w:val="0"/>
      <w:marTop w:val="0"/>
      <w:marBottom w:val="0"/>
      <w:divBdr>
        <w:top w:val="none" w:sz="0" w:space="0" w:color="auto"/>
        <w:left w:val="none" w:sz="0" w:space="0" w:color="auto"/>
        <w:bottom w:val="none" w:sz="0" w:space="0" w:color="auto"/>
        <w:right w:val="none" w:sz="0" w:space="0" w:color="auto"/>
      </w:divBdr>
    </w:div>
    <w:div w:id="782270010">
      <w:bodyDiv w:val="1"/>
      <w:marLeft w:val="0"/>
      <w:marRight w:val="0"/>
      <w:marTop w:val="0"/>
      <w:marBottom w:val="0"/>
      <w:divBdr>
        <w:top w:val="none" w:sz="0" w:space="0" w:color="auto"/>
        <w:left w:val="none" w:sz="0" w:space="0" w:color="auto"/>
        <w:bottom w:val="none" w:sz="0" w:space="0" w:color="auto"/>
        <w:right w:val="none" w:sz="0" w:space="0" w:color="auto"/>
      </w:divBdr>
    </w:div>
    <w:div w:id="802501130">
      <w:bodyDiv w:val="1"/>
      <w:marLeft w:val="0"/>
      <w:marRight w:val="0"/>
      <w:marTop w:val="0"/>
      <w:marBottom w:val="0"/>
      <w:divBdr>
        <w:top w:val="none" w:sz="0" w:space="0" w:color="auto"/>
        <w:left w:val="none" w:sz="0" w:space="0" w:color="auto"/>
        <w:bottom w:val="none" w:sz="0" w:space="0" w:color="auto"/>
        <w:right w:val="none" w:sz="0" w:space="0" w:color="auto"/>
      </w:divBdr>
    </w:div>
    <w:div w:id="956183491">
      <w:bodyDiv w:val="1"/>
      <w:marLeft w:val="0"/>
      <w:marRight w:val="0"/>
      <w:marTop w:val="0"/>
      <w:marBottom w:val="0"/>
      <w:divBdr>
        <w:top w:val="none" w:sz="0" w:space="0" w:color="auto"/>
        <w:left w:val="none" w:sz="0" w:space="0" w:color="auto"/>
        <w:bottom w:val="none" w:sz="0" w:space="0" w:color="auto"/>
        <w:right w:val="none" w:sz="0" w:space="0" w:color="auto"/>
      </w:divBdr>
    </w:div>
    <w:div w:id="1189753227">
      <w:bodyDiv w:val="1"/>
      <w:marLeft w:val="0"/>
      <w:marRight w:val="0"/>
      <w:marTop w:val="0"/>
      <w:marBottom w:val="0"/>
      <w:divBdr>
        <w:top w:val="none" w:sz="0" w:space="0" w:color="auto"/>
        <w:left w:val="none" w:sz="0" w:space="0" w:color="auto"/>
        <w:bottom w:val="none" w:sz="0" w:space="0" w:color="auto"/>
        <w:right w:val="none" w:sz="0" w:space="0" w:color="auto"/>
      </w:divBdr>
    </w:div>
    <w:div w:id="1656452226">
      <w:bodyDiv w:val="1"/>
      <w:marLeft w:val="0"/>
      <w:marRight w:val="0"/>
      <w:marTop w:val="0"/>
      <w:marBottom w:val="0"/>
      <w:divBdr>
        <w:top w:val="none" w:sz="0" w:space="0" w:color="auto"/>
        <w:left w:val="none" w:sz="0" w:space="0" w:color="auto"/>
        <w:bottom w:val="none" w:sz="0" w:space="0" w:color="auto"/>
        <w:right w:val="none" w:sz="0" w:space="0" w:color="auto"/>
      </w:divBdr>
    </w:div>
    <w:div w:id="1663654595">
      <w:bodyDiv w:val="1"/>
      <w:marLeft w:val="0"/>
      <w:marRight w:val="0"/>
      <w:marTop w:val="0"/>
      <w:marBottom w:val="0"/>
      <w:divBdr>
        <w:top w:val="none" w:sz="0" w:space="0" w:color="auto"/>
        <w:left w:val="none" w:sz="0" w:space="0" w:color="auto"/>
        <w:bottom w:val="none" w:sz="0" w:space="0" w:color="auto"/>
        <w:right w:val="none" w:sz="0" w:space="0" w:color="auto"/>
      </w:divBdr>
    </w:div>
    <w:div w:id="1713267035">
      <w:bodyDiv w:val="1"/>
      <w:marLeft w:val="0"/>
      <w:marRight w:val="0"/>
      <w:marTop w:val="0"/>
      <w:marBottom w:val="0"/>
      <w:divBdr>
        <w:top w:val="none" w:sz="0" w:space="0" w:color="auto"/>
        <w:left w:val="none" w:sz="0" w:space="0" w:color="auto"/>
        <w:bottom w:val="none" w:sz="0" w:space="0" w:color="auto"/>
        <w:right w:val="none" w:sz="0" w:space="0" w:color="auto"/>
      </w:divBdr>
    </w:div>
    <w:div w:id="1827934510">
      <w:bodyDiv w:val="1"/>
      <w:marLeft w:val="0"/>
      <w:marRight w:val="0"/>
      <w:marTop w:val="0"/>
      <w:marBottom w:val="0"/>
      <w:divBdr>
        <w:top w:val="none" w:sz="0" w:space="0" w:color="auto"/>
        <w:left w:val="none" w:sz="0" w:space="0" w:color="auto"/>
        <w:bottom w:val="none" w:sz="0" w:space="0" w:color="auto"/>
        <w:right w:val="none" w:sz="0" w:space="0" w:color="auto"/>
      </w:divBdr>
    </w:div>
    <w:div w:id="1917670215">
      <w:bodyDiv w:val="1"/>
      <w:marLeft w:val="0"/>
      <w:marRight w:val="0"/>
      <w:marTop w:val="0"/>
      <w:marBottom w:val="0"/>
      <w:divBdr>
        <w:top w:val="none" w:sz="0" w:space="0" w:color="auto"/>
        <w:left w:val="none" w:sz="0" w:space="0" w:color="auto"/>
        <w:bottom w:val="none" w:sz="0" w:space="0" w:color="auto"/>
        <w:right w:val="none" w:sz="0" w:space="0" w:color="auto"/>
      </w:divBdr>
    </w:div>
    <w:div w:id="197436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Azm17</b:Tag>
    <b:SourceType>JournalArticle</b:SourceType>
    <b:Guid>{EE115413-3E04-4EE2-B7CE-D19105747B5C}</b:Guid>
    <b:Title>Gender Gaps in Performance: Evidence from Young Lawyers</b:Title>
    <b:JournalName>Journal of Political Economy</b:JournalName>
    <b:Year>2017</b:Year>
    <b:Pages>1306 - 1355</b:Pages>
    <b:Author>
      <b:Author>
        <b:NameList>
          <b:Person>
            <b:Last>Azmat</b:Last>
            <b:First>Ghazala</b:First>
          </b:Person>
          <b:Person>
            <b:Last>Ferrer</b:Last>
            <b:First>Rosa</b:First>
          </b:Person>
        </b:NameList>
      </b:Author>
    </b:Author>
    <b:Volume>125</b:Volume>
    <b:Issue>5</b:Issue>
    <b:RefOrder>2</b:RefOrder>
  </b:Source>
  <b:Source>
    <b:Tag>Car15</b:Tag>
    <b:SourceType>JournalArticle</b:SourceType>
    <b:Guid>{BBB70472-F29A-4FB2-BA02-3985E6251B05}</b:Guid>
    <b:Title>Bargaining, Sorting, and the Gender Wage Gap: Quantifying the Impact of Firms on the Relative Pay of Women</b:Title>
    <b:JournalName>NBER Working Paper No. 21403</b:JournalName>
    <b:Year>2015</b:Year>
    <b:Author>
      <b:Author>
        <b:NameList>
          <b:Person>
            <b:Last>Card</b:Last>
            <b:First>David</b:First>
          </b:Person>
          <b:Person>
            <b:Last>Cardoso</b:Last>
            <b:Middle>Rute </b:Middle>
            <b:First>Ana </b:First>
          </b:Person>
          <b:Person>
            <b:Last>Kline</b:Last>
            <b:First>Patrick </b:First>
          </b:Person>
        </b:NameList>
      </b:Author>
    </b:Author>
    <b:RefOrder>3</b:RefOrder>
  </b:Source>
  <b:Source>
    <b:Tag>Ber13</b:Tag>
    <b:SourceType>JournalArticle</b:SourceType>
    <b:Guid>{BEF3E8C7-0109-484F-9DD4-4A09043B3245}</b:Guid>
    <b:Title>GENDER IDENTITY AND RELATIVE INCOME WITHIN HOUSEHOLDS</b:Title>
    <b:JournalName>NBER Working Paper</b:JournalName>
    <b:Year>2013</b:Year>
    <b:Author>
      <b:Author>
        <b:NameList>
          <b:Person>
            <b:Last>Bertrand</b:Last>
            <b:First>Marianne</b:First>
          </b:Person>
          <b:Person>
            <b:Last>Kamenica</b:Last>
            <b:First>Emir</b:First>
          </b:Person>
          <b:Person>
            <b:Last>Pan</b:Last>
            <b:First>Jessica</b:First>
          </b:Person>
        </b:NameList>
      </b:Author>
    </b:Author>
    <b:RefOrder>4</b:RefOrder>
  </b:Source>
  <b:Source>
    <b:Tag>Kle18</b:Tag>
    <b:SourceType>JournalArticle</b:SourceType>
    <b:Guid>{C96C9007-B33D-4934-AA2D-E14ECB3D6ED2}</b:Guid>
    <b:Title>Children and Gender Inequality: Evidence from Denmark</b:Title>
    <b:JournalName>NBER Working Paper</b:JournalName>
    <b:Year>2018</b:Year>
    <b:Author>
      <b:Author>
        <b:NameList>
          <b:Person>
            <b:Last>Kleven</b:Last>
            <b:First>Henrik</b:First>
          </b:Person>
          <b:Person>
            <b:Last>Landais</b:Last>
            <b:First>Camille</b:First>
          </b:Person>
          <b:Person>
            <b:Last>Søgaard</b:Last>
            <b:Middle>Egholt</b:Middle>
            <b:First>Jakob</b:First>
          </b:Person>
        </b:NameList>
      </b:Author>
    </b:Author>
    <b:RefOrder>5</b:RefOrder>
  </b:Source>
  <b:Source>
    <b:Tag>Mul08</b:Tag>
    <b:SourceType>JournalArticle</b:SourceType>
    <b:Guid>{FDACA2A4-B213-41A3-99A0-1958B2563C6A}</b:Guid>
    <b:Title>Selection, Investment, and Women's Relative Wages over Time</b:Title>
    <b:JournalName>The Quarterly Journal of Economics</b:JournalName>
    <b:Year>2008</b:Year>
    <b:Pages>1061-1110</b:Pages>
    <b:Author>
      <b:Author>
        <b:NameList>
          <b:Person>
            <b:Last>Mulligan</b:Last>
            <b:Middle>B.</b:Middle>
            <b:First>Casey</b:First>
          </b:Person>
          <b:Person>
            <b:Last>Rubinstein</b:Last>
            <b:First>Yona </b:First>
          </b:Person>
        </b:NameList>
      </b:Author>
    </b:Author>
    <b:Volume>123</b:Volume>
    <b:RefOrder>1</b:RefOrder>
  </b:Source>
</b:Sources>
</file>

<file path=customXml/itemProps1.xml><?xml version="1.0" encoding="utf-8"?>
<ds:datastoreItem xmlns:ds="http://schemas.openxmlformats.org/officeDocument/2006/customXml" ds:itemID="{E4067024-D3E9-4A3E-A61A-CCF9269D7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Promvarat Pradit</dc:creator>
  <cp:keywords/>
  <dc:description/>
  <cp:lastModifiedBy>Promvarat Pradit</cp:lastModifiedBy>
  <cp:revision>89</cp:revision>
  <dcterms:created xsi:type="dcterms:W3CDTF">2019-04-18T16:29:00Z</dcterms:created>
  <dcterms:modified xsi:type="dcterms:W3CDTF">2019-04-19T00:55:00Z</dcterms:modified>
</cp:coreProperties>
</file>