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Пояснительная записка</w:t>
        <w:br/>
      </w:r>
      <w:r>
        <w:rPr>
          <w:rFonts w:ascii="Times New Roman" w:hAnsi="Times New Roman" w:eastAsia="Times New Roman"/>
          <w:b/>
          <w:sz w:val="24"/>
        </w:rPr>
        <w:t>к дипломному проекту</w:t>
        <w:br/>
      </w:r>
      <w:r>
        <w:rPr>
          <w:rFonts w:ascii="Times New Roman" w:hAnsi="Times New Roman" w:eastAsia="Times New Roman"/>
          <w:b/>
          <w:sz w:val="24"/>
        </w:rPr>
        <w:t>по курсу «Машинное обучение в Python»</w:t>
        <w:br/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Тема проекта</w:t>
        <w:br/>
      </w:r>
      <w:r>
        <w:rPr>
          <w:rFonts w:ascii="Times New Roman" w:hAnsi="Times New Roman" w:eastAsia="Times New Roman"/>
          <w:b w:val="0"/>
          <w:sz w:val="24"/>
        </w:rPr>
        <w:t>Предиктивная модель вероятности исхода матчей Российского теннисного тура</w:t>
        <w:br/>
      </w:r>
      <w:r>
        <w:rPr>
          <w:rFonts w:ascii="Times New Roman" w:hAnsi="Times New Roman" w:eastAsia="Times New Roman"/>
          <w:b w:val="0"/>
          <w:sz w:val="24"/>
        </w:rPr>
        <w:t>для категории девушек до 17 лет</w:t>
        <w:br/>
      </w:r>
    </w:p>
    <w:p>
      <w:pPr>
        <w:jc w:val="left"/>
      </w:pPr>
      <w:r>
        <w:rPr>
          <w:rFonts w:ascii="Times New Roman" w:hAnsi="Times New Roman" w:eastAsia="Times New Roman"/>
          <w:sz w:val="22"/>
        </w:rPr>
        <w:t>Автор: ______________________________</w:t>
        <w:br/>
      </w:r>
      <w:r>
        <w:rPr>
          <w:rFonts w:ascii="Times New Roman" w:hAnsi="Times New Roman" w:eastAsia="Times New Roman"/>
          <w:sz w:val="22"/>
        </w:rPr>
        <w:t>Курс: Машинное обучение в Python</w:t>
        <w:br/>
      </w:r>
      <w:r>
        <w:rPr>
          <w:rFonts w:ascii="Times New Roman" w:hAnsi="Times New Roman" w:eastAsia="Times New Roman"/>
          <w:sz w:val="22"/>
        </w:rPr>
        <w:t>Ментор/проверяющий: ______________________________</w:t>
        <w:br/>
      </w:r>
      <w:r>
        <w:rPr>
          <w:rFonts w:ascii="Times New Roman" w:hAnsi="Times New Roman" w:eastAsia="Times New Roman"/>
          <w:sz w:val="22"/>
        </w:rPr>
        <w:t>Дата: 2026 г.</w:t>
        <w:br/>
      </w:r>
    </w:p>
    <w:p>
      <w:pPr>
        <w:pStyle w:val="Heading1"/>
      </w:pPr>
      <w:r>
        <w:rPr>
          <w:rFonts w:ascii="Times New Roman" w:hAnsi="Times New Roman" w:eastAsia="Times New Roman"/>
        </w:rPr>
        <w:t>Содержание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1. Введение и постановка задачи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2. Описание данных и их особенностей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3. Обработка данных и разделение на train/test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4. Признаки модели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5. Рассмотренные подходы и архитектура решения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6. Обучение модели и контроль переобучения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7. Метрики и итоговый результат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8. Практическое применение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9. Ограничения и планы развития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10. Заключение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11. Список литературы и источников</w:t>
      </w:r>
    </w:p>
    <w:p>
      <w:pPr>
        <w:pStyle w:val="Heading1"/>
      </w:pPr>
      <w:r>
        <w:rPr>
          <w:rFonts w:ascii="Times New Roman" w:hAnsi="Times New Roman" w:eastAsia="Times New Roman"/>
        </w:rPr>
        <w:t>1. Введение и постановка задачи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Цель проекта — разработать модель машинного обучения, которая по истории матчей и рейтинговой информации оценивает вероятность победы одного игрока над другим в матчах Российского теннисного тура.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Предметная область — юниорский теннис, преимущественно категория девушек до 17 лет. Практическая мотивация состоит в том, что пул участниц в выбранной возрастной и географической группе достаточно устойчив: игроки регулярно пересекаются на турнирах, имеют историю личных встреч и часто играют против одних и тех же соперников.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Основная гипотеза проекта: вероятность исхода матча зависит не только от официального рейтинга, но и от динамической силы игрока, качества предыдущих соперников, истории личных встреч, результатов против общих соперников, опыта и текущей игровой формы.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Формально задача решается как бинарная классификация: для строки «игрок — соперник» модель оценивает вероятность события win = 1, то есть победы рассматриваемого игрока.</w:t>
      </w:r>
    </w:p>
    <w:p>
      <w:pPr>
        <w:pStyle w:val="Heading1"/>
      </w:pPr>
      <w:r>
        <w:rPr>
          <w:rFonts w:ascii="Times New Roman" w:hAnsi="Times New Roman" w:eastAsia="Times New Roman"/>
        </w:rPr>
        <w:t>2. Описание данных и их особенностей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Последняя версия ноутбука работает с подготовленным Excel-файлом assembled_predictor\predictor_model_dataset_from_parsers.xlsx, лист ml_dataset. В прогоне использовано 15 066 строк исходного датасета и 81 поле; диапазон дат матчей — с 02.03.2025 по 17.04.2026.</w:t>
      </w:r>
    </w:p>
    <w:p>
      <w:pPr>
        <w:pStyle w:val="ListBullet"/>
        <w:spacing w:after="120" w:line="259" w:lineRule="auto"/>
      </w:pPr>
      <w:r>
        <w:rPr>
          <w:rFonts w:ascii="Times New Roman" w:hAnsi="Times New Roman" w:eastAsia="Times New Roman"/>
          <w:sz w:val="22"/>
        </w:rPr>
        <w:t>История матчей содержит дату, турнир, город, возрастную категорию, игроков, счет, победителя и служебные признаки по матчу.</w:t>
      </w:r>
    </w:p>
    <w:p>
      <w:pPr>
        <w:pStyle w:val="ListBullet"/>
        <w:spacing w:after="120" w:line="259" w:lineRule="auto"/>
      </w:pPr>
      <w:r>
        <w:rPr>
          <w:rFonts w:ascii="Times New Roman" w:hAnsi="Times New Roman" w:eastAsia="Times New Roman"/>
          <w:sz w:val="22"/>
        </w:rPr>
        <w:t>История рейтингов содержит РНИ игрока, ФИО, возрастную группу рейтинга, место, очки, число турниров и число зачётных турниров.</w:t>
      </w:r>
    </w:p>
    <w:p>
      <w:pPr>
        <w:pStyle w:val="ListBullet"/>
        <w:spacing w:after="120" w:line="259" w:lineRule="auto"/>
      </w:pPr>
      <w:r>
        <w:rPr>
          <w:rFonts w:ascii="Times New Roman" w:hAnsi="Times New Roman" w:eastAsia="Times New Roman"/>
          <w:sz w:val="22"/>
        </w:rPr>
        <w:t>Для каждого матча используется последний доступный снимок рейтинга не позже даты матча и именно для возрастной группы турнира.</w:t>
      </w:r>
    </w:p>
    <w:p>
      <w:pPr>
        <w:pStyle w:val="ListBullet"/>
        <w:spacing w:after="120" w:line="259" w:lineRule="auto"/>
      </w:pPr>
      <w:r>
        <w:rPr>
          <w:rFonts w:ascii="Times New Roman" w:hAnsi="Times New Roman" w:eastAsia="Times New Roman"/>
          <w:sz w:val="22"/>
        </w:rPr>
        <w:t>Один игрок может одновременно присутствовать в разных возрастных рейтингах: очки могут совпадать, а место в рейтинге отличаться, поэтому модель использует и очки, и ранг.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Ключевая особенность данных — неполная рейтинговая история. В финальной версии это обработано явно: если рейтинг или очки отсутствуют хотя бы у одной стороны, разностный рейтинг-признак остается NaN, а не заменяется нулем. Дополнительно создаются флаги отсутствия данных и флаги наличия рейтинга у обеих сторон.</w:t>
      </w:r>
    </w:p>
    <w:p>
      <w:pPr>
        <w:pStyle w:val="Heading1"/>
      </w:pPr>
      <w:r>
        <w:rPr>
          <w:rFonts w:ascii="Times New Roman" w:hAnsi="Times New Roman" w:eastAsia="Times New Roman"/>
        </w:rPr>
        <w:t>3. Обработка данных и разделение на train/test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После очистки исходные матчи приводятся к таблице уникальных матчей: 7 533 матча. Далее данные разворачиваются в long-format: каждый реальный матч представлен двумя строками — с точки зрения первого и второго игрока. В итоге получается 15 066 строк, то есть ровно две строки на матч.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Такой формат позволяет обучать модель на задаче «игрок против соперника», а для финальной оценки объединять две perspective-строки обратно в одну вероятность победы player1.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Train/test разделение выполнено строго по времени. Дата разделения — 22.12.2025: train содержит матчи с 02.03.2025 по 21.12.2025, test — с 22.12.2025 по 17.04.2026. Размер train — 11 262 строки, размер test — 3 804 строки.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Внутри train-периода дополнительно выделяется validation-часть по последним датам train-периода. Она используется для выбора режима CatBoost и для подбора шкал вероятности в простых рейтинговых benchmark-моделях. Такой подход снижает риск утечки будущей информации.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Важное исправление последней версии: рейтинг-разности имеют суффикс observed_only и считаются только при наличии значений у обоих игроков. Встроенная проверка показала статус ok и 0 ошибочных строк по rank, points и points_per_counting_tournament.</w:t>
      </w:r>
    </w:p>
    <w:p>
      <w:pPr>
        <w:pStyle w:val="Heading1"/>
      </w:pPr>
      <w:r>
        <w:rPr>
          <w:rFonts w:ascii="Times New Roman" w:hAnsi="Times New Roman" w:eastAsia="Times New Roman"/>
        </w:rPr>
        <w:t>4. Признаки модели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Финальный набор включает 43 признака. Их удобнее рассматривать как группы факторов, а не как независимые поля.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Группа признаков</w:t>
            </w:r>
          </w:p>
        </w:tc>
        <w:tc>
          <w:tcPr>
            <w:tcW w:type="dxa" w:w="340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Примеры</w:t>
            </w:r>
          </w:p>
        </w:tc>
        <w:tc>
          <w:tcPr>
            <w:tcW w:type="dxa" w:w="340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Интерпретация</w:t>
            </w:r>
          </w:p>
        </w:tc>
      </w:tr>
      <w:tr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Официальный рейтинг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diff_rank_pre_observed_only, diff_points_pre_observed_only, opponent_rank_pre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Положение игрока и соперника в официальном рейтинге нужной возрастной группы. Разности считаются только при наличии данных у обоих игроков.</w:t>
            </w:r>
          </w:p>
        </w:tc>
      </w:tr>
      <w:tr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Скорректированный рейтинг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points_per_counting_tournament, diff_points_per_counting_tournament_pre_observed_only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Средние очки на один зачётный турнир. Признак снижает искажение от разной турнирной активности игроков.</w:t>
            </w:r>
          </w:p>
        </w:tc>
      </w:tr>
      <w:tr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Относительные рейтинговые признаки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rel_diff_points_pct_min_pre_observed_only, rel_diff_points_per_counting_tournament_pct_min_pre_observed_only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Показывают, насколько преимущество велико относительно меньшего из двух значений, а не только в абсолютных очках.</w:t>
            </w:r>
          </w:p>
        </w:tc>
      </w:tr>
      <w:tr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ELO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elo_pre, elo_diff, expected_win_prob_elo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Динамическая сила игрока по истории матчей. Стартовый ELO = 1500, K = 24, дополнительно учитывается уверенность победы по разнице геймов.</w:t>
            </w:r>
          </w:p>
        </w:tc>
      </w:tr>
      <w:tr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Опыт и форма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player_matches_pre, opponent_matches_pre, player_winrate_all, days_since_prev_match, rest_diff_days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Количество прошлых матчей, общая доля побед и свежесть игровой практики.</w:t>
            </w:r>
          </w:p>
        </w:tc>
      </w:tr>
      <w:tr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Сила соперников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schedule_strength, opp_elo_last_5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Средний ELO прошлых соперников: окно 10 матчей для общей силы календаря и 5 матчей для последних соперников.</w:t>
            </w:r>
          </w:p>
        </w:tc>
      </w:tr>
      <w:tr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Личные встречи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h2h_matches_before, h2h_player_winrate_before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Результаты конкретной пары игроков только до даты оцениваемого матча.</w:t>
            </w:r>
          </w:p>
        </w:tc>
      </w:tr>
      <w:tr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Общие соперники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common_opp_count, common_opp_weighted_edge, common_opp_winrate_edge_mean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Сравнение результатов игроков против одних и тех же соперников. Более свежие матчи имеют больший вес, half-life = 180 дней.</w:t>
            </w:r>
          </w:p>
        </w:tc>
      </w:tr>
      <w:tr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Качество данных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player_rank_missing_pre, opponent_points_missing_pre, both_rank_observed_pre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Флаги пропусков позволяют модели отличать отсутствие рейтинга от реального равенства игроков.</w:t>
            </w:r>
          </w:p>
        </w:tc>
      </w:tr>
    </w:tbl>
    <w:p/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По общим соперникам информация есть примерно в 30,6% long-строк. Поэтому эти признаки полезны, но не являются единственным источником сигнала; модель дополняет их рейтингом, ELO, опытом и силой календаря.</w:t>
      </w:r>
    </w:p>
    <w:p>
      <w:pPr>
        <w:pStyle w:val="Heading1"/>
      </w:pPr>
      <w:r>
        <w:rPr>
          <w:rFonts w:ascii="Times New Roman" w:hAnsi="Times New Roman" w:eastAsia="Times New Roman"/>
        </w:rPr>
        <w:t>5. Рассмотренные подходы и архитектура решения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В последней версии оставлены пять benchmark-моделей и три основные модели на полном наборе признаков. Benchmark-модели нужны для честного сравнения с простыми правилами, основанными только на рейтинге или ELO.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Модель</w:t>
            </w:r>
          </w:p>
        </w:tc>
        <w:tc>
          <w:tcPr>
            <w:tcW w:type="dxa" w:w="340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Роль</w:t>
            </w:r>
          </w:p>
        </w:tc>
        <w:tc>
          <w:tcPr>
            <w:tcW w:type="dxa" w:w="340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Назначение</w:t>
            </w:r>
          </w:p>
        </w:tc>
      </w:tr>
      <w:tr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rating_only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benchmark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Вероятность только по абсолютной разнице рейтинговых очков.</w:t>
            </w:r>
          </w:p>
        </w:tc>
      </w:tr>
      <w:tr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relative_rating_only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benchmark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Вероятность по относительной разнице рейтинговых очков.</w:t>
            </w:r>
          </w:p>
        </w:tc>
      </w:tr>
      <w:tr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adjusted_rating_only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benchmark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Вероятность по средним очкам на один зачётный турнир.</w:t>
            </w:r>
          </w:p>
        </w:tc>
      </w:tr>
      <w:tr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elo_only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benchmark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Вероятность только по ELO.</w:t>
            </w:r>
          </w:p>
        </w:tc>
      </w:tr>
      <w:tr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baseline_rating_elo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benchmark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Logistic Regression на рейтинговых признаках и ELO.</w:t>
            </w:r>
          </w:p>
        </w:tc>
      </w:tr>
      <w:tr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final_catboost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main_model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CatBoost на полном наборе признаков; режим подбирается по validation.</w:t>
            </w:r>
          </w:p>
        </w:tc>
      </w:tr>
      <w:tr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final_gbm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best_main_model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sklearn GradientBoostingClassifier на полном наборе признаков. В текущем прогоне выбран как лучшая основная модель.</w:t>
            </w:r>
          </w:p>
        </w:tc>
      </w:tr>
      <w:tr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final_random_forest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main_model</w:t>
            </w:r>
          </w:p>
        </w:tc>
        <w:tc>
          <w:tcPr>
            <w:tcW w:type="dxa" w:w="34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Random Forest на полном наборе признаков, используется для сравнения устойчивости.</w:t>
            </w:r>
          </w:p>
        </w:tc>
      </w:tr>
    </w:tbl>
    <w:p/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Главное обновление по сравнению с предыдущей пояснительной запиской: итоговой прикладной моделью текущего прогона является final_gbm, а не CatBoost. CatBoost остается важной основной моделью и источником SHAP-анализа, но по основной test-метрике match/symmetrized LogLoss уступил GBM.</w:t>
      </w:r>
    </w:p>
    <w:p>
      <w:pPr>
        <w:pStyle w:val="Heading1"/>
      </w:pPr>
      <w:r>
        <w:rPr>
          <w:rFonts w:ascii="Times New Roman" w:hAnsi="Times New Roman" w:eastAsia="Times New Roman"/>
        </w:rPr>
        <w:t>6. Обучение модели и контроль переобучения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CatBoost обучается в трех режимах: light, balanced и power. В текущем прогоне все три режима оказались в пределах tolerance по validation LogLoss, но выбран balanced, потому что у него меньше разрыв train-valid LogLoss. Лучшее число итераций CatBoost — 112.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rPr>
          <w:tblHeader w:val="true"/>
        </w:trPr>
        <w:tc>
          <w:tcPr>
            <w:tcW w:type="dxa" w:w="127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Режим</w:t>
            </w:r>
          </w:p>
        </w:tc>
        <w:tc>
          <w:tcPr>
            <w:tcW w:type="dxa" w:w="127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iterations</w:t>
            </w:r>
          </w:p>
        </w:tc>
        <w:tc>
          <w:tcPr>
            <w:tcW w:type="dxa" w:w="127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learning_rate</w:t>
            </w:r>
          </w:p>
        </w:tc>
        <w:tc>
          <w:tcPr>
            <w:tcW w:type="dxa" w:w="127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depth</w:t>
            </w:r>
          </w:p>
        </w:tc>
        <w:tc>
          <w:tcPr>
            <w:tcW w:type="dxa" w:w="127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l2_leaf_reg</w:t>
            </w:r>
          </w:p>
        </w:tc>
        <w:tc>
          <w:tcPr>
            <w:tcW w:type="dxa" w:w="127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od_wait</w:t>
            </w:r>
          </w:p>
        </w:tc>
        <w:tc>
          <w:tcPr>
            <w:tcW w:type="dxa" w:w="127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best_iteration</w:t>
            </w:r>
          </w:p>
        </w:tc>
        <w:tc>
          <w:tcPr>
            <w:tcW w:type="dxa" w:w="127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valid LogLoss</w:t>
            </w:r>
          </w:p>
        </w:tc>
      </w:tr>
      <w:tr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light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1200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0.030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6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5.0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150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68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0.5067</w:t>
            </w:r>
          </w:p>
        </w:tc>
      </w:tr>
      <w:tr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balanced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3500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0.018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6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8.0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300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112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0.5063</w:t>
            </w:r>
          </w:p>
        </w:tc>
      </w:tr>
      <w:tr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power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6000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0.012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7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10.0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400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186</w:t>
            </w:r>
          </w:p>
        </w:tc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0.5051</w:t>
            </w:r>
          </w:p>
        </w:tc>
      </w:tr>
    </w:tbl>
    <w:p/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Для sklearn-моделей применяется Pipeline с SimpleImputer(strategy="median"), потому что GradientBoostingClassifier и RandomForestClassifier не работают напрямую с NaN. Для CatBoost NaN оставляются как есть, что важно для observed_only-признаков.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Параметры выбранной GBM-модели: 700 деревьев, learning_rate = 0.025, max_depth = 3, min_samples_leaf = 10, subsample = 0.85. Это неглубокий стохастический градиентный бустинг, который ловит нелинейности, но ограничивает переобучение.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Основная функция потерь — LogLoss, потому что задача состоит в оценке вероятности победы, а не только в угадывании победителя. Для основных моделей дополнительно проверяется разрыв train/test LogLoss: у GBM разрыв умеренный, у Random Forest заметно выше, что указывает на более сильное переобучение случайного леса.</w:t>
      </w:r>
    </w:p>
    <w:p>
      <w:pPr>
        <w:pStyle w:val="Heading1"/>
      </w:pPr>
      <w:r>
        <w:rPr>
          <w:rFonts w:ascii="Times New Roman" w:hAnsi="Times New Roman" w:eastAsia="Times New Roman"/>
        </w:rPr>
        <w:t>7. Метрики и итоговый результат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Качество оценивается по LogLoss, Brier score, ROC-AUC и Accuracy. Основной уровень оценки — match / symmetrized: две строки одного матча объединяются в одну вероятность победы player1. Именно этот уровень ближе всего к реальному прогнозу матча.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По текущему прогону лучшая основная модель final_gbm показывает: LogLoss = 0.4116, Brier = 0.1318, ROC-AUC = 0.8940, Accuracy = 0.8134. Это лучше CatBoost и заметно лучше baseline_rating_elo.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rPr>
          <w:tblHeader w:val="true"/>
        </w:trPr>
        <w:tc>
          <w:tcPr>
            <w:tcW w:type="dxa" w:w="170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Модель</w:t>
            </w:r>
          </w:p>
        </w:tc>
        <w:tc>
          <w:tcPr>
            <w:tcW w:type="dxa" w:w="170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Уровень</w:t>
            </w:r>
          </w:p>
        </w:tc>
        <w:tc>
          <w:tcPr>
            <w:tcW w:type="dxa" w:w="170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LogLoss ↓</w:t>
            </w:r>
          </w:p>
        </w:tc>
        <w:tc>
          <w:tcPr>
            <w:tcW w:type="dxa" w:w="170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Brier ↓</w:t>
            </w:r>
          </w:p>
        </w:tc>
        <w:tc>
          <w:tcPr>
            <w:tcW w:type="dxa" w:w="170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ROC-AUC ↑</w:t>
            </w:r>
          </w:p>
        </w:tc>
        <w:tc>
          <w:tcPr>
            <w:tcW w:type="dxa" w:w="170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Accuracy ↑</w:t>
            </w:r>
          </w:p>
        </w:tc>
      </w:tr>
      <w:tr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final_gbm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match / symmetrized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0.4116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0.1318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0.8940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0.8134</w:t>
            </w:r>
          </w:p>
        </w:tc>
      </w:tr>
      <w:tr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final_random_forest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match / symmetrized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0.4222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0.1355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0.8906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0.8076</w:t>
            </w:r>
          </w:p>
        </w:tc>
      </w:tr>
      <w:tr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final_catboost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match / symmetrized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0.4310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0.1377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0.8886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0.8076</w:t>
            </w:r>
          </w:p>
        </w:tc>
      </w:tr>
      <w:tr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baseline_rating_elo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match / symmetrized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0.4449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0.1435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0.8749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0.7907</w:t>
            </w:r>
          </w:p>
        </w:tc>
      </w:tr>
      <w:tr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adjusted_rating_only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match / symmetrized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0.5409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0.1799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0.8554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0.7898</w:t>
            </w:r>
          </w:p>
        </w:tc>
      </w:tr>
      <w:tr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rating_only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match / symmetrized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0.5650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0.1613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0.8441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0.7784</w:t>
            </w:r>
          </w:p>
        </w:tc>
      </w:tr>
      <w:tr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elo_only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match / symmetrized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0.5878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0.2010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0.7653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0.7003</w:t>
            </w:r>
          </w:p>
        </w:tc>
      </w:tr>
      <w:tr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relative_rating_only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match / symmetrized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0.5948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0.2034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0.8618</w:t>
            </w:r>
          </w:p>
        </w:tc>
        <w:tc>
          <w:tcPr>
            <w:tcW w:type="dxa" w:w="170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0.7784</w:t>
            </w:r>
          </w:p>
        </w:tc>
      </w:tr>
    </w:tbl>
    <w:p/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Наиболее важные признаки для выбранной GBM-модели: относительная разница средних очков на зачётный турнир, абсолютная разница средних очков на зачётный турнир, expected_win_prob_elo, elo_diff, относительная разница рейтинговых очков, сила последних соперников, текущий ELO, ранг соперника, сила календаря и общая доля побед игрока.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Интерпретация результата: модель действительно использует не один рейтинг, а комбинацию скорректированного рейтинга, ELO, силы соперников, опыта и качества данных. При этом скорректированный рейтинг оказался особенно сильным сигналом, потому что учитывает разную активность игроков.</w:t>
      </w:r>
    </w:p>
    <w:p>
      <w:pPr>
        <w:pStyle w:val="Heading1"/>
      </w:pPr>
      <w:r>
        <w:rPr>
          <w:rFonts w:ascii="Times New Roman" w:hAnsi="Times New Roman" w:eastAsia="Times New Roman"/>
        </w:rPr>
        <w:t>8. Практическое применение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Практический сценарий — прогноз конкретного матча между двумя игроками до его начала. В ноутбуке предусмотрен блок predict_match_by_names: пользователь задает имена игроков, дату прогноза и контекст турнира, после чего возвращается симметризованная вероятность победы каждого игрока.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В текущем прогоне блок прогноза использует модель final_gbm через переменную best_main_model. Для пары из примера ноутбука модель вернула: вероятность победы Смирнова М. — 22,5%, вероятность победы Антипина — 77,5%.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Вывод прогноза сопровождается детализацией: строки признаков для обеих перспектив, история личных встреч, матчи против общих соперников и таблица факторов выбранной модели. Для CatBoost доступна локальная SHAP-интерпретация; для final_gbm используется встроенная глобальная важность признаков sklearn и значения этих признаков в prediction-строках.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Модель может использоваться как аналитический инструмент для оценки силы соперников, подготовки к турнирам, проверки гипотез о рейтинге и ELO, а также для выявления случаев, когда официальный рейтинг плохо отражает текущую силу игрока.</w:t>
      </w:r>
    </w:p>
    <w:p>
      <w:pPr>
        <w:pStyle w:val="Heading1"/>
      </w:pPr>
      <w:r>
        <w:rPr>
          <w:rFonts w:ascii="Times New Roman" w:hAnsi="Times New Roman" w:eastAsia="Times New Roman"/>
        </w:rPr>
        <w:t>9. Ограничения и планы развития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Основные ограничения проекта:</w:t>
      </w:r>
    </w:p>
    <w:p>
      <w:pPr>
        <w:pStyle w:val="ListBullet"/>
        <w:spacing w:after="120" w:line="259" w:lineRule="auto"/>
      </w:pPr>
      <w:r>
        <w:rPr>
          <w:rFonts w:ascii="Times New Roman" w:hAnsi="Times New Roman" w:eastAsia="Times New Roman"/>
          <w:sz w:val="22"/>
        </w:rPr>
        <w:t>данные собираются из публичных страниц, поэтому качество модели зависит от полноты и корректности опубликованной истории;</w:t>
      </w:r>
    </w:p>
    <w:p>
      <w:pPr>
        <w:pStyle w:val="ListBullet"/>
        <w:spacing w:after="120" w:line="259" w:lineRule="auto"/>
      </w:pPr>
      <w:r>
        <w:rPr>
          <w:rFonts w:ascii="Times New Roman" w:hAnsi="Times New Roman" w:eastAsia="Times New Roman"/>
          <w:sz w:val="22"/>
        </w:rPr>
        <w:t>у части игроков мало матчей, поэтому ELO, H2H и признаки общих соперников могут быть нестабильными;</w:t>
      </w:r>
    </w:p>
    <w:p>
      <w:pPr>
        <w:pStyle w:val="ListBullet"/>
        <w:spacing w:after="120" w:line="259" w:lineRule="auto"/>
      </w:pPr>
      <w:r>
        <w:rPr>
          <w:rFonts w:ascii="Times New Roman" w:hAnsi="Times New Roman" w:eastAsia="Times New Roman"/>
          <w:sz w:val="22"/>
        </w:rPr>
        <w:t>в данных нет покрытия, травм, физического состояния, точного времени матчей внутри дня и силы конкретного турнира;</w:t>
      </w:r>
    </w:p>
    <w:p>
      <w:pPr>
        <w:pStyle w:val="ListBullet"/>
        <w:spacing w:after="120" w:line="259" w:lineRule="auto"/>
      </w:pPr>
      <w:r>
        <w:rPr>
          <w:rFonts w:ascii="Times New Roman" w:hAnsi="Times New Roman" w:eastAsia="Times New Roman"/>
          <w:sz w:val="22"/>
        </w:rPr>
        <w:t>выбор best_main_model в ноутбуке выполнен по отложенному test для сравнения моделей; для промышленного использования лучше закреплять выбор по validation/rolling-validation и оставлять отдельный final holdout.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Планы развития: расширить историю матчей, добавить rolling-validation по нескольким временным окнам, улучшить обработку неоднозначных ФИО, протестировать признаки силы турнира и покрытия, сохранить модель отдельным артефактом и сделать простой интерфейс для прогноза пары игроков.</w:t>
      </w:r>
    </w:p>
    <w:p>
      <w:pPr>
        <w:pStyle w:val="Heading1"/>
      </w:pPr>
      <w:r>
        <w:rPr>
          <w:rFonts w:ascii="Times New Roman" w:hAnsi="Times New Roman" w:eastAsia="Times New Roman"/>
        </w:rPr>
        <w:t>10. Заключение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В проекте построен полный pipeline вероятностного предсказания исходов матчей РТТ: подготовлены данные, сформирован long-format, исправлена обработка missing в рейтинговых признаках, построены признаки рейтинга, скорректированного рейтинга, ELO, опыта, личных встреч, силы соперников и общих соперников.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Последняя версия усилила решение за счет автоматического сравнения нескольких основных моделей. Лучший результат в текущем прогоне показала sklearn GBM-модель final_gbm: LogLoss = 0.4116 и ROC-AUC = 0.8940 на уровне match / symmetrized.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sz w:val="22"/>
        </w:rPr>
        <w:t>Результаты подтверждают исходную гипотезу: для прогноза юниорских теннисных матчей полезно использовать не только официальный рейтинг, но и динамическую силу игроков, результаты против общих соперников, скорректированный рейтинг на зачётный турнир и признаки качества данных.</w:t>
      </w:r>
    </w:p>
    <w:p>
      <w:pPr>
        <w:pStyle w:val="Heading1"/>
      </w:pPr>
      <w:r>
        <w:rPr>
          <w:rFonts w:ascii="Times New Roman" w:hAnsi="Times New Roman" w:eastAsia="Times New Roman"/>
        </w:rPr>
        <w:t>11. Список литературы и источников</w:t>
      </w:r>
    </w:p>
    <w:p>
      <w:pPr>
        <w:pStyle w:val="ListBullet"/>
        <w:spacing w:after="120" w:line="259" w:lineRule="auto"/>
      </w:pPr>
      <w:r>
        <w:rPr>
          <w:rFonts w:ascii="Times New Roman" w:hAnsi="Times New Roman" w:eastAsia="Times New Roman"/>
          <w:sz w:val="22"/>
        </w:rPr>
        <w:t>CatBoost Documentation — описание алгоритма градиентного бустинга, LogLoss, early stopping и SHAP-важности.</w:t>
      </w:r>
    </w:p>
    <w:p>
      <w:pPr>
        <w:pStyle w:val="ListBullet"/>
        <w:spacing w:after="120" w:line="259" w:lineRule="auto"/>
      </w:pPr>
      <w:r>
        <w:rPr>
          <w:rFonts w:ascii="Times New Roman" w:hAnsi="Times New Roman" w:eastAsia="Times New Roman"/>
          <w:sz w:val="22"/>
        </w:rPr>
        <w:t>scikit-learn Documentation — GradientBoostingClassifier, RandomForestClassifier, LogisticRegression, Pipeline, SimpleImputer и метрики классификации.</w:t>
      </w:r>
    </w:p>
    <w:p>
      <w:pPr>
        <w:pStyle w:val="ListBullet"/>
        <w:spacing w:after="120" w:line="259" w:lineRule="auto"/>
      </w:pPr>
      <w:r>
        <w:rPr>
          <w:rFonts w:ascii="Times New Roman" w:hAnsi="Times New Roman" w:eastAsia="Times New Roman"/>
          <w:sz w:val="22"/>
        </w:rPr>
        <w:t>Arpad E. Elo. The Rating of Chessplayers, Past and Present — базовая идея динамического рейтинга силы игрока.</w:t>
      </w:r>
    </w:p>
    <w:p>
      <w:pPr>
        <w:pStyle w:val="ListBullet"/>
        <w:spacing w:after="120" w:line="259" w:lineRule="auto"/>
      </w:pPr>
      <w:r>
        <w:rPr>
          <w:rFonts w:ascii="Times New Roman" w:hAnsi="Times New Roman" w:eastAsia="Times New Roman"/>
          <w:sz w:val="22"/>
        </w:rPr>
        <w:t>Публичные страницы Российского теннисного тура — история турниров, результаты матчей и рейтинги игроков.</w:t>
      </w:r>
    </w:p>
    <w:p>
      <w:pPr>
        <w:pStyle w:val="ListBullet"/>
        <w:spacing w:after="120" w:line="259" w:lineRule="auto"/>
      </w:pPr>
      <w:r>
        <w:rPr>
          <w:rFonts w:ascii="Times New Roman" w:hAnsi="Times New Roman" w:eastAsia="Times New Roman"/>
          <w:sz w:val="22"/>
        </w:rPr>
        <w:t>Финальный ноутбук проекта: RTT_tennis_match_predictor_final_corrected_v14_best_main_model.ipynb.</w:t>
      </w:r>
    </w:p>
    <w:sectPr w:rsidR="00FC693F" w:rsidRPr="0006063C" w:rsidSect="00034616">
      <w:footerReference w:type="default" r:id="rId9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