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ompe-p2"/>
    <w:p>
      <w:pPr>
        <w:pStyle w:val="Heading1"/>
      </w:pPr>
      <w:r>
        <w:t xml:space="preserve">Pompe P2</w:t>
      </w:r>
    </w:p>
    <w:p>
      <w:pPr>
        <w:pStyle w:val="FirstParagraph"/>
      </w:pPr>
      <w:r>
        <w:t xml:space="preserve">Le défaut</w:t>
      </w:r>
      <w:r>
        <w:t xml:space="preserve"> </w:t>
      </w:r>
      <w:r>
        <w:rPr>
          <w:b/>
          <w:bCs/>
        </w:rPr>
        <w:t xml:space="preserve">E-0457</w:t>
      </w:r>
      <w:r>
        <w:t xml:space="preserve"> </w:t>
      </w:r>
      <w:r>
        <w:t xml:space="preserve">signale une vibration au démarrage. Vérifier l’alignement de l’accouplement.</w:t>
      </w:r>
    </w:p>
    <w:bookmarkStart w:id="9" w:name="câblage"/>
    <w:p>
      <w:pPr>
        <w:pStyle w:val="Heading2"/>
      </w:pPr>
      <w:r>
        <w:t xml:space="preserve">Câblage</w:t>
      </w:r>
    </w:p>
    <w:p>
      <w:pPr>
        <w:pStyle w:val="FirstParagraph"/>
      </w:pPr>
      <w:r>
        <w:t xml:space="preserve">Fil rouge sur la borne 24V, fil noir sur la masse. Code pièce R-12.</w:t>
      </w:r>
    </w:p>
    <w:bookmarkEnd w:id="9"/>
    <w:bookmarkEnd w:id="10"/>
    <w:bookmarkStart w:id="11" w:name="maintenance"/>
    <w:p>
      <w:pPr>
        <w:pStyle w:val="Heading1"/>
      </w:pPr>
      <w:r>
        <w:t xml:space="preserve">Maintenance</w:t>
      </w:r>
    </w:p>
    <w:p>
      <w:pPr>
        <w:pStyle w:val="FirstParagraph"/>
      </w:pPr>
      <w:r>
        <w:t xml:space="preserve">Graisser le roulement toutes les 500 heures.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2026-10-10T17:19:01Z</dcterms:created>
  <dcterms:modified xsi:type="dcterms:W3CDTF">2026-10-10T17:19:01Z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